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40.xml" ContentType="application/vnd.openxmlformats-officedocument.wordprocessingml.foot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144.xml" ContentType="application/vnd.openxmlformats-officedocument.wordprocessingml.footer+xml"/>
  <Override PartName="/word/footer145.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46.xml" ContentType="application/vnd.openxmlformats-officedocument.wordprocessingml.foot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55.xml" ContentType="application/vnd.openxmlformats-officedocument.wordprocessingml.foot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header159.xml" ContentType="application/vnd.openxmlformats-officedocument.wordprocessingml.header+xml"/>
  <Override PartName="/word/footer158.xml" ContentType="application/vnd.openxmlformats-officedocument.wordprocessingml.foot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footer162.xml" ContentType="application/vnd.openxmlformats-officedocument.wordprocessingml.foot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68.xml" ContentType="application/vnd.openxmlformats-officedocument.wordprocessingml.footer+xml"/>
  <Override PartName="/word/footer169.xml" ContentType="application/vnd.openxmlformats-officedocument.wordprocessingml.footer+xml"/>
  <Override PartName="/word/header170.xml" ContentType="application/vnd.openxmlformats-officedocument.wordprocessingml.header+xml"/>
  <Override PartName="/word/header171.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77.xml" ContentType="application/vnd.openxmlformats-officedocument.wordprocessingml.footer+xml"/>
  <Override PartName="/word/footer178.xml" ContentType="application/vnd.openxmlformats-officedocument.wordprocessingml.footer+xml"/>
  <Override PartName="/word/header179.xml" ContentType="application/vnd.openxmlformats-officedocument.wordprocessingml.header+xml"/>
  <Override PartName="/word/header180.xml" ContentType="application/vnd.openxmlformats-officedocument.wordprocessingml.header+xml"/>
  <Override PartName="/word/footer179.xml" ContentType="application/vnd.openxmlformats-officedocument.wordprocessingml.foot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85.xml" ContentType="application/vnd.openxmlformats-officedocument.wordprocessingml.foot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footer189.xml" ContentType="application/vnd.openxmlformats-officedocument.wordprocessingml.footer+xml"/>
  <Override PartName="/word/footer190.xml" ContentType="application/vnd.openxmlformats-officedocument.wordprocessingml.footer+xml"/>
  <Override PartName="/word/header191.xml" ContentType="application/vnd.openxmlformats-officedocument.wordprocessingml.header+xml"/>
  <Override PartName="/word/header192.xml" ContentType="application/vnd.openxmlformats-officedocument.wordprocessingml.header+xml"/>
  <Override PartName="/word/footer191.xml" ContentType="application/vnd.openxmlformats-officedocument.wordprocessingml.foot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header195.xml" ContentType="application/vnd.openxmlformats-officedocument.wordprocessingml.header+xml"/>
  <Override PartName="/word/footer194.xml" ContentType="application/vnd.openxmlformats-officedocument.wordprocessingml.foot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header208.xml" ContentType="application/vnd.openxmlformats-officedocument.wordprocessingml.header+xml"/>
  <Override PartName="/word/footer207.xml" ContentType="application/vnd.openxmlformats-officedocument.wordprocessingml.footer+xml"/>
  <Override PartName="/word/footer208.xml" ContentType="application/vnd.openxmlformats-officedocument.wordprocessingml.footer+xml"/>
  <Override PartName="/word/header209.xml" ContentType="application/vnd.openxmlformats-officedocument.wordprocessingml.header+xml"/>
  <Override PartName="/word/header210.xml" ContentType="application/vnd.openxmlformats-officedocument.wordprocessingml.header+xml"/>
  <Override PartName="/word/footer209.xml" ContentType="application/vnd.openxmlformats-officedocument.wordprocessingml.foot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header214.xml" ContentType="application/vnd.openxmlformats-officedocument.wordprocessingml.header+xml"/>
  <Override PartName="/word/footer213.xml" ContentType="application/vnd.openxmlformats-officedocument.wordprocessingml.footer+xml"/>
  <Override PartName="/word/footer214.xml" ContentType="application/vnd.openxmlformats-officedocument.wordprocessingml.footer+xml"/>
  <Override PartName="/word/header215.xml" ContentType="application/vnd.openxmlformats-officedocument.wordprocessingml.header+xml"/>
  <Override PartName="/word/header216.xml" ContentType="application/vnd.openxmlformats-officedocument.wordprocessingml.header+xml"/>
  <Override PartName="/word/footer215.xml" ContentType="application/vnd.openxmlformats-officedocument.wordprocessingml.foot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header220.xml" ContentType="application/vnd.openxmlformats-officedocument.wordprocessingml.header+xml"/>
  <Override PartName="/word/footer219.xml" ContentType="application/vnd.openxmlformats-officedocument.wordprocessingml.footer+xml"/>
  <Override PartName="/word/footer220.xml" ContentType="application/vnd.openxmlformats-officedocument.wordprocessingml.footer+xml"/>
  <Override PartName="/word/header221.xml" ContentType="application/vnd.openxmlformats-officedocument.wordprocessingml.header+xml"/>
  <Override PartName="/word/header222.xml" ContentType="application/vnd.openxmlformats-officedocument.wordprocessingml.header+xml"/>
  <Override PartName="/word/footer221.xml" ContentType="application/vnd.openxmlformats-officedocument.wordprocessingml.foot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header225.xml" ContentType="application/vnd.openxmlformats-officedocument.wordprocessingml.header+xml"/>
  <Override PartName="/word/footer224.xml" ContentType="application/vnd.openxmlformats-officedocument.wordprocessingml.foot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header229.xml" ContentType="application/vnd.openxmlformats-officedocument.wordprocessingml.header+xml"/>
  <Override PartName="/word/footer228.xml" ContentType="application/vnd.openxmlformats-officedocument.wordprocessingml.foot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header232.xml" ContentType="application/vnd.openxmlformats-officedocument.wordprocessingml.header+xml"/>
  <Override PartName="/word/footer231.xml" ContentType="application/vnd.openxmlformats-officedocument.wordprocessingml.foot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header235.xml" ContentType="application/vnd.openxmlformats-officedocument.wordprocessingml.header+xml"/>
  <Override PartName="/word/footer234.xml" ContentType="application/vnd.openxmlformats-officedocument.wordprocessingml.footer+xml"/>
  <Override PartName="/word/footer235.xml" ContentType="application/vnd.openxmlformats-officedocument.wordprocessingml.footer+xml"/>
  <Override PartName="/word/header236.xml" ContentType="application/vnd.openxmlformats-officedocument.wordprocessingml.header+xml"/>
  <Override PartName="/word/header237.xml" ContentType="application/vnd.openxmlformats-officedocument.wordprocessingml.header+xml"/>
  <Override PartName="/word/footer236.xml" ContentType="application/vnd.openxmlformats-officedocument.wordprocessingml.foot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header240.xml" ContentType="application/vnd.openxmlformats-officedocument.wordprocessingml.header+xml"/>
  <Override PartName="/word/footer239.xml" ContentType="application/vnd.openxmlformats-officedocument.wordprocessingml.foot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header243.xml" ContentType="application/vnd.openxmlformats-officedocument.wordprocessingml.header+xml"/>
  <Override PartName="/word/footer242.xml" ContentType="application/vnd.openxmlformats-officedocument.wordprocessingml.foot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9B7B" w14:textId="77777777" w:rsidR="00093A32" w:rsidRDefault="00093A32">
      <w:pPr>
        <w:pStyle w:val="BodyText"/>
        <w:ind w:firstLine="0"/>
      </w:pPr>
      <w:r>
        <w:rPr>
          <w:b/>
          <w:bCs/>
        </w:rPr>
        <w:t>C</w:t>
      </w:r>
      <w:r>
        <w:rPr>
          <w:b/>
          <w:bCs/>
          <w:sz w:val="13"/>
          <w:szCs w:val="13"/>
        </w:rPr>
        <w:t>AUSAS</w:t>
      </w:r>
      <w:r>
        <w:rPr>
          <w:b/>
          <w:bCs/>
        </w:rPr>
        <w:t xml:space="preserve">: </w:t>
      </w:r>
      <w:r>
        <w:t>Se han clasificado más de 550 arbovirus en diversos grupos taxonómicos, principalmente en las familias Bunyaviridae, Togaviridae y Flaviviridae (cuadro 3-3) y más de 150 de ellos se vinculan con enfermedad de seres humanos. Los virus en tales familias son transmitidos principalmente por artrópodos o se contagian en la forma de zoonosis. En Estados Unidos se consideran sobre todo las infecciones por arbovirus en el diagnóstico diferencial de las encefalitis agudas.</w:t>
      </w:r>
    </w:p>
    <w:p w14:paraId="22429F2B" w14:textId="77777777" w:rsidR="00093A32" w:rsidRDefault="00093A32">
      <w:pPr>
        <w:pStyle w:val="BodyText"/>
        <w:spacing w:after="240"/>
        <w:ind w:firstLine="0"/>
      </w:pPr>
      <w:r>
        <w:rPr>
          <w:b/>
          <w:bCs/>
        </w:rPr>
        <w:t>A</w:t>
      </w:r>
      <w:r>
        <w:rPr>
          <w:b/>
          <w:bCs/>
          <w:sz w:val="13"/>
          <w:szCs w:val="13"/>
        </w:rPr>
        <w:t>SPECTOS EPIDEMIOLÓGICOS</w:t>
      </w:r>
      <w:r>
        <w:rPr>
          <w:b/>
          <w:bCs/>
        </w:rPr>
        <w:t xml:space="preserve">: </w:t>
      </w:r>
      <w:r>
        <w:t>Casi todos los arbovirus persisten en la naturaleza gracias a ciclos de transmisión entre aves o mamíferos pequeños, por intervención de artrópodos vectores. Los seres humanos y los animales domésticos son infectados en forma accidental como hospedadores “terminales”. Entre las excepciones importantes</w:t>
      </w:r>
    </w:p>
    <w:p w14:paraId="70E0F428" w14:textId="77777777" w:rsidR="00093A32" w:rsidRDefault="00093A32">
      <w:pPr>
        <w:pStyle w:val="Heading31"/>
        <w:keepNext/>
        <w:keepLines/>
        <w:spacing w:after="60"/>
        <w:jc w:val="center"/>
      </w:pPr>
      <w:bookmarkStart w:id="0" w:name="bookmark606"/>
      <w:bookmarkStart w:id="1" w:name="bookmark607"/>
      <w:bookmarkStart w:id="2" w:name="bookmark608"/>
      <w:r>
        <w:rPr>
          <w:b w:val="0"/>
          <w:bCs w:val="0"/>
        </w:rPr>
        <w:t xml:space="preserve">Cuadro 3-3. </w:t>
      </w:r>
      <w:r>
        <w:t>Cuadro taxonómico de los principales arbovirus</w:t>
      </w:r>
      <w:bookmarkEnd w:id="0"/>
      <w:bookmarkEnd w:id="1"/>
      <w:bookmarkEnd w:id="2"/>
    </w:p>
    <w:tbl>
      <w:tblPr>
        <w:tblOverlap w:val="never"/>
        <w:tblW w:w="0" w:type="auto"/>
        <w:jc w:val="center"/>
        <w:tblLayout w:type="fixed"/>
        <w:tblCellMar>
          <w:left w:w="10" w:type="dxa"/>
          <w:right w:w="10" w:type="dxa"/>
        </w:tblCellMar>
        <w:tblLook w:val="04A0" w:firstRow="1" w:lastRow="0" w:firstColumn="1" w:lastColumn="0" w:noHBand="0" w:noVBand="1"/>
      </w:tblPr>
      <w:tblGrid>
        <w:gridCol w:w="1363"/>
        <w:gridCol w:w="1464"/>
        <w:gridCol w:w="4018"/>
      </w:tblGrid>
      <w:tr w:rsidR="00093A32" w14:paraId="4661C1E7" w14:textId="77777777">
        <w:tblPrEx>
          <w:tblCellMar>
            <w:top w:w="0" w:type="dxa"/>
            <w:bottom w:w="0" w:type="dxa"/>
          </w:tblCellMar>
        </w:tblPrEx>
        <w:trPr>
          <w:trHeight w:hRule="exact" w:val="274"/>
          <w:jc w:val="center"/>
        </w:trPr>
        <w:tc>
          <w:tcPr>
            <w:tcW w:w="1363" w:type="dxa"/>
            <w:shd w:val="clear" w:color="auto" w:fill="231F20"/>
          </w:tcPr>
          <w:p w14:paraId="0103A3F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Familia</w:t>
            </w:r>
          </w:p>
        </w:tc>
        <w:tc>
          <w:tcPr>
            <w:tcW w:w="1464" w:type="dxa"/>
            <w:shd w:val="clear" w:color="auto" w:fill="231F20"/>
          </w:tcPr>
          <w:p w14:paraId="03B4D5FA"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80"/>
              <w:rPr>
                <w:sz w:val="24"/>
                <w:szCs w:val="24"/>
              </w:rPr>
            </w:pPr>
            <w:r>
              <w:rPr>
                <w:rFonts w:ascii="Arial" w:eastAsia="Arial" w:hAnsi="Arial" w:cs="Arial"/>
                <w:b/>
                <w:bCs/>
                <w:color w:val="FFFFFF"/>
                <w:w w:val="70"/>
                <w:sz w:val="24"/>
                <w:szCs w:val="24"/>
              </w:rPr>
              <w:t>Género</w:t>
            </w:r>
          </w:p>
        </w:tc>
        <w:tc>
          <w:tcPr>
            <w:tcW w:w="4018" w:type="dxa"/>
            <w:shd w:val="clear" w:color="auto" w:fill="231F20"/>
          </w:tcPr>
          <w:p w14:paraId="4B819C9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80"/>
              <w:jc w:val="both"/>
              <w:rPr>
                <w:sz w:val="24"/>
                <w:szCs w:val="24"/>
              </w:rPr>
            </w:pPr>
            <w:r>
              <w:rPr>
                <w:rFonts w:ascii="Arial" w:eastAsia="Arial" w:hAnsi="Arial" w:cs="Arial"/>
                <w:b/>
                <w:bCs/>
                <w:color w:val="FFFFFF"/>
                <w:w w:val="70"/>
                <w:sz w:val="24"/>
                <w:szCs w:val="24"/>
              </w:rPr>
              <w:t>Agentes representativos y sitios geográficos</w:t>
            </w:r>
          </w:p>
        </w:tc>
      </w:tr>
      <w:tr w:rsidR="00093A32" w14:paraId="51B9C39C" w14:textId="77777777">
        <w:tblPrEx>
          <w:tblCellMar>
            <w:top w:w="0" w:type="dxa"/>
            <w:bottom w:w="0" w:type="dxa"/>
          </w:tblCellMar>
        </w:tblPrEx>
        <w:trPr>
          <w:trHeight w:hRule="exact" w:val="720"/>
          <w:jc w:val="center"/>
        </w:trPr>
        <w:tc>
          <w:tcPr>
            <w:tcW w:w="1363" w:type="dxa"/>
            <w:shd w:val="clear" w:color="auto" w:fill="FFFFFF"/>
          </w:tcPr>
          <w:p w14:paraId="2F58A27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Bunyaviridae</w:t>
            </w:r>
          </w:p>
        </w:tc>
        <w:tc>
          <w:tcPr>
            <w:tcW w:w="1464" w:type="dxa"/>
            <w:shd w:val="clear" w:color="auto" w:fill="FFFFFF"/>
          </w:tcPr>
          <w:p w14:paraId="765DB07B"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Bunyavirus</w:t>
            </w:r>
          </w:p>
        </w:tc>
        <w:tc>
          <w:tcPr>
            <w:tcW w:w="4018" w:type="dxa"/>
            <w:shd w:val="clear" w:color="auto" w:fill="FFFFFF"/>
            <w:vAlign w:val="bottom"/>
          </w:tcPr>
          <w:p w14:paraId="03484531" w14:textId="77777777" w:rsidR="00093A32" w:rsidRDefault="00093A32">
            <w:pPr>
              <w:pStyle w:val="Other0"/>
              <w:spacing w:line="283" w:lineRule="auto"/>
              <w:ind w:left="380" w:hanging="100"/>
              <w:jc w:val="both"/>
              <w:rPr>
                <w:sz w:val="16"/>
                <w:szCs w:val="16"/>
              </w:rPr>
            </w:pPr>
            <w:r>
              <w:rPr>
                <w:rFonts w:ascii="Times New Roman" w:eastAsia="Times New Roman" w:hAnsi="Times New Roman" w:cs="Times New Roman"/>
                <w:sz w:val="16"/>
                <w:szCs w:val="16"/>
              </w:rPr>
              <w:t>Virus del serogrupo California (América del Norte y del Sur, Europa, Asia)</w:t>
            </w:r>
          </w:p>
          <w:p w14:paraId="06930880" w14:textId="77777777" w:rsidR="00093A32" w:rsidRDefault="00093A32">
            <w:pPr>
              <w:pStyle w:val="Other0"/>
              <w:spacing w:line="283" w:lineRule="auto"/>
              <w:ind w:firstLine="280"/>
              <w:rPr>
                <w:sz w:val="16"/>
                <w:szCs w:val="16"/>
              </w:rPr>
            </w:pPr>
            <w:r>
              <w:rPr>
                <w:rFonts w:ascii="Times New Roman" w:eastAsia="Times New Roman" w:hAnsi="Times New Roman" w:cs="Times New Roman"/>
                <w:sz w:val="16"/>
                <w:szCs w:val="16"/>
              </w:rPr>
              <w:t>Virus Oropouche (América del Sur)</w:t>
            </w:r>
          </w:p>
        </w:tc>
      </w:tr>
      <w:tr w:rsidR="00093A32" w14:paraId="6B2A37AE" w14:textId="77777777">
        <w:tblPrEx>
          <w:tblCellMar>
            <w:top w:w="0" w:type="dxa"/>
            <w:bottom w:w="0" w:type="dxa"/>
          </w:tblCellMar>
        </w:tblPrEx>
        <w:trPr>
          <w:trHeight w:hRule="exact" w:val="869"/>
          <w:jc w:val="center"/>
        </w:trPr>
        <w:tc>
          <w:tcPr>
            <w:tcW w:w="1363" w:type="dxa"/>
            <w:shd w:val="clear" w:color="auto" w:fill="FFFFFF"/>
          </w:tcPr>
          <w:p w14:paraId="5E920F7A" w14:textId="77777777" w:rsidR="00093A32" w:rsidRDefault="00093A32">
            <w:pPr>
              <w:rPr>
                <w:sz w:val="10"/>
                <w:szCs w:val="10"/>
              </w:rPr>
            </w:pPr>
          </w:p>
        </w:tc>
        <w:tc>
          <w:tcPr>
            <w:tcW w:w="1464" w:type="dxa"/>
            <w:shd w:val="clear" w:color="auto" w:fill="FFFFFF"/>
          </w:tcPr>
          <w:p w14:paraId="2468A7BE"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Phlebovirus</w:t>
            </w:r>
          </w:p>
        </w:tc>
        <w:tc>
          <w:tcPr>
            <w:tcW w:w="4018" w:type="dxa"/>
            <w:shd w:val="clear" w:color="auto" w:fill="FFFFFF"/>
            <w:vAlign w:val="bottom"/>
          </w:tcPr>
          <w:p w14:paraId="5DF7F77E" w14:textId="77777777" w:rsidR="00093A32" w:rsidRDefault="00093A32">
            <w:pPr>
              <w:pStyle w:val="Other0"/>
              <w:spacing w:line="283" w:lineRule="auto"/>
              <w:ind w:left="280" w:firstLine="0"/>
              <w:jc w:val="both"/>
              <w:rPr>
                <w:sz w:val="16"/>
                <w:szCs w:val="16"/>
              </w:rPr>
            </w:pPr>
            <w:r>
              <w:rPr>
                <w:rFonts w:ascii="Times New Roman" w:eastAsia="Times New Roman" w:hAnsi="Times New Roman" w:cs="Times New Roman"/>
                <w:sz w:val="16"/>
                <w:szCs w:val="16"/>
              </w:rPr>
              <w:t>Virus de fiebre por flebótomos (Europa, África, Asia) Fiebre del Valle del Rift (África subsahariana, Arabia</w:t>
            </w:r>
          </w:p>
          <w:p w14:paraId="0CDE83F4" w14:textId="77777777" w:rsidR="00093A32" w:rsidRDefault="00093A32">
            <w:pPr>
              <w:pStyle w:val="Other0"/>
              <w:spacing w:line="283" w:lineRule="auto"/>
              <w:ind w:firstLine="380"/>
              <w:rPr>
                <w:sz w:val="16"/>
                <w:szCs w:val="16"/>
              </w:rPr>
            </w:pPr>
            <w:r>
              <w:rPr>
                <w:rFonts w:ascii="Times New Roman" w:eastAsia="Times New Roman" w:hAnsi="Times New Roman" w:cs="Times New Roman"/>
                <w:sz w:val="16"/>
                <w:szCs w:val="16"/>
              </w:rPr>
              <w:t>Saudita, Yemen)</w:t>
            </w:r>
          </w:p>
          <w:p w14:paraId="4F78DFB0" w14:textId="77777777" w:rsidR="00093A32" w:rsidRDefault="00093A32">
            <w:pPr>
              <w:pStyle w:val="Other0"/>
              <w:spacing w:line="283" w:lineRule="auto"/>
              <w:ind w:firstLine="280"/>
              <w:rPr>
                <w:sz w:val="16"/>
                <w:szCs w:val="16"/>
              </w:rPr>
            </w:pPr>
            <w:r>
              <w:rPr>
                <w:rFonts w:ascii="Times New Roman" w:eastAsia="Times New Roman" w:hAnsi="Times New Roman" w:cs="Times New Roman"/>
                <w:sz w:val="16"/>
                <w:szCs w:val="16"/>
              </w:rPr>
              <w:t>Virus Toscana (Europa)</w:t>
            </w:r>
          </w:p>
        </w:tc>
      </w:tr>
      <w:tr w:rsidR="00093A32" w14:paraId="5A779CDA" w14:textId="77777777">
        <w:tblPrEx>
          <w:tblCellMar>
            <w:top w:w="0" w:type="dxa"/>
            <w:bottom w:w="0" w:type="dxa"/>
          </w:tblCellMar>
        </w:tblPrEx>
        <w:trPr>
          <w:trHeight w:hRule="exact" w:val="432"/>
          <w:jc w:val="center"/>
        </w:trPr>
        <w:tc>
          <w:tcPr>
            <w:tcW w:w="1363" w:type="dxa"/>
            <w:shd w:val="clear" w:color="auto" w:fill="FFFFFF"/>
          </w:tcPr>
          <w:p w14:paraId="4DA6F8C2" w14:textId="77777777" w:rsidR="00093A32" w:rsidRDefault="00093A32">
            <w:pPr>
              <w:rPr>
                <w:sz w:val="10"/>
                <w:szCs w:val="10"/>
              </w:rPr>
            </w:pPr>
          </w:p>
        </w:tc>
        <w:tc>
          <w:tcPr>
            <w:tcW w:w="1464" w:type="dxa"/>
            <w:shd w:val="clear" w:color="auto" w:fill="FFFFFF"/>
          </w:tcPr>
          <w:p w14:paraId="19A20FB5"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Nairovirus</w:t>
            </w:r>
          </w:p>
        </w:tc>
        <w:tc>
          <w:tcPr>
            <w:tcW w:w="4018" w:type="dxa"/>
            <w:shd w:val="clear" w:color="auto" w:fill="FFFFFF"/>
            <w:vAlign w:val="bottom"/>
          </w:tcPr>
          <w:p w14:paraId="79415570"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fiebre hemorrágica de Crimea-Congo (África, Europa, Asia)</w:t>
            </w:r>
          </w:p>
        </w:tc>
      </w:tr>
      <w:tr w:rsidR="00093A32" w14:paraId="31DAABE9" w14:textId="77777777">
        <w:tblPrEx>
          <w:tblCellMar>
            <w:top w:w="0" w:type="dxa"/>
            <w:bottom w:w="0" w:type="dxa"/>
          </w:tblCellMar>
        </w:tblPrEx>
        <w:trPr>
          <w:trHeight w:hRule="exact" w:val="211"/>
          <w:jc w:val="center"/>
        </w:trPr>
        <w:tc>
          <w:tcPr>
            <w:tcW w:w="1363" w:type="dxa"/>
            <w:shd w:val="clear" w:color="auto" w:fill="FFFFFF"/>
          </w:tcPr>
          <w:p w14:paraId="39C93814" w14:textId="77777777" w:rsidR="00093A32" w:rsidRDefault="00093A32">
            <w:pPr>
              <w:rPr>
                <w:sz w:val="10"/>
                <w:szCs w:val="10"/>
              </w:rPr>
            </w:pPr>
          </w:p>
        </w:tc>
        <w:tc>
          <w:tcPr>
            <w:tcW w:w="1464" w:type="dxa"/>
            <w:shd w:val="clear" w:color="auto" w:fill="FFFFFF"/>
          </w:tcPr>
          <w:p w14:paraId="77792BC8"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Hantavirus</w:t>
            </w:r>
          </w:p>
        </w:tc>
        <w:tc>
          <w:tcPr>
            <w:tcW w:w="4018" w:type="dxa"/>
            <w:shd w:val="clear" w:color="auto" w:fill="FFFFFF"/>
          </w:tcPr>
          <w:p w14:paraId="7E9193A9" w14:textId="77777777" w:rsidR="00093A32" w:rsidRDefault="00093A32">
            <w:pPr>
              <w:pStyle w:val="Other0"/>
              <w:spacing w:line="240" w:lineRule="auto"/>
              <w:ind w:firstLine="280"/>
              <w:jc w:val="both"/>
              <w:rPr>
                <w:sz w:val="16"/>
                <w:szCs w:val="16"/>
              </w:rPr>
            </w:pPr>
            <w:r>
              <w:rPr>
                <w:rFonts w:ascii="Times New Roman" w:eastAsia="Times New Roman" w:hAnsi="Times New Roman" w:cs="Times New Roman"/>
                <w:sz w:val="16"/>
                <w:szCs w:val="16"/>
              </w:rPr>
              <w:t>Virus Hanta de fiebre hemorrágica (Asia)</w:t>
            </w:r>
          </w:p>
        </w:tc>
      </w:tr>
      <w:tr w:rsidR="00093A32" w14:paraId="137B5C07" w14:textId="77777777">
        <w:tblPrEx>
          <w:tblCellMar>
            <w:top w:w="0" w:type="dxa"/>
            <w:bottom w:w="0" w:type="dxa"/>
          </w:tblCellMar>
        </w:tblPrEx>
        <w:trPr>
          <w:trHeight w:hRule="exact" w:val="2592"/>
          <w:jc w:val="center"/>
        </w:trPr>
        <w:tc>
          <w:tcPr>
            <w:tcW w:w="1363" w:type="dxa"/>
            <w:shd w:val="clear" w:color="auto" w:fill="FFFFFF"/>
          </w:tcPr>
          <w:p w14:paraId="2D01EAA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Togaviridae</w:t>
            </w:r>
          </w:p>
        </w:tc>
        <w:tc>
          <w:tcPr>
            <w:tcW w:w="1464" w:type="dxa"/>
            <w:shd w:val="clear" w:color="auto" w:fill="FFFFFF"/>
          </w:tcPr>
          <w:p w14:paraId="3D94D14E"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Alfavirus</w:t>
            </w:r>
          </w:p>
        </w:tc>
        <w:tc>
          <w:tcPr>
            <w:tcW w:w="4018" w:type="dxa"/>
            <w:shd w:val="clear" w:color="auto" w:fill="FFFFFF"/>
            <w:vAlign w:val="bottom"/>
          </w:tcPr>
          <w:p w14:paraId="112E6ABD"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encefalitis equina de la región oriental (América del Norte y del Sur)</w:t>
            </w:r>
          </w:p>
          <w:p w14:paraId="3CC1A07D"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encefalitis equina de la región occidental (América del Norte y del Sur)</w:t>
            </w:r>
          </w:p>
          <w:p w14:paraId="6B36AE5A"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encefalitis equina venezolana (América Central y del Sur, Florida)</w:t>
            </w:r>
          </w:p>
          <w:p w14:paraId="2BCBB5D2" w14:textId="77777777" w:rsidR="00093A32" w:rsidRDefault="00093A32">
            <w:pPr>
              <w:pStyle w:val="Other0"/>
              <w:spacing w:line="283" w:lineRule="auto"/>
              <w:ind w:firstLine="280"/>
              <w:rPr>
                <w:sz w:val="16"/>
                <w:szCs w:val="16"/>
              </w:rPr>
            </w:pPr>
            <w:r>
              <w:rPr>
                <w:rFonts w:ascii="Times New Roman" w:eastAsia="Times New Roman" w:hAnsi="Times New Roman" w:cs="Times New Roman"/>
                <w:sz w:val="16"/>
                <w:szCs w:val="16"/>
              </w:rPr>
              <w:t>Virus Mayaro (América Central y del Sur)</w:t>
            </w:r>
          </w:p>
          <w:p w14:paraId="410B0E55" w14:textId="77777777" w:rsidR="00093A32" w:rsidRDefault="00093A32">
            <w:pPr>
              <w:pStyle w:val="Other0"/>
              <w:spacing w:line="283" w:lineRule="auto"/>
              <w:ind w:firstLine="280"/>
              <w:rPr>
                <w:sz w:val="16"/>
                <w:szCs w:val="16"/>
              </w:rPr>
            </w:pPr>
            <w:r>
              <w:rPr>
                <w:rFonts w:ascii="Times New Roman" w:eastAsia="Times New Roman" w:hAnsi="Times New Roman" w:cs="Times New Roman"/>
                <w:sz w:val="16"/>
                <w:szCs w:val="16"/>
              </w:rPr>
              <w:t>Virus Chikungunya (África, Asia)</w:t>
            </w:r>
          </w:p>
          <w:p w14:paraId="6031B2EF" w14:textId="77777777" w:rsidR="00093A32" w:rsidRDefault="00093A32">
            <w:pPr>
              <w:pStyle w:val="Other0"/>
              <w:spacing w:line="283" w:lineRule="auto"/>
              <w:ind w:firstLine="280"/>
              <w:rPr>
                <w:sz w:val="16"/>
                <w:szCs w:val="16"/>
              </w:rPr>
            </w:pPr>
            <w:r>
              <w:rPr>
                <w:rFonts w:ascii="Times New Roman" w:eastAsia="Times New Roman" w:hAnsi="Times New Roman" w:cs="Times New Roman"/>
                <w:sz w:val="16"/>
                <w:szCs w:val="16"/>
              </w:rPr>
              <w:t>Virus del Río Ross (Australia, Oceanía)</w:t>
            </w:r>
          </w:p>
          <w:p w14:paraId="6DAA75C7" w14:textId="77777777" w:rsidR="00093A32" w:rsidRDefault="00093A32">
            <w:pPr>
              <w:pStyle w:val="Other0"/>
              <w:spacing w:line="283" w:lineRule="auto"/>
              <w:ind w:firstLine="280"/>
              <w:rPr>
                <w:sz w:val="16"/>
                <w:szCs w:val="16"/>
              </w:rPr>
            </w:pPr>
            <w:r>
              <w:rPr>
                <w:rFonts w:ascii="Times New Roman" w:eastAsia="Times New Roman" w:hAnsi="Times New Roman" w:cs="Times New Roman"/>
                <w:sz w:val="16"/>
                <w:szCs w:val="16"/>
              </w:rPr>
              <w:t>Virus O’nyong-nyong (África)</w:t>
            </w:r>
          </w:p>
          <w:p w14:paraId="3F755645"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Sindbis (África, Península Escandinava, norte de Europa, Asia, Australia)</w:t>
            </w:r>
          </w:p>
        </w:tc>
      </w:tr>
      <w:tr w:rsidR="00093A32" w14:paraId="692F1FB9" w14:textId="77777777">
        <w:tblPrEx>
          <w:tblCellMar>
            <w:top w:w="0" w:type="dxa"/>
            <w:bottom w:w="0" w:type="dxa"/>
          </w:tblCellMar>
        </w:tblPrEx>
        <w:trPr>
          <w:trHeight w:hRule="exact" w:val="2371"/>
          <w:jc w:val="center"/>
        </w:trPr>
        <w:tc>
          <w:tcPr>
            <w:tcW w:w="1363" w:type="dxa"/>
            <w:shd w:val="clear" w:color="auto" w:fill="FFFFFF"/>
          </w:tcPr>
          <w:p w14:paraId="7E862C8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Flaviviridae</w:t>
            </w:r>
          </w:p>
        </w:tc>
        <w:tc>
          <w:tcPr>
            <w:tcW w:w="1464" w:type="dxa"/>
            <w:shd w:val="clear" w:color="auto" w:fill="FFFFFF"/>
          </w:tcPr>
          <w:p w14:paraId="7C67AC94"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Flavivirus</w:t>
            </w:r>
          </w:p>
        </w:tc>
        <w:tc>
          <w:tcPr>
            <w:tcW w:w="4018" w:type="dxa"/>
            <w:shd w:val="clear" w:color="auto" w:fill="FFFFFF"/>
            <w:vAlign w:val="bottom"/>
          </w:tcPr>
          <w:p w14:paraId="3054B31C"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encefalitis St Louis (América del Norte y del Sur)</w:t>
            </w:r>
          </w:p>
          <w:p w14:paraId="3C681110" w14:textId="77777777" w:rsidR="00093A32" w:rsidRDefault="00093A32">
            <w:pPr>
              <w:pStyle w:val="Other0"/>
              <w:spacing w:line="283" w:lineRule="auto"/>
              <w:ind w:firstLine="280"/>
              <w:jc w:val="both"/>
              <w:rPr>
                <w:sz w:val="16"/>
                <w:szCs w:val="16"/>
              </w:rPr>
            </w:pPr>
            <w:r>
              <w:rPr>
                <w:rFonts w:ascii="Times New Roman" w:eastAsia="Times New Roman" w:hAnsi="Times New Roman" w:cs="Times New Roman"/>
                <w:sz w:val="16"/>
                <w:szCs w:val="16"/>
              </w:rPr>
              <w:t>Virus de encefalitis japonesa (Asia)</w:t>
            </w:r>
          </w:p>
          <w:p w14:paraId="7F636F1F" w14:textId="77777777" w:rsidR="00093A32" w:rsidRDefault="00093A32">
            <w:pPr>
              <w:pStyle w:val="Other0"/>
              <w:spacing w:line="283" w:lineRule="auto"/>
              <w:ind w:firstLine="280"/>
              <w:jc w:val="both"/>
              <w:rPr>
                <w:sz w:val="16"/>
                <w:szCs w:val="16"/>
              </w:rPr>
            </w:pPr>
            <w:r>
              <w:rPr>
                <w:rFonts w:ascii="Times New Roman" w:eastAsia="Times New Roman" w:hAnsi="Times New Roman" w:cs="Times New Roman"/>
                <w:sz w:val="16"/>
                <w:szCs w:val="16"/>
              </w:rPr>
              <w:t>Virus del dengue (tipos 1-4) (trópicos, nivel mundial)</w:t>
            </w:r>
          </w:p>
          <w:p w14:paraId="24AAF013" w14:textId="77777777" w:rsidR="00093A32" w:rsidRDefault="00093A32">
            <w:pPr>
              <w:pStyle w:val="Other0"/>
              <w:spacing w:line="283" w:lineRule="auto"/>
              <w:ind w:left="280" w:firstLine="0"/>
              <w:rPr>
                <w:sz w:val="16"/>
                <w:szCs w:val="16"/>
              </w:rPr>
            </w:pPr>
            <w:r>
              <w:rPr>
                <w:rFonts w:ascii="Times New Roman" w:eastAsia="Times New Roman" w:hAnsi="Times New Roman" w:cs="Times New Roman"/>
                <w:sz w:val="16"/>
                <w:szCs w:val="16"/>
              </w:rPr>
              <w:t>Virus de la fiebre amarilla (América del Sur, África) Virus de la encefalitis del Valle Murray (Australia) Virus del Nilo occidental (Europa, África, Asia,</w:t>
            </w:r>
          </w:p>
          <w:p w14:paraId="4CC8CD76" w14:textId="77777777" w:rsidR="00093A32" w:rsidRDefault="00093A32">
            <w:pPr>
              <w:pStyle w:val="Other0"/>
              <w:spacing w:line="283" w:lineRule="auto"/>
              <w:ind w:firstLine="380"/>
              <w:rPr>
                <w:sz w:val="16"/>
                <w:szCs w:val="16"/>
              </w:rPr>
            </w:pPr>
            <w:r>
              <w:rPr>
                <w:rFonts w:ascii="Times New Roman" w:eastAsia="Times New Roman" w:hAnsi="Times New Roman" w:cs="Times New Roman"/>
                <w:sz w:val="16"/>
                <w:szCs w:val="16"/>
              </w:rPr>
              <w:t>América del Norte)</w:t>
            </w:r>
          </w:p>
          <w:p w14:paraId="4E7F096C"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Complejo de virus de encefalitis transmitidos por garrapatas (Europa y Asia)</w:t>
            </w:r>
          </w:p>
          <w:p w14:paraId="7A99611A" w14:textId="77777777" w:rsidR="00093A32" w:rsidRDefault="00093A32">
            <w:pPr>
              <w:pStyle w:val="Other0"/>
              <w:spacing w:line="283" w:lineRule="auto"/>
              <w:ind w:firstLine="280"/>
              <w:jc w:val="both"/>
              <w:rPr>
                <w:sz w:val="16"/>
                <w:szCs w:val="16"/>
              </w:rPr>
            </w:pPr>
            <w:r>
              <w:rPr>
                <w:rFonts w:ascii="Times New Roman" w:eastAsia="Times New Roman" w:hAnsi="Times New Roman" w:cs="Times New Roman"/>
                <w:sz w:val="16"/>
                <w:szCs w:val="16"/>
              </w:rPr>
              <w:t>Virus Powassan (América del Norte, Asia)</w:t>
            </w:r>
          </w:p>
        </w:tc>
      </w:tr>
      <w:tr w:rsidR="00093A32" w14:paraId="2BFF92D5" w14:textId="77777777">
        <w:tblPrEx>
          <w:tblCellMar>
            <w:top w:w="0" w:type="dxa"/>
            <w:bottom w:w="0" w:type="dxa"/>
          </w:tblCellMar>
        </w:tblPrEx>
        <w:trPr>
          <w:trHeight w:hRule="exact" w:val="432"/>
          <w:jc w:val="center"/>
        </w:trPr>
        <w:tc>
          <w:tcPr>
            <w:tcW w:w="1363" w:type="dxa"/>
            <w:shd w:val="clear" w:color="auto" w:fill="FFFFFF"/>
          </w:tcPr>
          <w:p w14:paraId="4FE0F10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Reoviridae</w:t>
            </w:r>
          </w:p>
        </w:tc>
        <w:tc>
          <w:tcPr>
            <w:tcW w:w="1464" w:type="dxa"/>
            <w:shd w:val="clear" w:color="auto" w:fill="FFFFFF"/>
          </w:tcPr>
          <w:p w14:paraId="038B2D7A"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Coltivirus</w:t>
            </w:r>
          </w:p>
        </w:tc>
        <w:tc>
          <w:tcPr>
            <w:tcW w:w="4018" w:type="dxa"/>
            <w:shd w:val="clear" w:color="auto" w:fill="FFFFFF"/>
            <w:vAlign w:val="bottom"/>
          </w:tcPr>
          <w:p w14:paraId="0D5C60F0"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fiebre por garrapatas de Colorado (Estados Unidos, Canadá, Asia)</w:t>
            </w:r>
          </w:p>
        </w:tc>
      </w:tr>
      <w:tr w:rsidR="00093A32" w14:paraId="497A9CB5" w14:textId="77777777">
        <w:tblPrEx>
          <w:tblCellMar>
            <w:top w:w="0" w:type="dxa"/>
            <w:bottom w:w="0" w:type="dxa"/>
          </w:tblCellMar>
        </w:tblPrEx>
        <w:trPr>
          <w:trHeight w:hRule="exact" w:val="533"/>
          <w:jc w:val="center"/>
        </w:trPr>
        <w:tc>
          <w:tcPr>
            <w:tcW w:w="1363" w:type="dxa"/>
            <w:tcBorders>
              <w:bottom w:val="single" w:sz="4" w:space="0" w:color="auto"/>
            </w:tcBorders>
            <w:shd w:val="clear" w:color="auto" w:fill="FFFFFF"/>
          </w:tcPr>
          <w:p w14:paraId="06B0BF5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Rhabdoviridae</w:t>
            </w:r>
          </w:p>
        </w:tc>
        <w:tc>
          <w:tcPr>
            <w:tcW w:w="1464" w:type="dxa"/>
            <w:tcBorders>
              <w:bottom w:val="single" w:sz="4" w:space="0" w:color="auto"/>
            </w:tcBorders>
            <w:shd w:val="clear" w:color="auto" w:fill="FFFFFF"/>
          </w:tcPr>
          <w:p w14:paraId="45A9046F"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Vesiculovirus</w:t>
            </w:r>
          </w:p>
        </w:tc>
        <w:tc>
          <w:tcPr>
            <w:tcW w:w="4018" w:type="dxa"/>
            <w:tcBorders>
              <w:bottom w:val="single" w:sz="4" w:space="0" w:color="auto"/>
            </w:tcBorders>
            <w:shd w:val="clear" w:color="auto" w:fill="FFFFFF"/>
          </w:tcPr>
          <w:p w14:paraId="001BE707"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Virus de la estomatitis vesiculosa (hemisferio Occidental)</w:t>
            </w:r>
          </w:p>
        </w:tc>
      </w:tr>
    </w:tbl>
    <w:p w14:paraId="7FDAA930" w14:textId="77777777" w:rsidR="00093A32" w:rsidRDefault="00093A32">
      <w:pPr>
        <w:pStyle w:val="BodyText"/>
        <w:ind w:firstLine="0"/>
      </w:pPr>
      <w:r>
        <w:t>están el dengue, la fiebre amarilla, la fiebre por virus Oropouche y por virus chikungunya porque los vectores infectados propagan la enfermedad de una persona a otra (transmisión antroponótica). En el caso de los demás arbovirus, no hay propagación directa de una persona a otra. Se ha transmitido la fiebre de garrapata del Colorado y WNV por sangre en transfusión (véase “Aspectos de seguridad en el uso de sangre y hemoderivados: disminución del riesgo de infecciones transmitidas en transfusiones”, sección 2) y se ha transmitido WNV en trasplante de órganos.</w:t>
      </w:r>
    </w:p>
    <w:p w14:paraId="02999213" w14:textId="77777777" w:rsidR="00093A32" w:rsidRDefault="00093A32">
      <w:pPr>
        <w:pStyle w:val="BodyText"/>
        <w:ind w:firstLine="360"/>
      </w:pPr>
      <w:r>
        <w:t>En Estados Unidos, las infecciones por arbovirus transmitidas por mosquitos aparecen generalmente a finales del verano y comienzos del otoño, pero en el llamado Sur Profundo, surgen durante todo el año casos de EEE. Se han notificado a nivel nacional cada año unos cinco casos de WEE y EEE. En epidemias de SLE puede haber infección de personas de cualquier edad, pero los casos de enfermedad clínica surgen más a menudo en los extremos de la vida, particularmente en ancianos. Los brotes de SLE en conglomerados urbanos han ocasionado cientos de casos, y afectan de manera desproporcionada a vecindarios de clases socioeconómica baja y personas sin hogar. La encefalitis atribuida al virus LAC se transmite siguiendo un perfil endémico en entornos boscosos de las zonas occidental y del medio oeste de Estados Unidos y California. Prácticamente los 100 casos, en promedio, notificados cada año son de niños menores de 15 años de vida. El virus del Nilo occidental es transmitido entre mosquitos y aves, y los seres humanos y los caballos se infectan de manera accidental. También ha ocurrido la infección por transfusiones de sangre y órganos en trasplante.</w:t>
      </w:r>
    </w:p>
    <w:p w14:paraId="58858B4A" w14:textId="77777777" w:rsidR="00093A32" w:rsidRDefault="00093A32">
      <w:pPr>
        <w:pStyle w:val="BodyText"/>
        <w:spacing w:line="271" w:lineRule="auto"/>
        <w:ind w:firstLine="360"/>
      </w:pPr>
      <w:r>
        <w:t xml:space="preserve">En los cuadros 3-1 y 3-2, se señalan los periodos de incubación y distribuciones geográficas de algunas infecciones por arbovirus médicamente importantes y escogidas. </w:t>
      </w:r>
      <w:r>
        <w:rPr>
          <w:b/>
          <w:bCs/>
        </w:rPr>
        <w:t>M</w:t>
      </w:r>
      <w:r>
        <w:rPr>
          <w:b/>
          <w:bCs/>
          <w:sz w:val="13"/>
          <w:szCs w:val="13"/>
        </w:rPr>
        <w:t>ÉTODOS DIAGNÓSTICOS</w:t>
      </w:r>
      <w:r>
        <w:rPr>
          <w:b/>
          <w:bCs/>
        </w:rPr>
        <w:t xml:space="preserve">: </w:t>
      </w:r>
      <w:r>
        <w:t xml:space="preserve">El diagnóstico definitivo se confirma por métodos serológicos en líquido cefalorraquídeo (LCR) o suero o por aislamiento de los virus. También tiene carácter confirmatorio detectar la inmunoglobulina M como anticuerpo específico de virus en LCR, y su presencia en una muestra de suero constituye prueba presuncional de infección reciente en una persona con infección aguda del SNC. También se confirma la presencia de la infección, si hay un cambio mayor de cuatro tantos en el título de anticuerpos séricos en pares de muestras de suero obtenidas con una diferencia de dos a cuatro semanas. Un solo título mayor de anticuerpos define a un caso como supuesto. La reacción en cadena de polimerasa para detectar algunos arbovirus ha sido una técnica de creación reciente, pero no se ha introducido en el diagnóstico habitual de laboratorio. En varios laboratorios comerciales, estatales, de investigación y especializados en Estados Unidos se practican métodos serológicos para identificar el dengue y los arbovirus transmitidos en dicho país. Durante la fase aguda de dengue, fiebre amarilla, CTF, encefalitis equina venezolana </w:t>
      </w:r>
      <w:r>
        <w:rPr>
          <w:i/>
          <w:iCs/>
        </w:rPr>
        <w:t>(</w:t>
      </w:r>
      <w:r>
        <w:rPr>
          <w:rFonts w:ascii="Times New Roman" w:eastAsia="Times New Roman" w:hAnsi="Times New Roman" w:cs="Times New Roman"/>
          <w:i/>
          <w:iCs/>
          <w:sz w:val="16"/>
          <w:szCs w:val="16"/>
        </w:rPr>
        <w:t>Venezuelan equine encephalitis</w:t>
      </w:r>
      <w:r>
        <w:rPr>
          <w:i/>
          <w:iCs/>
        </w:rPr>
        <w:t>,</w:t>
      </w:r>
      <w:r>
        <w:t xml:space="preserve"> VEE) y otras infecciones por arbovirus, se ha aislado el virus de la sangre, y en el caso de VEE, de la faringe. En personas con encefalitis se intentará aislar el virus en una muestra de LCR o material de biopsia, o de las muestras postmortem de tejido encefálico. Los resultados serológicos deben interpretarse en el contexto de inmunizaciones previas con vacunas contra fiebre amarilla y encefalitis japonesa, así como de sitios en que vivió y a los que viajó el enfermo. </w:t>
      </w:r>
      <w:r>
        <w:rPr>
          <w:b/>
          <w:bCs/>
        </w:rPr>
        <w:t>T</w:t>
      </w:r>
      <w:r>
        <w:rPr>
          <w:b/>
          <w:bCs/>
          <w:sz w:val="13"/>
          <w:szCs w:val="13"/>
        </w:rPr>
        <w:t>RATAMIENTO</w:t>
      </w:r>
      <w:r>
        <w:rPr>
          <w:b/>
          <w:bCs/>
        </w:rPr>
        <w:t xml:space="preserve">: </w:t>
      </w:r>
      <w:r>
        <w:t>La vigilancia clínica activa y las intervenciones de apoyo pueden salvar la vida a sujetos con DHF, YF y encefalitis aguda.</w:t>
      </w:r>
    </w:p>
    <w:p w14:paraId="163D6C0E" w14:textId="77777777" w:rsidR="00093A32" w:rsidRDefault="00093A32">
      <w:pPr>
        <w:pStyle w:val="BodyText"/>
        <w:spacing w:after="240"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ha aislado el virus de VEE de la bucofaringe de sujetos con infección aguda y por tal razón, se recomienda emprender precauciones de tipo respiratorio. Los sujetos con dengue y YF agudos tienen dichos virus circulando en su sangre, de tal forma que habría que alejarlos de los posibles mosquitos vectores que pudieran alimentarse de su sangre y más tarde transmitir la infección a otras personas, de quienes obtendrán sangre por succión.</w:t>
      </w:r>
    </w:p>
    <w:p w14:paraId="4D671B38" w14:textId="77777777" w:rsidR="00093A32" w:rsidRDefault="00093A32">
      <w:pPr>
        <w:pStyle w:val="Other0"/>
        <w:spacing w:after="240" w:line="240" w:lineRule="auto"/>
        <w:ind w:firstLine="0"/>
        <w:rPr>
          <w:sz w:val="20"/>
          <w:szCs w:val="20"/>
        </w:rPr>
      </w:pPr>
      <w:r>
        <w:rPr>
          <w:b/>
          <w:bCs/>
          <w:smallCaps/>
          <w:sz w:val="20"/>
          <w:szCs w:val="20"/>
        </w:rPr>
        <w:t>M</w:t>
      </w:r>
      <w:r>
        <w:rPr>
          <w:b/>
          <w:bCs/>
          <w:smallCaps/>
          <w:sz w:val="16"/>
          <w:szCs w:val="16"/>
        </w:rPr>
        <w:t>edidas de prevención</w:t>
      </w:r>
      <w:r>
        <w:rPr>
          <w:b/>
          <w:bCs/>
          <w:smallCaps/>
          <w:sz w:val="20"/>
          <w:szCs w:val="20"/>
        </w:rPr>
        <w:t>:</w:t>
      </w:r>
    </w:p>
    <w:p w14:paraId="078C0DC9" w14:textId="77777777" w:rsidR="00093A32" w:rsidRDefault="00093A32">
      <w:pPr>
        <w:pStyle w:val="BodyText"/>
        <w:spacing w:after="240" w:line="276" w:lineRule="auto"/>
        <w:ind w:firstLine="0"/>
      </w:pPr>
      <w:r>
        <w:rPr>
          <w:rFonts w:ascii="Arial" w:eastAsia="Arial" w:hAnsi="Arial" w:cs="Arial"/>
          <w:b/>
          <w:bCs/>
          <w:i/>
          <w:iCs/>
          <w:sz w:val="15"/>
          <w:szCs w:val="15"/>
        </w:rPr>
        <w:t>Protección contra los vectores.</w:t>
      </w:r>
      <w:r>
        <w:t xml:space="preserve"> Los programas de erradicación de mosquitos, administrados por los departamentos de sanidad, son importantes para desterrar los vectores. Entre las precauciones personales para evitar las picaduras de tales artrópodos están usar repelentes, ropas protectoras e insecticidas en aerosol y permanecer en sitios protegidos con mallas finas o con aire acondicionado. Muchas de las especies de vectores muestran mayor actividad en el crepúsculo y el amanecer, pero algunos de los que transmiten la encefalitis LAC y la EEE se alimentan durante horas diurnas. </w:t>
      </w:r>
      <w:r>
        <w:rPr>
          <w:rFonts w:ascii="Times New Roman" w:eastAsia="Times New Roman" w:hAnsi="Times New Roman" w:cs="Times New Roman"/>
          <w:i/>
          <w:iCs/>
          <w:sz w:val="16"/>
          <w:szCs w:val="16"/>
        </w:rPr>
        <w:t xml:space="preserve">Aedes aegypti, </w:t>
      </w:r>
      <w:r>
        <w:t>vector del dengue y de la fiebre amarilla urbana aparece alrededor de casas y zonas techadas incluso en hoteles perfectamente construidos. Las personas que viajan a países tropicales deben pensar en la posibilidad de llevar mosquiteros e insecticidas en aerosol.</w:t>
      </w:r>
    </w:p>
    <w:p w14:paraId="22F994B7" w14:textId="77777777" w:rsidR="00093A32" w:rsidRDefault="00093A32">
      <w:pPr>
        <w:pStyle w:val="Bodytext80"/>
        <w:spacing w:after="240"/>
        <w:rPr>
          <w:sz w:val="15"/>
          <w:szCs w:val="15"/>
        </w:rPr>
      </w:pPr>
      <w:r>
        <w:rPr>
          <w:b/>
          <w:bCs/>
          <w:i/>
          <w:iCs/>
          <w:sz w:val="15"/>
          <w:szCs w:val="15"/>
        </w:rPr>
        <w:t>Vacunación activa</w:t>
      </w:r>
    </w:p>
    <w:p w14:paraId="5BCAE8E6" w14:textId="77777777" w:rsidR="00093A32" w:rsidRDefault="00093A32">
      <w:pPr>
        <w:pStyle w:val="BodyText"/>
        <w:spacing w:line="276" w:lineRule="auto"/>
        <w:ind w:firstLine="0"/>
      </w:pPr>
      <w:r>
        <w:rPr>
          <w:rFonts w:ascii="Times New Roman" w:eastAsia="Times New Roman" w:hAnsi="Times New Roman" w:cs="Times New Roman"/>
          <w:b/>
          <w:bCs/>
          <w:i/>
          <w:iCs/>
          <w:sz w:val="16"/>
          <w:szCs w:val="16"/>
        </w:rPr>
        <w:t>Vacuna contra la fiebre amarilla.</w:t>
      </w:r>
      <w:r>
        <w:rPr>
          <w:rFonts w:ascii="Times New Roman" w:eastAsia="Times New Roman" w:hAnsi="Times New Roman" w:cs="Times New Roman"/>
          <w:b/>
          <w:bCs/>
          <w:i/>
          <w:iCs/>
          <w:sz w:val="16"/>
          <w:szCs w:val="16"/>
        </w:rPr>
        <w:footnoteReference w:id="1"/>
      </w:r>
      <w:r>
        <w:t xml:space="preserve"> En Estados Unidos se puede obtener la vacuna de virus vivo atenuado (cepa 17D) en los centros de vacunación con aprobación estatal. Las autoridades internacionales aceptan que con una sola dosis se obtiene protección durante 10 años y que puede causar inmunidad permanente.</w:t>
      </w:r>
    </w:p>
    <w:p w14:paraId="1255B725" w14:textId="77777777" w:rsidR="00093A32" w:rsidRDefault="00093A32">
      <w:pPr>
        <w:pStyle w:val="BodyText"/>
        <w:ind w:firstLine="360"/>
      </w:pPr>
      <w:r>
        <w:t xml:space="preserve">La vacunación es recomendable en todas las personas de nueve meses de edad o mayores que viven en áreas epidémicas o que viajarán a ellas, y las normas internacionales la exigen cada 10 años para viajar a algunos países o salir de ellos. Será mejor no vacunar a los niños que tengan entre cuatro y nueve meses de edad, porque tienen una mayor susceptibilidad a presentar la encefalitis posvacunal. Para tomar la decisión de vacunar o no a dichos pequeños, debe compararse el peligro de ellos a exposiciones (p. ej., habría que pensar en la vacunación de personas que viajan a una zona de actividad endémica o epidémica constante, si es imposible tener un buen nivel de protección contra la exposición a mosquitos) con los peligros teóricos de la encefalitis posvacunal. La vacuna contra la fiebre amarilla puede aplicarse junto con otra vacuna antitifoídica aprobada por la </w:t>
      </w:r>
      <w:r>
        <w:rPr>
          <w:rFonts w:ascii="Times New Roman" w:eastAsia="Times New Roman" w:hAnsi="Times New Roman" w:cs="Times New Roman"/>
          <w:i/>
          <w:iCs/>
          <w:sz w:val="16"/>
          <w:szCs w:val="16"/>
        </w:rPr>
        <w:t>Food and Drug Administration</w:t>
      </w:r>
      <w:r>
        <w:rPr>
          <w:i/>
          <w:iCs/>
        </w:rPr>
        <w:t>,</w:t>
      </w:r>
      <w:r>
        <w:t xml:space="preserve"> las vacunas con virus de hepatitis A y B, la antisarampionosa, la hecha con virus poliomielíticos y la vacuna meningocócica, cloroquina y concentrado de inmunoglobulina sérica.</w:t>
      </w:r>
    </w:p>
    <w:p w14:paraId="7D5FB604" w14:textId="77777777" w:rsidR="00093A32" w:rsidRDefault="00093A32">
      <w:pPr>
        <w:pStyle w:val="BodyText"/>
        <w:ind w:firstLine="360"/>
        <w:sectPr w:rsidR="00093A32" w:rsidSect="00093A32">
          <w:headerReference w:type="even" r:id="rId7"/>
          <w:headerReference w:type="default" r:id="rId8"/>
          <w:footerReference w:type="even" r:id="rId9"/>
          <w:footerReference w:type="default" r:id="rId10"/>
          <w:headerReference w:type="first" r:id="rId11"/>
          <w:footerReference w:type="first" r:id="rId12"/>
          <w:footnotePr>
            <w:numFmt w:val="chicago"/>
          </w:footnotePr>
          <w:pgSz w:w="8501" w:h="13022"/>
          <w:pgMar w:top="708" w:right="805" w:bottom="440" w:left="770" w:header="0" w:footer="3" w:gutter="0"/>
          <w:cols w:space="720"/>
          <w:noEndnote/>
          <w:titlePg/>
          <w:docGrid w:linePitch="360"/>
          <w15:footnoteColumns w:val="1"/>
        </w:sectPr>
      </w:pPr>
      <w:r>
        <w:t xml:space="preserve">La vacuna contra la fiebre amarilla se prepara en embriones de pollo y contiene proteína del huevo, que puede originar reacciones alérgicas. Es necesario no vacunar a sujetos que han presentado signos o síntomas de reacción anafiláctica después de ingerir huevos; se elaborará una carta de dispensa médica para cumplir con las normas sanitarias o se practicarán pruebas cutáneas según los datos del fabricante antes de aplicar la vacuna (véase también “Reacciones de hipersensibilidad a los constituyentes de la vacuna”, sección 1). La vacuna se aplicará a embarazadas sólo si es inevitable que viajen a un área endémica y si existe un mayor peligro de exposición en ellas. La aplicación de la vacuna contra YF a personas inmunodeficientes conlleva un riesgo </w:t>
      </w:r>
    </w:p>
    <w:p w14:paraId="5BD6C4C4" w14:textId="77777777" w:rsidR="00093A32" w:rsidRDefault="00093A32">
      <w:pPr>
        <w:pStyle w:val="BodyText"/>
        <w:ind w:firstLine="0"/>
      </w:pPr>
      <w:r>
        <w:t xml:space="preserve">teórico. La decisión de aplicarla a dichos pacientes debe compararse con el peligro de exposición que tiene el viajero, así como su estado clínico. Los parientes de personas inmunosuprimidas que en sí mismos no tienen contraindicaciones pueden recibir la vacuna contra YF. Será mejor evitar en la medida de lo posible la vacunación de las madres que amamantan a su hijo. En la División de Enfermedades Infecciosas por Vectores de los </w:t>
      </w:r>
      <w:r>
        <w:rPr>
          <w:rFonts w:ascii="Times New Roman" w:eastAsia="Times New Roman" w:hAnsi="Times New Roman" w:cs="Times New Roman"/>
          <w:i/>
          <w:iCs/>
          <w:sz w:val="16"/>
          <w:szCs w:val="16"/>
        </w:rPr>
        <w:t>Centers for Disease Control and Prevention</w:t>
      </w:r>
      <w:r>
        <w:t xml:space="preserve"> (CDC, teléfono 970-221-6400) se obtiene orientación en cuanto a la vacunación de niños de cuatro a nueve meses de edad, embarazadas o personas inmunodeficientes.</w:t>
      </w:r>
    </w:p>
    <w:p w14:paraId="59478338"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Vacuna contra la encefalitis japonesa.</w:t>
      </w:r>
      <w:r>
        <w:rPr>
          <w:rFonts w:ascii="Times New Roman" w:eastAsia="Times New Roman" w:hAnsi="Times New Roman" w:cs="Times New Roman"/>
          <w:b/>
          <w:bCs/>
          <w:i/>
          <w:iCs/>
          <w:sz w:val="16"/>
          <w:szCs w:val="16"/>
        </w:rPr>
        <w:footnoteReference w:id="2"/>
      </w:r>
      <w:r>
        <w:t xml:space="preserve"> No se recomienda aplicar la vacuna hecha de virus inactivados de encefalitis japonesa, obtenida de encéfalo infectado de ratones, para personas que viajan sistemáticamente a Asia. En 0.3% de quienes la reciben surgen reacciones de hipersensibilidad posvacunal (angioedema, urticaria generalizada); por tal razón, la medida en cuestión se recomienda sólo para expatriados que viven en Asia y viajeros que residirán en zonas en que es endémico o epidémico el virus de la encefalitis japonesa. También se recomienda la vacuna para personas que planean estar más de 30 días en áreas endémicas durante la temporada de transmisión, en particular si el viaje incluye ir a zonas rurales, o bien sus actividades o itinerario les impone un mayor riesgo de exposición (como sería viajar a un área epidémica o practicar ciclismo, acampar o realizar otras actividades al aire libre no protegidas, en áreas rurales). Se pueden obtener de los CDC (</w:t>
      </w:r>
      <w:hyperlink r:id="rId13" w:history="1">
        <w:r>
          <w:t>www.cdc.gov/travel</w:t>
        </w:r>
      </w:hyperlink>
      <w:r>
        <w:t>) datos actualizados sobre los sitios de transmisión del virus de JE e información detallada sobre las recomendaciones de inmunización.</w:t>
      </w:r>
    </w:p>
    <w:p w14:paraId="2781EA64" w14:textId="77777777" w:rsidR="00093A32" w:rsidRDefault="00093A32">
      <w:pPr>
        <w:pStyle w:val="BodyText"/>
        <w:ind w:firstLine="360"/>
      </w:pPr>
      <w:r>
        <w:t>La serie recomendada de vacunación primaria para personas mayores de tres años de edad incluye tres dosis de 1.0 ml cada una, aplicadas por vía subcutánea los días cero, siete y 30. Cabe utilizar un plan abreviado en que se aplique la vacuna a los cero, siete y 14 días cuando las limitaciones cronológicas impiden seguir un calendario más largo. El régimen que se sigue en niños de uno a tres años es idéntico, excepto que cada dosis es de 0.5 ml. No se cuenta con datos de la inocuidad de la vacuna y su eficacia en lactantes.</w:t>
      </w:r>
    </w:p>
    <w:p w14:paraId="3E09B926" w14:textId="77777777" w:rsidR="00093A32" w:rsidRDefault="00093A32">
      <w:pPr>
        <w:pStyle w:val="BodyText"/>
        <w:spacing w:after="80" w:line="283" w:lineRule="auto"/>
        <w:ind w:firstLine="360"/>
      </w:pPr>
      <w:r>
        <w:rPr>
          <w:rFonts w:ascii="Times New Roman" w:eastAsia="Times New Roman" w:hAnsi="Times New Roman" w:cs="Times New Roman"/>
          <w:b/>
          <w:bCs/>
          <w:i/>
          <w:iCs/>
          <w:sz w:val="16"/>
          <w:szCs w:val="16"/>
        </w:rPr>
        <w:t>Otras vacunas hechas con arbovirus.</w:t>
      </w:r>
      <w:r>
        <w:t xml:space="preserve"> En algunos países de Europa en que la enfermedad es endémica se ha aprobado el uso de una vacuna de virus inactivados contra la encefalitis transmitida por garrapatas, pero no se le distribuye en Estados Unidos.</w:t>
      </w:r>
    </w:p>
    <w:p w14:paraId="1610B0D6" w14:textId="77777777" w:rsidR="00093A32" w:rsidRDefault="00093A32">
      <w:pPr>
        <w:pStyle w:val="Bodytext70"/>
        <w:spacing w:after="0"/>
      </w:pPr>
      <w:r>
        <w:rPr>
          <w:i/>
          <w:iCs/>
        </w:rPr>
        <w:t>Arcanobacterium haemolyticum,</w:t>
      </w:r>
      <w:r>
        <w:t xml:space="preserve"> infecciones</w:t>
      </w:r>
    </w:p>
    <w:p w14:paraId="195CC6E7"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La faringitis aguda atribuible a </w:t>
      </w:r>
      <w:r>
        <w:rPr>
          <w:rFonts w:ascii="Times New Roman" w:eastAsia="Times New Roman" w:hAnsi="Times New Roman" w:cs="Times New Roman"/>
          <w:i/>
          <w:iCs/>
          <w:sz w:val="16"/>
          <w:szCs w:val="16"/>
        </w:rPr>
        <w:t>Arcanobacterium haemolyticum</w:t>
      </w:r>
      <w:r>
        <w:t xml:space="preserve"> suele ser idéntica a la causada por estreptococos del grupo A. Surgen a menudo fiebre, exudado faríngeo, linfadenopatía, erupciones y prurito, pero no aparecen signos como las petequias en el paladar y la lengua en “fresa”. En cerca de la mitad de todos los casos notificados surge un exantema maculopapuloso o escarlitiniforme que comienza en las caras extensoras de la zona distal de extremidades y se propaga en sentido centrípeto al tórax y al dorso y no afecta la cara, las palmas ni las plantas. Las infecciones de vías respiratorias que remedan difteria, inclusive faringitis membranosa, sinusitis y neumonía, así como las infecciones de piel y partes blandas que incluyen úlceras crónicas, celulitis, paroniquias e infección de heridas, han sido atribuidas a </w:t>
      </w:r>
      <w:r>
        <w:rPr>
          <w:rFonts w:ascii="Times New Roman" w:eastAsia="Times New Roman" w:hAnsi="Times New Roman" w:cs="Times New Roman"/>
          <w:i/>
          <w:iCs/>
          <w:sz w:val="16"/>
          <w:szCs w:val="16"/>
        </w:rPr>
        <w:t>A. haemolyticum.</w:t>
      </w:r>
      <w:r>
        <w:t xml:space="preserve"> También se han señalado casos de infecciones invasoras teórico. La decisión de aplicarla a dichos pacientes debe compararse con el peligro de exposición que tiene el viajero, así como su estado clínico. Los parientes de personas inmunosuprimidas que en sí mismos no tienen contraindicaciones pueden recibir la vacuna contra YF. Será mejor evitar en la medida de lo posible la vacunación de las madres que amamantan a su hijo. En la División de Enfermedades Infecciosas por Vectores de los </w:t>
      </w:r>
      <w:r>
        <w:rPr>
          <w:rFonts w:ascii="Times New Roman" w:eastAsia="Times New Roman" w:hAnsi="Times New Roman" w:cs="Times New Roman"/>
          <w:i/>
          <w:iCs/>
          <w:sz w:val="16"/>
          <w:szCs w:val="16"/>
        </w:rPr>
        <w:t>Centers for Disease Control and Prevention</w:t>
      </w:r>
      <w:r>
        <w:t xml:space="preserve"> (CDC, teléfono 970-221-6400) se obtiene orientación en cuanto a la vacunación de niños de cuatro a nueve meses de edad, embarazadas o personas inmunodeficientes.</w:t>
      </w:r>
    </w:p>
    <w:p w14:paraId="1747587F"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Vacuna contra la encefalitis japonesa.</w:t>
      </w:r>
      <w:r>
        <w:rPr>
          <w:rFonts w:ascii="Times New Roman" w:eastAsia="Times New Roman" w:hAnsi="Times New Roman" w:cs="Times New Roman"/>
          <w:b/>
          <w:bCs/>
          <w:i/>
          <w:iCs/>
          <w:sz w:val="16"/>
          <w:szCs w:val="16"/>
        </w:rPr>
        <w:footnoteReference w:id="3"/>
      </w:r>
      <w:r>
        <w:t xml:space="preserve"> No se recomienda aplicar la vacuna hecha de virus inactivados de encefalitis japonesa, obtenida de encéfalo infectado de ratones, para personas que viajan sistemáticamente a Asia. En 0.3% de quienes la reciben surgen reacciones de hipersensibilidad posvacunal (angioedema, urticaria generalizada); por tal razón, la medida en cuestión se recomienda sólo para expatriados que viven en Asia y viajeros que residirán en zonas en que es endémico o epidémico el virus de la encefalitis japonesa. También se recomienda la vacuna para personas que planean estar más de 30 días en áreas endémicas durante la temporada de transmisión, en particular si el viaje incluye ir a zonas rurales, o bien sus actividades o itinerario les impone un mayor riesgo de exposición (como sería viajar a un área epidémica o practicar ciclismo, acampar o realizar otras actividades al aire libre no protegidas, en áreas rurales). Se pueden obtener de los CDC (</w:t>
      </w:r>
      <w:hyperlink r:id="rId14" w:history="1">
        <w:r>
          <w:t>www.cdc.gov/travel</w:t>
        </w:r>
      </w:hyperlink>
      <w:r>
        <w:t>) datos actualizados sobre los sitios de transmisión del virus de JE e información detallada sobre las recomendaciones de inmunización.</w:t>
      </w:r>
    </w:p>
    <w:p w14:paraId="271ACC0A" w14:textId="77777777" w:rsidR="00093A32" w:rsidRDefault="00093A32">
      <w:pPr>
        <w:pStyle w:val="BodyText"/>
        <w:ind w:firstLine="360"/>
      </w:pPr>
      <w:r>
        <w:t>La serie recomendada de vacunación primaria para personas mayores de tres años de edad incluye tres dosis de 1.0 ml cada una, aplicadas por vía subcutánea los días cero, siete y 30. Cabe utilizar un plan abreviado en que se aplique la vacuna a los cero, siete y 14 días cuando las limitaciones cronológicas impiden seguir un calendario más largo. El régimen que se sigue en niños de uno a tres años es idéntico, excepto que cada dosis es de 0.5 ml. No se cuenta con datos de la inocuidad de la vacuna y su eficacia en lactantes.</w:t>
      </w:r>
    </w:p>
    <w:p w14:paraId="4A12758C" w14:textId="77777777" w:rsidR="00093A32" w:rsidRDefault="00093A32">
      <w:pPr>
        <w:pStyle w:val="BodyText"/>
        <w:spacing w:after="80" w:line="283" w:lineRule="auto"/>
        <w:ind w:firstLine="360"/>
      </w:pPr>
      <w:r>
        <w:rPr>
          <w:rFonts w:ascii="Times New Roman" w:eastAsia="Times New Roman" w:hAnsi="Times New Roman" w:cs="Times New Roman"/>
          <w:b/>
          <w:bCs/>
          <w:i/>
          <w:iCs/>
          <w:sz w:val="16"/>
          <w:szCs w:val="16"/>
        </w:rPr>
        <w:t>Otras vacunas hechas con arbovirus.</w:t>
      </w:r>
      <w:r>
        <w:t xml:space="preserve"> En algunos países de Europa en que la enfermedad es endémica se ha aprobado el uso de una vacuna de virus inactivados contra la encefalitis transmitida por garrapatas, pero no se le distribuye en Estados Unidos.</w:t>
      </w:r>
    </w:p>
    <w:p w14:paraId="41345480" w14:textId="77777777" w:rsidR="00093A32" w:rsidRDefault="00093A32">
      <w:pPr>
        <w:pStyle w:val="Bodytext70"/>
        <w:spacing w:after="0"/>
      </w:pPr>
      <w:r>
        <w:rPr>
          <w:i/>
          <w:iCs/>
        </w:rPr>
        <w:t>Arcanobacterium haemolyticum,</w:t>
      </w:r>
      <w:r>
        <w:t xml:space="preserve"> infecciones</w:t>
      </w:r>
    </w:p>
    <w:p w14:paraId="0F9A87C6" w14:textId="77777777" w:rsidR="00093A32" w:rsidRDefault="00093A32">
      <w:pPr>
        <w:pStyle w:val="BodyText"/>
        <w:spacing w:line="276" w:lineRule="auto"/>
        <w:ind w:firstLine="0"/>
        <w:sectPr w:rsidR="00093A32" w:rsidSect="00093A32">
          <w:headerReference w:type="even" r:id="rId15"/>
          <w:headerReference w:type="default" r:id="rId16"/>
          <w:footerReference w:type="even" r:id="rId17"/>
          <w:footerReference w:type="default" r:id="rId18"/>
          <w:footnotePr>
            <w:numFmt w:val="chicago"/>
          </w:footnotePr>
          <w:type w:val="continuous"/>
          <w:pgSz w:w="8501" w:h="13022"/>
          <w:pgMar w:top="708" w:right="805" w:bottom="440" w:left="770" w:header="0" w:footer="12" w:gutter="0"/>
          <w:cols w:space="720"/>
          <w:noEndnote/>
          <w:docGrid w:linePitch="360"/>
          <w15:footnoteColumns w:val="1"/>
        </w:sectPr>
      </w:pPr>
      <w:r>
        <w:rPr>
          <w:b/>
          <w:bCs/>
        </w:rPr>
        <w:t>M</w:t>
      </w:r>
      <w:r>
        <w:rPr>
          <w:b/>
          <w:bCs/>
          <w:sz w:val="13"/>
          <w:szCs w:val="13"/>
        </w:rPr>
        <w:t>ANIFESTACIONES CLÍNICAS</w:t>
      </w:r>
      <w:r>
        <w:rPr>
          <w:b/>
          <w:bCs/>
        </w:rPr>
        <w:t xml:space="preserve">: </w:t>
      </w:r>
      <w:r>
        <w:t xml:space="preserve">La faringitis aguda atribuible a </w:t>
      </w:r>
      <w:r>
        <w:rPr>
          <w:rFonts w:ascii="Times New Roman" w:eastAsia="Times New Roman" w:hAnsi="Times New Roman" w:cs="Times New Roman"/>
          <w:i/>
          <w:iCs/>
          <w:sz w:val="16"/>
          <w:szCs w:val="16"/>
        </w:rPr>
        <w:t>Arcanobacterium haemolyticum</w:t>
      </w:r>
      <w:r>
        <w:t xml:space="preserve"> suele ser idéntica a la causada por estreptococos del grupo A. Surgen a menudo fiebre, exudado faríngeo, linfadenopatía, erupciones y prurito, pero no aparecen signos como las petequias en el paladar y la lengua en “fresa”. En cerca de la mitad de todos los casos notificados surge un exantema maculopapuloso o escarlitiniforme que comienza en las caras extensoras de la zona distal de extremidades y se propaga en sentido centrípeto al tórax y al dorso y no afecta la cara, las palmas ni las plantas. Las infecciones de vías respiratorias que remedan difteria, inclusive faringitis membranosa, sinusitis y neumonía, así como las infecciones de piel y partes blandas que incluyen úlceras crónicas, celulitis, paroniquias e infección de heridas, han sido atribuidas a </w:t>
      </w:r>
      <w:r>
        <w:rPr>
          <w:rFonts w:ascii="Times New Roman" w:eastAsia="Times New Roman" w:hAnsi="Times New Roman" w:cs="Times New Roman"/>
          <w:i/>
          <w:iCs/>
          <w:sz w:val="16"/>
          <w:szCs w:val="16"/>
        </w:rPr>
        <w:t>A. haemolyticum.</w:t>
      </w:r>
      <w:r>
        <w:t xml:space="preserve"> También se han señalado casos de infecciones invasoras </w:t>
      </w:r>
    </w:p>
    <w:p w14:paraId="36575F2B" w14:textId="77777777" w:rsidR="00093A32" w:rsidRDefault="00093A32">
      <w:pPr>
        <w:pStyle w:val="BodyText"/>
        <w:spacing w:line="276" w:lineRule="auto"/>
        <w:ind w:firstLine="0"/>
      </w:pPr>
      <w:r>
        <w:t>que incluyen septicemia, abscesos periamigdalinos y encefálicos, meningitis, endocarditis, osteomielitis y neumonía.</w:t>
      </w:r>
    </w:p>
    <w:p w14:paraId="50EABCDA" w14:textId="77777777" w:rsidR="00093A32" w:rsidRDefault="00093A32">
      <w:pPr>
        <w:pStyle w:val="BodyText"/>
        <w:ind w:firstLine="0"/>
        <w:rPr>
          <w:sz w:val="16"/>
          <w:szCs w:val="16"/>
        </w:rPr>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Arcanobacterium haemolyticum</w:t>
      </w:r>
      <w:r>
        <w:t xml:space="preserve"> es un bacilo grampositivo que había sido clasificado como </w:t>
      </w:r>
      <w:r>
        <w:rPr>
          <w:rFonts w:ascii="Times New Roman" w:eastAsia="Times New Roman" w:hAnsi="Times New Roman" w:cs="Times New Roman"/>
          <w:i/>
          <w:iCs/>
          <w:sz w:val="16"/>
          <w:szCs w:val="16"/>
        </w:rPr>
        <w:t>Corynebacterium haemolyticum.</w:t>
      </w:r>
    </w:p>
    <w:p w14:paraId="585BD4EE" w14:textId="77777777" w:rsidR="00093A32" w:rsidRDefault="00093A32">
      <w:pPr>
        <w:pStyle w:val="BodyText"/>
        <w:spacing w:line="276" w:lineRule="auto"/>
        <w:ind w:firstLine="0"/>
        <w:rPr>
          <w:sz w:val="16"/>
          <w:szCs w:val="16"/>
        </w:rPr>
      </w:pPr>
      <w:r>
        <w:rPr>
          <w:b/>
          <w:bCs/>
        </w:rPr>
        <w:t>A</w:t>
      </w:r>
      <w:r>
        <w:rPr>
          <w:b/>
          <w:bCs/>
          <w:sz w:val="13"/>
          <w:szCs w:val="13"/>
        </w:rPr>
        <w:t>SPECTOS EPIDEMIOLÓGICOS</w:t>
      </w:r>
      <w:r>
        <w:rPr>
          <w:b/>
          <w:bCs/>
        </w:rPr>
        <w:t xml:space="preserve">: </w:t>
      </w:r>
      <w:r>
        <w:t xml:space="preserve">Los seres humanos son el reservorio primario de </w:t>
      </w:r>
      <w:r>
        <w:rPr>
          <w:rFonts w:ascii="Times New Roman" w:eastAsia="Times New Roman" w:hAnsi="Times New Roman" w:cs="Times New Roman"/>
          <w:i/>
          <w:iCs/>
          <w:sz w:val="16"/>
          <w:szCs w:val="16"/>
        </w:rPr>
        <w:t>A. haemolyticum</w:t>
      </w:r>
      <w:r>
        <w:t xml:space="preserve"> y se propaga de una persona a otra tal vez por las gotículas de secreciones de vías respiratorias. La faringitis aparece más bien en adolescentes y adultos jóvenes. Se ha descrito el estado de portador faríngeo de </w:t>
      </w:r>
      <w:r>
        <w:rPr>
          <w:rFonts w:ascii="Times New Roman" w:eastAsia="Times New Roman" w:hAnsi="Times New Roman" w:cs="Times New Roman"/>
          <w:i/>
          <w:iCs/>
          <w:sz w:val="16"/>
          <w:szCs w:val="16"/>
        </w:rPr>
        <w:t>A. haemolyticum</w:t>
      </w:r>
      <w:r>
        <w:t xml:space="preserve"> por largo tiempo después de un episodio de faringitis aguda, pero rara vez se aísla la bacteria de la nasofaringe de personas asintomáticas. Se calcula que 0.5 a 3% de los casos de faringitis aguda son atribuibles a </w:t>
      </w:r>
      <w:r>
        <w:rPr>
          <w:rFonts w:ascii="Times New Roman" w:eastAsia="Times New Roman" w:hAnsi="Times New Roman" w:cs="Times New Roman"/>
          <w:i/>
          <w:iCs/>
          <w:sz w:val="16"/>
          <w:szCs w:val="16"/>
        </w:rPr>
        <w:t>A. haemolyticum.</w:t>
      </w:r>
    </w:p>
    <w:p w14:paraId="56049137" w14:textId="77777777" w:rsidR="00093A32" w:rsidRDefault="00093A32">
      <w:pPr>
        <w:pStyle w:val="BodyText"/>
        <w:ind w:firstLine="360"/>
      </w:pPr>
      <w:r>
        <w:t xml:space="preserve">Se desconoce el </w:t>
      </w:r>
      <w:r>
        <w:rPr>
          <w:b/>
          <w:bCs/>
        </w:rPr>
        <w:t>periodo de incubación.</w:t>
      </w:r>
    </w:p>
    <w:p w14:paraId="0843D442" w14:textId="77777777" w:rsidR="00093A32" w:rsidRDefault="00093A32">
      <w:pPr>
        <w:pStyle w:val="BodyText"/>
        <w:spacing w:line="276" w:lineRule="auto"/>
        <w:ind w:firstLine="0"/>
      </w:pPr>
      <w:r>
        <w:rPr>
          <w:b/>
          <w:bCs/>
        </w:rPr>
        <w:t>M</w:t>
      </w:r>
      <w:r>
        <w:rPr>
          <w:b/>
          <w:bCs/>
          <w:sz w:val="13"/>
          <w:szCs w:val="13"/>
        </w:rPr>
        <w:t>ÉTODOS DIAGNÓSTICOS</w:t>
      </w:r>
      <w:r>
        <w:rPr>
          <w:b/>
          <w:bCs/>
        </w:rPr>
        <w:t xml:space="preserve">: </w:t>
      </w:r>
      <w:r>
        <w:rPr>
          <w:rFonts w:ascii="Times New Roman" w:eastAsia="Times New Roman" w:hAnsi="Times New Roman" w:cs="Times New Roman"/>
          <w:i/>
          <w:iCs/>
          <w:sz w:val="16"/>
          <w:szCs w:val="16"/>
        </w:rPr>
        <w:t>Arcanobacterium haemolyticum</w:t>
      </w:r>
      <w:r>
        <w:t xml:space="preserve"> prolifera en agar chocolate, pero las colonias son pequeñas y tienen bandas angostas de hemólisis y tal vez no se les identifique a simple vista durante 48 a 72 h. El índice de detección mejora con el cultivo en agar chocolate con sangre de conejo o de persona y no con la de cordero, que es la más usada, porque las colonias son más grandes y hay zonas más amplias de hemólisis. La proliferación también aumenta si se agrega dióxido de carbono al 5%. Se han creado métodos serológicos no estandarizados para identificar anticuerpos contra </w:t>
      </w:r>
      <w:r>
        <w:rPr>
          <w:rFonts w:ascii="Times New Roman" w:eastAsia="Times New Roman" w:hAnsi="Times New Roman" w:cs="Times New Roman"/>
          <w:i/>
          <w:iCs/>
          <w:sz w:val="16"/>
          <w:szCs w:val="16"/>
        </w:rPr>
        <w:t>A. haemolyticum,</w:t>
      </w:r>
      <w:r>
        <w:t xml:space="preserve"> pero no se distribuyen comercialmente.</w:t>
      </w:r>
    </w:p>
    <w:p w14:paraId="2D32A352" w14:textId="77777777" w:rsidR="00093A32" w:rsidRDefault="00093A32">
      <w:pPr>
        <w:pStyle w:val="BodyText"/>
        <w:spacing w:line="276" w:lineRule="auto"/>
        <w:ind w:firstLine="0"/>
      </w:pPr>
      <w:r>
        <w:rPr>
          <w:b/>
          <w:bCs/>
        </w:rPr>
        <w:t>T</w:t>
      </w:r>
      <w:r>
        <w:rPr>
          <w:b/>
          <w:bCs/>
          <w:sz w:val="13"/>
          <w:szCs w:val="13"/>
        </w:rPr>
        <w:t>RATAMIENTO</w:t>
      </w:r>
      <w:r>
        <w:rPr>
          <w:b/>
          <w:bCs/>
        </w:rPr>
        <w:t xml:space="preserve">: </w:t>
      </w:r>
      <w:r>
        <w:t xml:space="preserve">La eritromicina es el fármaco más indicado para atacar la faringoamigdalitis, pero no se han realizado estudios terapéuticos prospectivos. </w:t>
      </w:r>
      <w:r>
        <w:rPr>
          <w:rFonts w:ascii="Times New Roman" w:eastAsia="Times New Roman" w:hAnsi="Times New Roman" w:cs="Times New Roman"/>
          <w:i/>
          <w:iCs/>
          <w:sz w:val="16"/>
          <w:szCs w:val="16"/>
        </w:rPr>
        <w:t>Arcanobacterium haemolyticum</w:t>
      </w:r>
      <w:r>
        <w:t xml:space="preserve"> es susceptible </w:t>
      </w:r>
      <w:r>
        <w:rPr>
          <w:rFonts w:ascii="Times New Roman" w:eastAsia="Times New Roman" w:hAnsi="Times New Roman" w:cs="Times New Roman"/>
          <w:i/>
          <w:iCs/>
          <w:sz w:val="16"/>
          <w:szCs w:val="16"/>
        </w:rPr>
        <w:t>in vitro</w:t>
      </w:r>
      <w:r>
        <w:t xml:space="preserve"> a eritromicina, clindamicina, cloranfenicol y tetraciclina; la susceptibilidad a la penicilina es variable y se han señalado casos de ineficacia terapéutica en la faringitis. Es frecuente que surja resistencia al trimetoprim-sulfametoxazol. En casos raros de infección diseminada, habrá que practicar estudios de susceptibilidad (antibioticogramas). En la infección diseminada puede utilizarse en el comienzo la combinación de penicilina y un aminoglucósido como tratamiento empírico.</w:t>
      </w:r>
    </w:p>
    <w:p w14:paraId="0AB0553D"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29C2AD79" w14:textId="77777777" w:rsidR="00093A32" w:rsidRDefault="00093A32">
      <w:pPr>
        <w:pStyle w:val="Other0"/>
        <w:spacing w:after="120" w:line="240" w:lineRule="auto"/>
        <w:ind w:firstLine="0"/>
      </w:pPr>
      <w:r>
        <w:rPr>
          <w:b/>
          <w:bCs/>
        </w:rPr>
        <w:t>M</w:t>
      </w:r>
      <w:r>
        <w:rPr>
          <w:b/>
          <w:bCs/>
          <w:sz w:val="13"/>
          <w:szCs w:val="13"/>
        </w:rPr>
        <w:t>EDIDAS DE PREVENCIÓN</w:t>
      </w:r>
      <w:r>
        <w:rPr>
          <w:b/>
          <w:bCs/>
        </w:rPr>
        <w:t xml:space="preserve">: </w:t>
      </w:r>
      <w:r>
        <w:t>Ninguna.</w:t>
      </w:r>
    </w:p>
    <w:p w14:paraId="2C85CA28" w14:textId="77777777" w:rsidR="00093A32" w:rsidRDefault="00093A32">
      <w:pPr>
        <w:pStyle w:val="Bodytext70"/>
        <w:spacing w:after="0"/>
      </w:pPr>
      <w:r>
        <w:rPr>
          <w:i/>
          <w:iCs/>
        </w:rPr>
        <w:t>Ascaris lumbricoides,</w:t>
      </w:r>
      <w:r>
        <w:t xml:space="preserve"> infecciones</w:t>
      </w:r>
    </w:p>
    <w:p w14:paraId="23A93A26" w14:textId="77777777" w:rsidR="00093A32" w:rsidRDefault="00093A32">
      <w:pPr>
        <w:pStyle w:val="BodyText"/>
        <w:spacing w:after="60"/>
        <w:ind w:firstLine="0"/>
      </w:pPr>
      <w:r>
        <w:rPr>
          <w:b/>
          <w:bCs/>
        </w:rPr>
        <w:t>M</w:t>
      </w:r>
      <w:r>
        <w:rPr>
          <w:b/>
          <w:bCs/>
          <w:sz w:val="13"/>
          <w:szCs w:val="13"/>
        </w:rPr>
        <w:t>ANIFESTACIONES CLÍNICAS</w:t>
      </w:r>
      <w:r>
        <w:rPr>
          <w:b/>
          <w:bCs/>
        </w:rPr>
        <w:t xml:space="preserve">: </w:t>
      </w:r>
      <w:r>
        <w:t xml:space="preserve">Casi todas las parasitosis son asintomáticas, aunque las de intensidad moderada o grande pueden ocasionar malnutrición, y en algunos pacientes puede haber síntomas inespecíficos de vías gastrointestinales. En la fase larvaria migratoria, puede haber neumonitis transitoria aguda (síndrome de Loffler) acompañada de fiebre y eosinofilia notable. En personas con infecciones de magnitud considerable puede haber obstrucción intestinal aguda. Los niños están propensos a mostrar tal complicación por el diámetro pequeño del interior del intestino y el enorme número de vermes. La migración de los vermes puede originar peritonitis, como consecuencia de penetración de la pared intestinal, y obstrucción del colédoco que origine cólicos vesiculares, colangitis o pancreatitis. Los vermes adultos pueden migrar impulsados por situaciones difíciles (como fiebre, enfermedades o anestesia) o por la acción de algunos antihelmínticos. Se han identificado </w:t>
      </w:r>
      <w:r>
        <w:rPr>
          <w:rFonts w:ascii="Times New Roman" w:eastAsia="Times New Roman" w:hAnsi="Times New Roman" w:cs="Times New Roman"/>
          <w:i/>
          <w:iCs/>
          <w:sz w:val="16"/>
          <w:szCs w:val="16"/>
        </w:rPr>
        <w:t>Ascaris lumbricoides</w:t>
      </w:r>
      <w:r>
        <w:t xml:space="preserve"> en el interior del apéndice en sujetos con apendicitis aguda, pero no hay certeza en cuanto a su relación causal.</w:t>
      </w:r>
    </w:p>
    <w:p w14:paraId="2E288093" w14:textId="77777777" w:rsidR="00093A32" w:rsidRDefault="00093A32">
      <w:pPr>
        <w:pStyle w:val="BodyText"/>
        <w:ind w:firstLine="0"/>
      </w:pPr>
      <w:r>
        <w:t>que incluyen septicemia, abscesos periamigdalinos y encefálicos, meningitis, endocarditis, osteomielitis y neumonía.</w:t>
      </w:r>
    </w:p>
    <w:p w14:paraId="62D946CA" w14:textId="77777777" w:rsidR="00093A32" w:rsidRDefault="00093A32">
      <w:pPr>
        <w:pStyle w:val="BodyText"/>
        <w:ind w:firstLine="0"/>
        <w:rPr>
          <w:sz w:val="16"/>
          <w:szCs w:val="16"/>
        </w:rPr>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Arcanobacterium haemolyticum</w:t>
      </w:r>
      <w:r>
        <w:t xml:space="preserve"> es un bacilo grampositivo que había sido clasificado como </w:t>
      </w:r>
      <w:r>
        <w:rPr>
          <w:rFonts w:ascii="Times New Roman" w:eastAsia="Times New Roman" w:hAnsi="Times New Roman" w:cs="Times New Roman"/>
          <w:i/>
          <w:iCs/>
          <w:sz w:val="16"/>
          <w:szCs w:val="16"/>
        </w:rPr>
        <w:t>Corynebacterium haemolyticum.</w:t>
      </w:r>
    </w:p>
    <w:p w14:paraId="447DA6D9" w14:textId="77777777" w:rsidR="00093A32" w:rsidRDefault="00093A32">
      <w:pPr>
        <w:pStyle w:val="BodyText"/>
        <w:spacing w:line="276" w:lineRule="auto"/>
        <w:ind w:firstLine="0"/>
        <w:rPr>
          <w:sz w:val="16"/>
          <w:szCs w:val="16"/>
        </w:rPr>
      </w:pPr>
      <w:r>
        <w:rPr>
          <w:b/>
          <w:bCs/>
        </w:rPr>
        <w:t>A</w:t>
      </w:r>
      <w:r>
        <w:rPr>
          <w:b/>
          <w:bCs/>
          <w:sz w:val="13"/>
          <w:szCs w:val="13"/>
        </w:rPr>
        <w:t>SPECTOS EPIDEMIOLÓGICOS</w:t>
      </w:r>
      <w:r>
        <w:rPr>
          <w:b/>
          <w:bCs/>
        </w:rPr>
        <w:t xml:space="preserve">: </w:t>
      </w:r>
      <w:r>
        <w:t xml:space="preserve">Los seres humanos son el reservorio primario de </w:t>
      </w:r>
      <w:r>
        <w:rPr>
          <w:rFonts w:ascii="Times New Roman" w:eastAsia="Times New Roman" w:hAnsi="Times New Roman" w:cs="Times New Roman"/>
          <w:i/>
          <w:iCs/>
          <w:sz w:val="16"/>
          <w:szCs w:val="16"/>
        </w:rPr>
        <w:t>A. haemolyticum</w:t>
      </w:r>
      <w:r>
        <w:t xml:space="preserve"> y se propaga de una persona a otra tal vez por las gotículas de secreciones de vías respiratorias. La faringitis aparece más bien en adolescentes y adultos jóvenes. Se ha descrito el estado de portador faríngeo de </w:t>
      </w:r>
      <w:r>
        <w:rPr>
          <w:rFonts w:ascii="Times New Roman" w:eastAsia="Times New Roman" w:hAnsi="Times New Roman" w:cs="Times New Roman"/>
          <w:i/>
          <w:iCs/>
          <w:sz w:val="16"/>
          <w:szCs w:val="16"/>
        </w:rPr>
        <w:t>A. haemolyticum</w:t>
      </w:r>
      <w:r>
        <w:t xml:space="preserve"> por largo tiempo después de un episodio de faringitis aguda, pero rara vez se aísla la bacteria de la nasofaringe de personas asintomáticas. Se calcula que 0.5 a 3% de los casos de faringitis aguda son atribuibles a </w:t>
      </w:r>
      <w:r>
        <w:rPr>
          <w:rFonts w:ascii="Times New Roman" w:eastAsia="Times New Roman" w:hAnsi="Times New Roman" w:cs="Times New Roman"/>
          <w:i/>
          <w:iCs/>
          <w:sz w:val="16"/>
          <w:szCs w:val="16"/>
        </w:rPr>
        <w:t>A. haemolyticum.</w:t>
      </w:r>
    </w:p>
    <w:p w14:paraId="2376A927" w14:textId="77777777" w:rsidR="00093A32" w:rsidRDefault="00093A32">
      <w:pPr>
        <w:pStyle w:val="BodyText"/>
        <w:ind w:firstLine="360"/>
      </w:pPr>
      <w:r>
        <w:t xml:space="preserve">Se desconoce el </w:t>
      </w:r>
      <w:r>
        <w:rPr>
          <w:b/>
          <w:bCs/>
        </w:rPr>
        <w:t>periodo de incubación.</w:t>
      </w:r>
    </w:p>
    <w:p w14:paraId="1A43FA3D" w14:textId="77777777" w:rsidR="00093A32" w:rsidRDefault="00093A32">
      <w:pPr>
        <w:pStyle w:val="BodyText"/>
        <w:spacing w:line="276" w:lineRule="auto"/>
        <w:ind w:firstLine="0"/>
      </w:pPr>
      <w:r>
        <w:rPr>
          <w:b/>
          <w:bCs/>
        </w:rPr>
        <w:t>M</w:t>
      </w:r>
      <w:r>
        <w:rPr>
          <w:b/>
          <w:bCs/>
          <w:sz w:val="13"/>
          <w:szCs w:val="13"/>
        </w:rPr>
        <w:t>ÉTODOS DIAGNÓSTICOS</w:t>
      </w:r>
      <w:r>
        <w:rPr>
          <w:b/>
          <w:bCs/>
        </w:rPr>
        <w:t xml:space="preserve">: </w:t>
      </w:r>
      <w:r>
        <w:rPr>
          <w:rFonts w:ascii="Times New Roman" w:eastAsia="Times New Roman" w:hAnsi="Times New Roman" w:cs="Times New Roman"/>
          <w:i/>
          <w:iCs/>
          <w:sz w:val="16"/>
          <w:szCs w:val="16"/>
        </w:rPr>
        <w:t>Arcanobacterium haemolyticum</w:t>
      </w:r>
      <w:r>
        <w:t xml:space="preserve"> prolifera en agar chocolate, pero las colonias son pequeñas y tienen bandas angostas de hemólisis y tal vez no se les identifique a simple vista durante 48 a 72 h. El índice de detección mejora con el cultivo en agar chocolate con sangre de conejo o de persona y no con la de cordero, que es la más usada, porque las colonias son más grandes y hay zonas más amplias de hemólisis. La proliferación también aumenta si se agrega dióxido de carbono al 5%. Se han creado métodos serológicos no estandarizados para identificar anticuerpos contra </w:t>
      </w:r>
      <w:r>
        <w:rPr>
          <w:rFonts w:ascii="Times New Roman" w:eastAsia="Times New Roman" w:hAnsi="Times New Roman" w:cs="Times New Roman"/>
          <w:i/>
          <w:iCs/>
          <w:sz w:val="16"/>
          <w:szCs w:val="16"/>
        </w:rPr>
        <w:t>A. haemolyticum,</w:t>
      </w:r>
      <w:r>
        <w:t xml:space="preserve"> pero no se distribuyen comercialmente.</w:t>
      </w:r>
    </w:p>
    <w:p w14:paraId="3CE3AB0F" w14:textId="77777777" w:rsidR="00093A32" w:rsidRDefault="00093A32">
      <w:pPr>
        <w:pStyle w:val="BodyText"/>
        <w:spacing w:line="276" w:lineRule="auto"/>
        <w:ind w:firstLine="0"/>
      </w:pPr>
      <w:r>
        <w:rPr>
          <w:b/>
          <w:bCs/>
        </w:rPr>
        <w:t>T</w:t>
      </w:r>
      <w:r>
        <w:rPr>
          <w:b/>
          <w:bCs/>
          <w:sz w:val="13"/>
          <w:szCs w:val="13"/>
        </w:rPr>
        <w:t>RATAMIENTO</w:t>
      </w:r>
      <w:r>
        <w:rPr>
          <w:b/>
          <w:bCs/>
        </w:rPr>
        <w:t xml:space="preserve">: </w:t>
      </w:r>
      <w:r>
        <w:t xml:space="preserve">La eritromicina es el fármaco más indicado para atacar la faringoamigdalitis, pero no se han realizado estudios terapéuticos prospectivos. </w:t>
      </w:r>
      <w:r>
        <w:rPr>
          <w:rFonts w:ascii="Times New Roman" w:eastAsia="Times New Roman" w:hAnsi="Times New Roman" w:cs="Times New Roman"/>
          <w:i/>
          <w:iCs/>
          <w:sz w:val="16"/>
          <w:szCs w:val="16"/>
        </w:rPr>
        <w:t>Arcanobacterium haemolyticum</w:t>
      </w:r>
      <w:r>
        <w:t xml:space="preserve"> es susceptible </w:t>
      </w:r>
      <w:r>
        <w:rPr>
          <w:rFonts w:ascii="Times New Roman" w:eastAsia="Times New Roman" w:hAnsi="Times New Roman" w:cs="Times New Roman"/>
          <w:i/>
          <w:iCs/>
          <w:sz w:val="16"/>
          <w:szCs w:val="16"/>
        </w:rPr>
        <w:t>in vitro</w:t>
      </w:r>
      <w:r>
        <w:t xml:space="preserve"> a eritromicina, clindamicina, cloranfenicol y tetraciclina; la susceptibilidad a la penicilina es variable y se han señalado casos de ineficacia terapéutica en la faringitis. Es frecuente que surja resistencia al trimetoprim-sulfametoxazol. En casos raros de infección diseminada, habrá que practicar estudios de susceptibilidad (antibioticogramas). En la infección diseminada puede utilizarse en el comienzo la combinación de penicilina y un aminoglucósido como tratamiento empírico.</w:t>
      </w:r>
    </w:p>
    <w:p w14:paraId="0526416F"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27A8F0C7" w14:textId="77777777" w:rsidR="00093A32" w:rsidRDefault="00093A32">
      <w:pPr>
        <w:pStyle w:val="Other0"/>
        <w:spacing w:after="120" w:line="240" w:lineRule="auto"/>
        <w:ind w:firstLine="0"/>
      </w:pPr>
      <w:r>
        <w:rPr>
          <w:b/>
          <w:bCs/>
        </w:rPr>
        <w:t>M</w:t>
      </w:r>
      <w:r>
        <w:rPr>
          <w:b/>
          <w:bCs/>
          <w:sz w:val="13"/>
          <w:szCs w:val="13"/>
        </w:rPr>
        <w:t>EDIDAS DE PREVENCIÓN</w:t>
      </w:r>
      <w:r>
        <w:rPr>
          <w:b/>
          <w:bCs/>
        </w:rPr>
        <w:t xml:space="preserve">: </w:t>
      </w:r>
      <w:r>
        <w:t>Ninguna.</w:t>
      </w:r>
    </w:p>
    <w:p w14:paraId="1729D7A4" w14:textId="77777777" w:rsidR="00093A32" w:rsidRDefault="00093A32">
      <w:pPr>
        <w:pStyle w:val="Bodytext70"/>
        <w:spacing w:after="0"/>
      </w:pPr>
      <w:r>
        <w:rPr>
          <w:i/>
          <w:iCs/>
        </w:rPr>
        <w:t>Ascaris lumbricoides,</w:t>
      </w:r>
      <w:r>
        <w:t xml:space="preserve"> infecciones</w:t>
      </w:r>
    </w:p>
    <w:p w14:paraId="3B425DC9" w14:textId="77777777" w:rsidR="00093A32" w:rsidRDefault="00093A32">
      <w:pPr>
        <w:pStyle w:val="BodyText"/>
        <w:spacing w:after="60"/>
        <w:ind w:firstLine="0"/>
        <w:sectPr w:rsidR="00093A32" w:rsidSect="00093A32">
          <w:headerReference w:type="even" r:id="rId19"/>
          <w:headerReference w:type="default" r:id="rId20"/>
          <w:footerReference w:type="even" r:id="rId21"/>
          <w:footerReference w:type="default" r:id="rId22"/>
          <w:footnotePr>
            <w:numFmt w:val="chicago"/>
          </w:footnotePr>
          <w:type w:val="continuous"/>
          <w:pgSz w:w="8501" w:h="13022"/>
          <w:pgMar w:top="708" w:right="805" w:bottom="440" w:left="770" w:header="0" w:footer="12" w:gutter="0"/>
          <w:cols w:space="720"/>
          <w:noEndnote/>
          <w:docGrid w:linePitch="360"/>
          <w15:footnoteColumns w:val="1"/>
        </w:sectPr>
      </w:pPr>
      <w:r>
        <w:rPr>
          <w:b/>
          <w:bCs/>
        </w:rPr>
        <w:t>M</w:t>
      </w:r>
      <w:r>
        <w:rPr>
          <w:b/>
          <w:bCs/>
          <w:sz w:val="13"/>
          <w:szCs w:val="13"/>
        </w:rPr>
        <w:t>ANIFESTACIONES CLÍNICAS</w:t>
      </w:r>
      <w:r>
        <w:rPr>
          <w:b/>
          <w:bCs/>
        </w:rPr>
        <w:t xml:space="preserve">: </w:t>
      </w:r>
      <w:r>
        <w:t xml:space="preserve">Casi todas las parasitosis son asintomáticas, aunque las de intensidad moderada o grande pueden ocasionar malnutrición, y en algunos pacientes puede haber síntomas inespecíficos de vías gastrointestinales. En la fase larvaria migratoria, puede haber neumonitis transitoria aguda (síndrome de Loffler) acompañada de fiebre y eosinofilia notable. En personas con infecciones de magnitud considerable puede haber obstrucción intestinal aguda. Los niños están propensos a mostrar tal complicación por el diámetro pequeño del interior del intestino y el enorme número de vermes. La migración de los vermes puede originar peritonitis, como consecuencia de penetración de la pared intestinal, y obstrucción del colédoco que origine cólicos vesiculares, colangitis o pancreatitis. Los vermes adultos pueden migrar impulsados por situaciones difíciles (como fiebre, enfermedades o anestesia) o por la acción de algunos antihelmínticos. Se han identificado </w:t>
      </w:r>
      <w:r>
        <w:rPr>
          <w:rFonts w:ascii="Times New Roman" w:eastAsia="Times New Roman" w:hAnsi="Times New Roman" w:cs="Times New Roman"/>
          <w:i/>
          <w:iCs/>
          <w:sz w:val="16"/>
          <w:szCs w:val="16"/>
        </w:rPr>
        <w:t>Ascaris lumbricoides</w:t>
      </w:r>
      <w:r>
        <w:t xml:space="preserve"> en el interior del apéndice en sujetos con apendicitis aguda, pero no hay certeza en cuanto a su relación causal.</w:t>
      </w:r>
    </w:p>
    <w:p w14:paraId="7C14AC20"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Ascaris lumbricoides</w:t>
      </w:r>
      <w:r>
        <w:t xml:space="preserve"> es el verme redondo que afecta de un modo más generalizado los intestinos de personas.</w:t>
      </w:r>
    </w:p>
    <w:p w14:paraId="401C4C19"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Los vermes adultos viven en el interior del intestino delgado. Las hembras producen 200 000 huevos al día, que son excretados en las heces y deben pasar por una fase de incubación en la tierra de dos a tres semanas, desde su forma embrionaria hasta crecer y tornarse infectantes. La ingestión de huevos infectantes de la tierra contaminada culmina en infección. Las larvas salen de su cubierta en el intestino delgado, penetran a la mucosa y son transportadas pasivamente por la sangre y la vena porta al hígado y más tarde a los pulmones. Como paso siguiente ascienden en el árbol traqueobronquial a la faringe, son deglutidas y maduran hasta la forma adulta en el intestino delgado. La infección por </w:t>
      </w:r>
      <w:r>
        <w:rPr>
          <w:rFonts w:ascii="Times New Roman" w:eastAsia="Times New Roman" w:hAnsi="Times New Roman" w:cs="Times New Roman"/>
          <w:i/>
          <w:iCs/>
          <w:sz w:val="16"/>
          <w:szCs w:val="16"/>
        </w:rPr>
        <w:t>A. lumbricoides</w:t>
      </w:r>
      <w:r>
        <w:t xml:space="preserve"> es generalizada, pero es más frecuente en los trópicos, en zonas con deficiencias sanitarias y en sitios en que se utilizan los excrementos personas como fertilizantes. De no administrar tratamiento, los gusanos adultos viven de 12 a 18 meses, con lo cual hay una excreción diaria de un número enorme de huevos.</w:t>
      </w:r>
    </w:p>
    <w:p w14:paraId="18A03A52" w14:textId="77777777" w:rsidR="00093A32" w:rsidRDefault="00093A32">
      <w:pPr>
        <w:pStyle w:val="BodyText"/>
        <w:ind w:firstLine="360"/>
      </w:pPr>
      <w:r>
        <w:t xml:space="preserve">El periodo de incubación (intervalo que media entre la ingestión de los huevecillos y la aparición de los adultos con capacidad ovígena) es de unas ocho semanas. </w:t>
      </w:r>
      <w:r>
        <w:rPr>
          <w:b/>
          <w:bCs/>
        </w:rPr>
        <w:t>M</w:t>
      </w:r>
      <w:r>
        <w:rPr>
          <w:b/>
          <w:bCs/>
          <w:sz w:val="13"/>
          <w:szCs w:val="13"/>
        </w:rPr>
        <w:t>ÉTODOS DIAGNÓSTICOS</w:t>
      </w:r>
      <w:r>
        <w:rPr>
          <w:b/>
          <w:bCs/>
        </w:rPr>
        <w:t xml:space="preserve">: </w:t>
      </w:r>
      <w:r>
        <w:t xml:space="preserve">Los huevos pueden ser detectados por el estudio microscópico de los excrementos. A veces gusanos adultos son exteriorizados desde el recto, desde las vías nasales después de migrar por ellas o desde la boca en el material de vómito. </w:t>
      </w:r>
      <w:r>
        <w:rPr>
          <w:b/>
          <w:bCs/>
        </w:rPr>
        <w:t>T</w:t>
      </w:r>
      <w:r>
        <w:rPr>
          <w:b/>
          <w:bCs/>
          <w:sz w:val="13"/>
          <w:szCs w:val="13"/>
        </w:rPr>
        <w:t>RATAMIENTO</w:t>
      </w:r>
      <w:r>
        <w:rPr>
          <w:b/>
          <w:bCs/>
        </w:rPr>
        <w:t xml:space="preserve">: </w:t>
      </w:r>
      <w:r>
        <w:t>El tratamiento recomendado en caso de parasitosis asintomáticas y sintomáticas incluye una sola dosis de fármacos como pamoato de pirantel, albendazol o mebendazol, durante tres días (véase “Fármacos antiparasitarios”, sección 4). Pocos datos sugieren que los fármacos mencionados son inocuos en niños menores de dos años de vida, pero hay que comparar sus riesgos y beneficios antes de administrarlos. Es una medida útil para evaluar el tratamiento, aunque no esencial, practicar de nuevo un estudio de muestras de excrementos tres semanas después del tratamiento para saber si se eliminaron los vermes.</w:t>
      </w:r>
    </w:p>
    <w:p w14:paraId="55EA0A18" w14:textId="77777777" w:rsidR="00093A32" w:rsidRDefault="00093A32">
      <w:pPr>
        <w:pStyle w:val="BodyText"/>
        <w:ind w:firstLine="360"/>
      </w:pPr>
      <w:r>
        <w:t xml:space="preserve">El caso de obstrucción intestinal parcial o completa atribuible a un enorme número de vermes, se puede administrar por una sonda gastrointestinal una solución de citrato de piperacina (75 mg/kg por día, que no exceda de 3.5 g), aunque no se cuenta con él en muchos países, incluido Estados Unidos. No se recomienda el pamoato de pirantel porque puede empeorar la obstrucción. Si no se consigue la piperacina, la obstrucción puede mostrar resolución con medidas conservadoras (aspiración nasogástrica, soluciones intravenosas), y en ese momento podrán administrarse albendazol o mebendazol. A veces se necesita alguna intervención quirúrgica para corregir la obstrucción de intestinos o vías biliares o para tratar el vólvulo o la peritonitis que es consecuencia de la perforación. En caso de operar para corregir la obstrucción intestinal, es preferible dar masaje a las asas intestinales para eliminar la obstrucción en vez de seccionar el tubo intestinal. Se ha utilizado satisfactoriamente para extraer vermes de las vías biliares la colangiopancreatografía retrógrada por endoscopia.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sólo precauciones estándar porque no hay transmisión directa de una persona a otra.</w:t>
      </w:r>
    </w:p>
    <w:p w14:paraId="0E921E4D" w14:textId="77777777" w:rsidR="00093A32" w:rsidRDefault="00093A32">
      <w:pPr>
        <w:pStyle w:val="BodyText"/>
        <w:spacing w:after="100"/>
        <w:ind w:firstLine="0"/>
      </w:pPr>
      <w:r>
        <w:rPr>
          <w:b/>
          <w:bCs/>
        </w:rPr>
        <w:t>M</w:t>
      </w:r>
      <w:r>
        <w:rPr>
          <w:b/>
          <w:bCs/>
          <w:sz w:val="13"/>
          <w:szCs w:val="13"/>
        </w:rPr>
        <w:t>EDIDAS DE PREVENCIÓN</w:t>
      </w:r>
      <w:r>
        <w:rPr>
          <w:b/>
          <w:bCs/>
        </w:rPr>
        <w:t xml:space="preserve">: </w:t>
      </w:r>
      <w:r>
        <w:t xml:space="preserve">Incluyen eliminación higiénica de excremento de ser humano para interrumpir el ciclo de transmisión; hay que prestar atención especial a zonas de juego de niños. Conviene cocinar lo mejor posible o remojar en una solución diluida de yodo antes de su consumo, toda verdura cultivada en zonas en que se utilizan como fertilizante excrementos de persona no degradados en la forma de composta. Los desinfectantes y blanqueadores domésticos no destruyen </w:t>
      </w:r>
      <w:r>
        <w:rPr>
          <w:rFonts w:ascii="Times New Roman" w:eastAsia="Times New Roman" w:hAnsi="Times New Roman" w:cs="Times New Roman"/>
          <w:i/>
          <w:iCs/>
          <w:sz w:val="16"/>
          <w:szCs w:val="16"/>
        </w:rPr>
        <w:t>A. lumbricoides.</w:t>
      </w:r>
      <w:r>
        <w:t xml:space="preserve"> A pesar de que con relativa rapidez los niños se reinfectan, se ha utilizado la desparasitación periódica en escolares para evitar complicaciones (déficit nutricionales y cognitivos) que surgen con las helmintiasis intestinales.</w:t>
      </w:r>
    </w:p>
    <w:p w14:paraId="16A132D0" w14:textId="77777777" w:rsidR="00093A32" w:rsidRDefault="00093A32">
      <w:pPr>
        <w:pStyle w:val="Bodytext70"/>
        <w:spacing w:after="0"/>
      </w:pPr>
      <w:r>
        <w:t>Aspergilosis</w:t>
      </w:r>
    </w:p>
    <w:p w14:paraId="412709F0" w14:textId="77777777" w:rsidR="00093A32" w:rsidRDefault="00093A32">
      <w:pPr>
        <w:pStyle w:val="BodyText"/>
        <w:ind w:firstLine="0"/>
      </w:pPr>
      <w:r>
        <w:rPr>
          <w:b/>
          <w:bCs/>
        </w:rPr>
        <w:t>M</w:t>
      </w:r>
      <w:r>
        <w:rPr>
          <w:b/>
          <w:bCs/>
          <w:sz w:val="13"/>
          <w:szCs w:val="13"/>
        </w:rPr>
        <w:t>ANIFESTACIONES CLÍNICAS</w:t>
      </w:r>
      <w:r>
        <w:rPr>
          <w:b/>
          <w:bCs/>
        </w:rPr>
        <w:t xml:space="preserve">: </w:t>
      </w:r>
      <w:r>
        <w:t>La aspergilosis se manifiesta en la forma de una enfermedad no invasora y también invasora de los siguientes tipos:</w:t>
      </w:r>
    </w:p>
    <w:p w14:paraId="11B514C2" w14:textId="77777777" w:rsidR="00093A32" w:rsidRDefault="00093A32">
      <w:pPr>
        <w:pStyle w:val="BodyText"/>
        <w:numPr>
          <w:ilvl w:val="0"/>
          <w:numId w:val="56"/>
        </w:numPr>
        <w:tabs>
          <w:tab w:val="left" w:pos="341"/>
        </w:tabs>
        <w:ind w:left="360" w:hanging="360"/>
      </w:pPr>
      <w:bookmarkStart w:id="3" w:name="bookmark609"/>
      <w:bookmarkEnd w:id="3"/>
      <w:r>
        <w:t>La aspergilosis broncopulmonar alérgica es una neumopatía por hipersensibilidad que tiene como manifestaciones sibilancias episódicas, expectoración de tapones mucosos pardos, febrícula, eosinofilia e infiltrados transitorios en los pulmones. El cuadro surge más a menudo en niños inmunocompetentes con asma crónica o fibrosis quística.</w:t>
      </w:r>
    </w:p>
    <w:p w14:paraId="6AE9FE69" w14:textId="77777777" w:rsidR="00093A32" w:rsidRDefault="00093A32">
      <w:pPr>
        <w:pStyle w:val="BodyText"/>
        <w:numPr>
          <w:ilvl w:val="0"/>
          <w:numId w:val="56"/>
        </w:numPr>
        <w:tabs>
          <w:tab w:val="left" w:pos="341"/>
        </w:tabs>
        <w:ind w:left="360" w:hanging="360"/>
      </w:pPr>
      <w:bookmarkStart w:id="4" w:name="bookmark610"/>
      <w:bookmarkEnd w:id="4"/>
      <w:r>
        <w:t xml:space="preserve">La sinusitis alérgica es una reacción a la colonización por especies de </w:t>
      </w:r>
      <w:r>
        <w:rPr>
          <w:rFonts w:ascii="Times New Roman" w:eastAsia="Times New Roman" w:hAnsi="Times New Roman" w:cs="Times New Roman"/>
          <w:i/>
          <w:iCs/>
          <w:sz w:val="16"/>
          <w:szCs w:val="16"/>
        </w:rPr>
        <w:t>Aspergillus</w:t>
      </w:r>
      <w:r>
        <w:t xml:space="preserve"> mucho menos frecuente que el síndrome broncopulmonar alérgico. La sinusitis mencionada afecta a niños con pólipos nasales o episodios previos de sinusitis o a menores en quienes se ha practicado cirugía de senos nasales, y se caracteriza por síntomas de sinusitis crónica con tapones oscuros de secreción nasal.</w:t>
      </w:r>
    </w:p>
    <w:p w14:paraId="2DD1FB3B" w14:textId="77777777" w:rsidR="00093A32" w:rsidRDefault="00093A32">
      <w:pPr>
        <w:pStyle w:val="BodyText"/>
        <w:numPr>
          <w:ilvl w:val="0"/>
          <w:numId w:val="56"/>
        </w:numPr>
        <w:tabs>
          <w:tab w:val="left" w:pos="341"/>
        </w:tabs>
        <w:ind w:left="360" w:hanging="360"/>
      </w:pPr>
      <w:bookmarkStart w:id="5" w:name="bookmark611"/>
      <w:bookmarkEnd w:id="5"/>
      <w:r>
        <w:t xml:space="preserve">Los aspergilomas y la otomicosis son dos síndromes de colonización no alérgica por especies de </w:t>
      </w:r>
      <w:r>
        <w:rPr>
          <w:rFonts w:ascii="Times New Roman" w:eastAsia="Times New Roman" w:hAnsi="Times New Roman" w:cs="Times New Roman"/>
          <w:i/>
          <w:iCs/>
          <w:sz w:val="16"/>
          <w:szCs w:val="16"/>
        </w:rPr>
        <w:t>Aspergillus</w:t>
      </w:r>
      <w:r>
        <w:t xml:space="preserve"> en niños inmunocompetentes. Los aspergilomas (bolas micóticas) proliferan en cavidades preexistentes o quistes broncógenos sin invadir tejido pulmonar; casi todos los pacientes tienen alguna neumopatía primaria, en forma típica fibrosis quística. Las personas con otomicosis tienen otitis media crónica con colonización del conducto auditivo externo por una bola fungosa que produce una secreción oscura.</w:t>
      </w:r>
    </w:p>
    <w:p w14:paraId="6B9FCE4A" w14:textId="77777777" w:rsidR="00093A32" w:rsidRDefault="00093A32">
      <w:pPr>
        <w:pStyle w:val="BodyText"/>
        <w:numPr>
          <w:ilvl w:val="0"/>
          <w:numId w:val="56"/>
        </w:numPr>
        <w:tabs>
          <w:tab w:val="left" w:pos="341"/>
        </w:tabs>
        <w:spacing w:after="220"/>
        <w:ind w:left="360" w:hanging="360"/>
      </w:pPr>
      <w:bookmarkStart w:id="6" w:name="bookmark612"/>
      <w:bookmarkEnd w:id="6"/>
      <w:r>
        <w:t>La aspergilosis invasora aparece casi exclusivamente en pacientes inmunodeficientes que tienen neutropenia duradera (p. ej,. que reciben citotóxicos algún tiempo) o una menor función fagocítica (como en el caso de enfermedad granulomatosa crónica, administración de inmunosupresores o corticosteroides). La infección invasora suele invadir pulmones, senos nasales, cerebro o piel. El signo característico de la aspergilosis invasora es la invasión de vasos que origina trombosis, diseminación a otros órganos y a veces erosión de la pared de vasos con hemorragia catastrófica. En raras ocasiones se observan endocarditis, osteomielitis, meningitis, infección de ojos u órbita y esofagitis.</w:t>
      </w:r>
    </w:p>
    <w:p w14:paraId="6CB9CE23" w14:textId="77777777" w:rsidR="00093A32" w:rsidRDefault="00093A32">
      <w:pPr>
        <w:pStyle w:val="BodyText"/>
        <w:spacing w:line="276" w:lineRule="auto"/>
        <w:ind w:firstLine="0"/>
      </w:pPr>
      <w:r>
        <w:rPr>
          <w:b/>
          <w:bCs/>
        </w:rPr>
        <w:t>C</w:t>
      </w:r>
      <w:r>
        <w:rPr>
          <w:b/>
          <w:bCs/>
          <w:sz w:val="13"/>
          <w:szCs w:val="13"/>
        </w:rPr>
        <w:t>AUSA</w:t>
      </w:r>
      <w:r>
        <w:rPr>
          <w:b/>
          <w:bCs/>
        </w:rPr>
        <w:t xml:space="preserve">: </w:t>
      </w:r>
      <w:r>
        <w:t xml:space="preserve">Las especies de </w:t>
      </w:r>
      <w:r>
        <w:rPr>
          <w:rFonts w:ascii="Times New Roman" w:eastAsia="Times New Roman" w:hAnsi="Times New Roman" w:cs="Times New Roman"/>
          <w:i/>
          <w:iCs/>
          <w:sz w:val="16"/>
          <w:szCs w:val="16"/>
        </w:rPr>
        <w:t>Aspergillus</w:t>
      </w:r>
      <w:r>
        <w:t xml:space="preserve"> son hongos de distribución amplísima que proliferan en vegetación en descomposición y en el suelo. </w:t>
      </w:r>
      <w:r>
        <w:rPr>
          <w:rFonts w:ascii="Times New Roman" w:eastAsia="Times New Roman" w:hAnsi="Times New Roman" w:cs="Times New Roman"/>
          <w:i/>
          <w:iCs/>
          <w:sz w:val="16"/>
          <w:szCs w:val="16"/>
        </w:rPr>
        <w:t>Aspergillus fumigatus</w:t>
      </w:r>
      <w:r>
        <w:t xml:space="preserve"> es la causa usual de aspergilosis y le sigue en frecuencia </w:t>
      </w:r>
      <w:r>
        <w:rPr>
          <w:rFonts w:ascii="Times New Roman" w:eastAsia="Times New Roman" w:hAnsi="Times New Roman" w:cs="Times New Roman"/>
          <w:i/>
          <w:iCs/>
          <w:sz w:val="16"/>
          <w:szCs w:val="16"/>
        </w:rPr>
        <w:t>Aspergillusflavus.</w:t>
      </w:r>
      <w:r>
        <w:t xml:space="preserve"> Otras especies como </w:t>
      </w:r>
      <w:r>
        <w:rPr>
          <w:rFonts w:ascii="Times New Roman" w:eastAsia="Times New Roman" w:hAnsi="Times New Roman" w:cs="Times New Roman"/>
          <w:i/>
          <w:iCs/>
          <w:sz w:val="16"/>
          <w:szCs w:val="16"/>
        </w:rPr>
        <w:t>Aspergillus teres</w:t>
      </w:r>
      <w:r>
        <w:t xml:space="preserve"> y </w:t>
      </w:r>
      <w:r>
        <w:rPr>
          <w:rFonts w:ascii="Times New Roman" w:eastAsia="Times New Roman" w:hAnsi="Times New Roman" w:cs="Times New Roman"/>
          <w:i/>
          <w:iCs/>
          <w:sz w:val="16"/>
          <w:szCs w:val="16"/>
        </w:rPr>
        <w:t>Aspergillus niger</w:t>
      </w:r>
      <w:r>
        <w:t xml:space="preserve"> originan infecciones invasoras en los seres humanos.</w:t>
      </w:r>
    </w:p>
    <w:p w14:paraId="2F260C3A" w14:textId="77777777" w:rsidR="00093A32" w:rsidRDefault="00093A32">
      <w:pPr>
        <w:pStyle w:val="BodyText"/>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El mecanismo principal de transmisión es la inhalación de conidios. Casi todos los sujetos afectados tienen deterioro de su función fagocitaria. Se han observado brotes nosocomiales de aspergilosis pulmonar invasora en hospedadores susceptibles, en que el origen probable del hongo fue una construcción cercana o un sistema deficiente de ventilación. Hay menor probabilidad de que la transmisión se haga por inoculación directa de raspones o heridas de la piel. No hay propagación directa, es decir, de una persona a otra.</w:t>
      </w:r>
    </w:p>
    <w:p w14:paraId="61AFDC1E" w14:textId="77777777" w:rsidR="00093A32" w:rsidRDefault="00093A32">
      <w:pPr>
        <w:pStyle w:val="BodyText"/>
        <w:ind w:firstLine="360"/>
      </w:pPr>
      <w:r>
        <w:t xml:space="preserve">Se desconoce el </w:t>
      </w:r>
      <w:r>
        <w:rPr>
          <w:b/>
          <w:bCs/>
        </w:rPr>
        <w:t>periodo de incubación.</w:t>
      </w:r>
    </w:p>
    <w:p w14:paraId="329C5CF1" w14:textId="77777777" w:rsidR="00093A32" w:rsidRDefault="00093A32">
      <w:pPr>
        <w:pStyle w:val="BodyText"/>
        <w:spacing w:after="100"/>
        <w:ind w:firstLine="0"/>
      </w:pPr>
      <w:r>
        <w:rPr>
          <w:b/>
          <w:bCs/>
        </w:rPr>
        <w:t>M</w:t>
      </w:r>
      <w:r>
        <w:rPr>
          <w:b/>
          <w:bCs/>
          <w:sz w:val="13"/>
          <w:szCs w:val="13"/>
        </w:rPr>
        <w:t>ÉTODOS DIAGNÓSTICOS</w:t>
      </w:r>
      <w:r>
        <w:rPr>
          <w:b/>
          <w:bCs/>
        </w:rPr>
        <w:t xml:space="preserve">: </w:t>
      </w:r>
      <w:r>
        <w:t>Datos que sugieren el diagnóstico son la identificación de hifas con ramificación dicotómica y septadas, identificadas mediante estudio con relativa rapidez los niños se reinfectan, se ha utilizado la desparasitación periódica en escolares para evitar complicaciones (déficit nutricionales y cognitivos) que surgen con las helmintiasis intestinales.</w:t>
      </w:r>
    </w:p>
    <w:p w14:paraId="33A64E90" w14:textId="77777777" w:rsidR="00093A32" w:rsidRDefault="00093A32">
      <w:pPr>
        <w:pStyle w:val="Bodytext70"/>
        <w:spacing w:after="0"/>
      </w:pPr>
      <w:r>
        <w:t>Aspergilosis</w:t>
      </w:r>
    </w:p>
    <w:p w14:paraId="0E20A8F5" w14:textId="77777777" w:rsidR="00093A32" w:rsidRDefault="00093A32">
      <w:pPr>
        <w:pStyle w:val="BodyText"/>
        <w:ind w:firstLine="0"/>
      </w:pPr>
      <w:r>
        <w:rPr>
          <w:b/>
          <w:bCs/>
        </w:rPr>
        <w:t>M</w:t>
      </w:r>
      <w:r>
        <w:rPr>
          <w:b/>
          <w:bCs/>
          <w:sz w:val="13"/>
          <w:szCs w:val="13"/>
        </w:rPr>
        <w:t>ANIFESTACIONES CLÍNICAS</w:t>
      </w:r>
      <w:r>
        <w:rPr>
          <w:b/>
          <w:bCs/>
        </w:rPr>
        <w:t xml:space="preserve">: </w:t>
      </w:r>
      <w:r>
        <w:t>La aspergilosis se manifiesta en la forma de una enfermedad no invasora y también invasora de los siguientes tipos:</w:t>
      </w:r>
    </w:p>
    <w:p w14:paraId="15FE6CCA" w14:textId="77777777" w:rsidR="00093A32" w:rsidRDefault="00093A32">
      <w:pPr>
        <w:pStyle w:val="BodyText"/>
        <w:numPr>
          <w:ilvl w:val="0"/>
          <w:numId w:val="56"/>
        </w:numPr>
        <w:tabs>
          <w:tab w:val="left" w:pos="341"/>
        </w:tabs>
        <w:ind w:left="360" w:hanging="360"/>
      </w:pPr>
      <w:bookmarkStart w:id="7" w:name="bookmark613"/>
      <w:bookmarkEnd w:id="7"/>
      <w:r>
        <w:t>La aspergilosis broncopulmonar alérgica es una neumopatía por hipersensibilidad que tiene como manifestaciones sibilancias episódicas, expectoración de tapones mucosos pardos, febrícula, eosinofilia e infiltrados transitorios en los pulmones. El cuadro surge más a menudo en niños inmunocompetentes con asma crónica o fibrosis quística.</w:t>
      </w:r>
    </w:p>
    <w:p w14:paraId="5CA0342F" w14:textId="77777777" w:rsidR="00093A32" w:rsidRDefault="00093A32">
      <w:pPr>
        <w:pStyle w:val="BodyText"/>
        <w:numPr>
          <w:ilvl w:val="0"/>
          <w:numId w:val="56"/>
        </w:numPr>
        <w:tabs>
          <w:tab w:val="left" w:pos="341"/>
        </w:tabs>
        <w:ind w:left="360" w:hanging="360"/>
      </w:pPr>
      <w:bookmarkStart w:id="8" w:name="bookmark614"/>
      <w:bookmarkEnd w:id="8"/>
      <w:r>
        <w:t xml:space="preserve">La sinusitis alérgica es una reacción a la colonización por especies de </w:t>
      </w:r>
      <w:r>
        <w:rPr>
          <w:rFonts w:ascii="Times New Roman" w:eastAsia="Times New Roman" w:hAnsi="Times New Roman" w:cs="Times New Roman"/>
          <w:i/>
          <w:iCs/>
          <w:sz w:val="16"/>
          <w:szCs w:val="16"/>
        </w:rPr>
        <w:t>Aspergillus</w:t>
      </w:r>
      <w:r>
        <w:t xml:space="preserve"> mucho menos frecuente que el síndrome broncopulmonar alérgico. La sinusitis mencionada afecta a niños con pólipos nasales o episodios previos de sinusitis o a menores en quienes se ha practicado cirugía de senos nasales, y se caracteriza por síntomas de sinusitis crónica con tapones oscuros de secreción nasal.</w:t>
      </w:r>
    </w:p>
    <w:p w14:paraId="08FECEC3" w14:textId="77777777" w:rsidR="00093A32" w:rsidRDefault="00093A32">
      <w:pPr>
        <w:pStyle w:val="BodyText"/>
        <w:numPr>
          <w:ilvl w:val="0"/>
          <w:numId w:val="56"/>
        </w:numPr>
        <w:tabs>
          <w:tab w:val="left" w:pos="341"/>
        </w:tabs>
        <w:ind w:left="360" w:hanging="360"/>
      </w:pPr>
      <w:bookmarkStart w:id="9" w:name="bookmark615"/>
      <w:bookmarkEnd w:id="9"/>
      <w:r>
        <w:t xml:space="preserve">Los aspergilomas y la otomicosis son dos síndromes de colonización no alérgica por especies de </w:t>
      </w:r>
      <w:r>
        <w:rPr>
          <w:rFonts w:ascii="Times New Roman" w:eastAsia="Times New Roman" w:hAnsi="Times New Roman" w:cs="Times New Roman"/>
          <w:i/>
          <w:iCs/>
          <w:sz w:val="16"/>
          <w:szCs w:val="16"/>
        </w:rPr>
        <w:t>Aspergillus</w:t>
      </w:r>
      <w:r>
        <w:t xml:space="preserve"> en niños inmunocompetentes. Los aspergilomas (bolas micóticas) proliferan en cavidades preexistentes o quistes broncógenos sin invadir tejido pulmonar; casi todos los pacientes tienen alguna neumopatía primaria, en forma típica fibrosis quística. Las personas con otomicosis tienen otitis media crónica con colonización del conducto auditivo externo por una bola fungosa que produce una secreción oscura.</w:t>
      </w:r>
    </w:p>
    <w:p w14:paraId="324EC098" w14:textId="77777777" w:rsidR="00093A32" w:rsidRDefault="00093A32">
      <w:pPr>
        <w:pStyle w:val="BodyText"/>
        <w:numPr>
          <w:ilvl w:val="0"/>
          <w:numId w:val="56"/>
        </w:numPr>
        <w:tabs>
          <w:tab w:val="left" w:pos="341"/>
        </w:tabs>
        <w:spacing w:after="220"/>
        <w:ind w:left="360" w:hanging="360"/>
      </w:pPr>
      <w:bookmarkStart w:id="10" w:name="bookmark616"/>
      <w:bookmarkEnd w:id="10"/>
      <w:r>
        <w:t>La aspergilosis invasora aparece casi exclusivamente en pacientes inmunodeficientes que tienen neutropenia duradera (p. ej,. que reciben citotóxicos algún tiempo) o una menor función fagocítica (como en el caso de enfermedad granulomatosa crónica, administración de inmunosupresores o corticosteroides). La infección invasora suele invadir pulmones, senos nasales, cerebro o piel. El signo característico de la aspergilosis invasora es la invasión de vasos que origina trombosis, diseminación a otros órganos y a veces erosión de la pared de vasos con hemorragia catastrófica. En raras ocasiones se observan endocarditis, osteomielitis, meningitis, infección de ojos u órbita y esofagitis.</w:t>
      </w:r>
    </w:p>
    <w:p w14:paraId="123F5213" w14:textId="77777777" w:rsidR="00093A32" w:rsidRDefault="00093A32">
      <w:pPr>
        <w:pStyle w:val="BodyText"/>
        <w:spacing w:line="276" w:lineRule="auto"/>
        <w:ind w:firstLine="0"/>
      </w:pPr>
      <w:r>
        <w:rPr>
          <w:b/>
          <w:bCs/>
        </w:rPr>
        <w:t>C</w:t>
      </w:r>
      <w:r>
        <w:rPr>
          <w:b/>
          <w:bCs/>
          <w:sz w:val="13"/>
          <w:szCs w:val="13"/>
        </w:rPr>
        <w:t>AUSA</w:t>
      </w:r>
      <w:r>
        <w:rPr>
          <w:b/>
          <w:bCs/>
        </w:rPr>
        <w:t xml:space="preserve">: </w:t>
      </w:r>
      <w:r>
        <w:t xml:space="preserve">Las especies de </w:t>
      </w:r>
      <w:r>
        <w:rPr>
          <w:rFonts w:ascii="Times New Roman" w:eastAsia="Times New Roman" w:hAnsi="Times New Roman" w:cs="Times New Roman"/>
          <w:i/>
          <w:iCs/>
          <w:sz w:val="16"/>
          <w:szCs w:val="16"/>
        </w:rPr>
        <w:t>Aspergillus</w:t>
      </w:r>
      <w:r>
        <w:t xml:space="preserve"> son hongos de distribución amplísima que proliferan en vegetación en descomposición y en el suelo. </w:t>
      </w:r>
      <w:r>
        <w:rPr>
          <w:rFonts w:ascii="Times New Roman" w:eastAsia="Times New Roman" w:hAnsi="Times New Roman" w:cs="Times New Roman"/>
          <w:i/>
          <w:iCs/>
          <w:sz w:val="16"/>
          <w:szCs w:val="16"/>
        </w:rPr>
        <w:t>Aspergillus fumigatus</w:t>
      </w:r>
      <w:r>
        <w:t xml:space="preserve"> es la causa usual de aspergilosis y le sigue en frecuencia </w:t>
      </w:r>
      <w:r>
        <w:rPr>
          <w:rFonts w:ascii="Times New Roman" w:eastAsia="Times New Roman" w:hAnsi="Times New Roman" w:cs="Times New Roman"/>
          <w:i/>
          <w:iCs/>
          <w:sz w:val="16"/>
          <w:szCs w:val="16"/>
        </w:rPr>
        <w:t>Aspergillusflavus.</w:t>
      </w:r>
      <w:r>
        <w:t xml:space="preserve"> Otras especies como </w:t>
      </w:r>
      <w:r>
        <w:rPr>
          <w:rFonts w:ascii="Times New Roman" w:eastAsia="Times New Roman" w:hAnsi="Times New Roman" w:cs="Times New Roman"/>
          <w:i/>
          <w:iCs/>
          <w:sz w:val="16"/>
          <w:szCs w:val="16"/>
        </w:rPr>
        <w:t>Aspergillus teres</w:t>
      </w:r>
      <w:r>
        <w:t xml:space="preserve"> y </w:t>
      </w:r>
      <w:r>
        <w:rPr>
          <w:rFonts w:ascii="Times New Roman" w:eastAsia="Times New Roman" w:hAnsi="Times New Roman" w:cs="Times New Roman"/>
          <w:i/>
          <w:iCs/>
          <w:sz w:val="16"/>
          <w:szCs w:val="16"/>
        </w:rPr>
        <w:t>Aspergillus niger</w:t>
      </w:r>
      <w:r>
        <w:t xml:space="preserve"> originan infecciones invasoras en los seres humanos.</w:t>
      </w:r>
    </w:p>
    <w:p w14:paraId="223C67FD" w14:textId="77777777" w:rsidR="00093A32" w:rsidRDefault="00093A32">
      <w:pPr>
        <w:pStyle w:val="BodyText"/>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El mecanismo principal de transmisión es la inhalación de conidios. Casi todos los sujetos afectados tienen deterioro de su función fagocitaria. Se han observado brotes nosocomiales de aspergilosis pulmonar invasora en hospedadores susceptibles, en que el origen probable del hongo fue una construcción cercana o un sistema deficiente de ventilación. Hay menor probabilidad de que la transmisión se haga por inoculación directa de raspones o heridas de la piel. No hay propagación directa, es decir, de una persona a otra.</w:t>
      </w:r>
    </w:p>
    <w:p w14:paraId="026E1A86" w14:textId="77777777" w:rsidR="00093A32" w:rsidRDefault="00093A32">
      <w:pPr>
        <w:pStyle w:val="BodyText"/>
        <w:ind w:firstLine="360"/>
      </w:pPr>
      <w:r>
        <w:t xml:space="preserve">Se desconoce el </w:t>
      </w:r>
      <w:r>
        <w:rPr>
          <w:b/>
          <w:bCs/>
        </w:rPr>
        <w:t>periodo de incubación.</w:t>
      </w:r>
    </w:p>
    <w:p w14:paraId="54FC3057" w14:textId="77777777" w:rsidR="00093A32" w:rsidRDefault="00093A32">
      <w:pPr>
        <w:pStyle w:val="BodyText"/>
        <w:ind w:firstLine="0"/>
        <w:sectPr w:rsidR="00093A32" w:rsidSect="00093A32">
          <w:headerReference w:type="even" r:id="rId23"/>
          <w:headerReference w:type="default" r:id="rId24"/>
          <w:footerReference w:type="even" r:id="rId25"/>
          <w:footerReference w:type="default" r:id="rId26"/>
          <w:headerReference w:type="first" r:id="rId27"/>
          <w:footerReference w:type="first" r:id="rId28"/>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 xml:space="preserve">Datos que sugieren el diagnóstico son la identificación de hifas con ramificación dicotómica y septadas, identificadas mediante estudio </w:t>
      </w:r>
    </w:p>
    <w:p w14:paraId="69D75325" w14:textId="77777777" w:rsidR="00093A32" w:rsidRDefault="00093A32">
      <w:pPr>
        <w:pStyle w:val="BodyText"/>
        <w:ind w:firstLine="0"/>
      </w:pPr>
      <w:r>
        <w:t xml:space="preserve">microscópico en preparados húmedos con hidróxido de potasio al 10% o la tinción de Gomori de metinamina-nitrato de plata de tejidos o muestras de lavado broncoalveolar. El diagnóstico definitivo se basa en el aislamiento de especies de </w:t>
      </w:r>
      <w:r>
        <w:rPr>
          <w:rFonts w:ascii="Times New Roman" w:eastAsia="Times New Roman" w:hAnsi="Times New Roman" w:cs="Times New Roman"/>
          <w:i/>
          <w:iCs/>
          <w:sz w:val="16"/>
          <w:szCs w:val="16"/>
        </w:rPr>
        <w:t>Aspergillus</w:t>
      </w:r>
      <w:r>
        <w:t xml:space="preserve"> en cultivos. Por lo común no se identifica el microorganismo en la sangre, pero se le puede aislar fácilmente de muestras de pulmones, senos nasales y biopsias de piel, en cultivo en agar-sacarosa de Sabouraud o medios con infusión de cerebro-corazón (sin cicloheximida). Algunas especies de </w:t>
      </w:r>
      <w:r>
        <w:rPr>
          <w:rFonts w:ascii="Times New Roman" w:eastAsia="Times New Roman" w:hAnsi="Times New Roman" w:cs="Times New Roman"/>
          <w:i/>
          <w:iCs/>
          <w:sz w:val="16"/>
          <w:szCs w:val="16"/>
        </w:rPr>
        <w:t>Aspergillus</w:t>
      </w:r>
      <w:r>
        <w:t xml:space="preserve"> pueden ser un contaminante de laboratorio, pero cuando se valoran los resultados de sujetos inmunodeficientes enfermos, la identificación del microorganismo suele denotar la presencia de infección. Se necesita obtener un fragmento de biopsia de la lesión y realizar su estudio histopatológico para confirmar el diagnóstico. También en lo futuro, para diagnosticar enfermedad invasora se contará con pruebas rápidas con antígenos y técnicas basadas en la reacción de cadena de polimerasas. Los métodos serológicos no tienen una utilidad establecida en el diagnóstico de la aspergilosis invasora; en esta última, el diagnóstico es sugerido por el síndrome típico clínico y mayores concentraciones de inmunoglobulina E sérica total y específica contra </w:t>
      </w:r>
      <w:r>
        <w:rPr>
          <w:rFonts w:ascii="Times New Roman" w:eastAsia="Times New Roman" w:hAnsi="Times New Roman" w:cs="Times New Roman"/>
          <w:i/>
          <w:iCs/>
          <w:sz w:val="16"/>
          <w:szCs w:val="16"/>
        </w:rPr>
        <w:t>Aspergillus</w:t>
      </w:r>
      <w:r>
        <w:rPr>
          <w:i/>
          <w:iCs/>
        </w:rPr>
        <w:t>,</w:t>
      </w:r>
      <w:r>
        <w:t xml:space="preserve"> eosinofilia y un resultado positivo de la cutirreacción a antígenos de </w:t>
      </w:r>
      <w:r>
        <w:rPr>
          <w:rFonts w:ascii="Times New Roman" w:eastAsia="Times New Roman" w:hAnsi="Times New Roman" w:cs="Times New Roman"/>
          <w:i/>
          <w:iCs/>
          <w:sz w:val="16"/>
          <w:szCs w:val="16"/>
        </w:rPr>
        <w:t>Aspergillus</w:t>
      </w:r>
      <w:r>
        <w:t>. En personas con fibrosis quística, el diagnóstico es más difícil porque suele haber sibilancias, eosinofilia y cutirreacción positiva que no guarda relación con la aspergilosis broncopulmonar alérgica.</w:t>
      </w:r>
    </w:p>
    <w:p w14:paraId="049DA59C" w14:textId="77777777" w:rsidR="00093A32" w:rsidRDefault="00093A32">
      <w:pPr>
        <w:pStyle w:val="BodyText"/>
        <w:ind w:firstLine="0"/>
      </w:pPr>
      <w:r>
        <w:rPr>
          <w:b/>
          <w:bCs/>
        </w:rPr>
        <w:t>T</w:t>
      </w:r>
      <w:r>
        <w:rPr>
          <w:b/>
          <w:bCs/>
          <w:sz w:val="13"/>
          <w:szCs w:val="13"/>
        </w:rPr>
        <w:t>RATAMIENTO</w:t>
      </w:r>
      <w:r>
        <w:rPr>
          <w:b/>
          <w:bCs/>
        </w:rPr>
        <w:t xml:space="preserve">: </w:t>
      </w:r>
      <w:r>
        <w:t xml:space="preserve">El tratamiento más indicado en la aspergilosis invasora es la administración de dosis altas de anfotericina B (1.0 a 1.5 mg/kg de peso al día) (véase “Fármacos contra micosis invasoras y otras de gravedad en niños”, sección 4); el tratamiento se continúa durante cuatro a 12 semanas o más. Algunos expertos recomiendan administrar concomitantemente itraconazol o rifampicina, pero otros expertos piensan que ningún fármaco complementario brinda beneficio alguno. Hay que pensar en el uso de las presentaciones lípidas de anfotericina B en niños que no toleran la anfotericina B regular, o en quienes la infección es refractaria a esta presentación del fármaco. No se ha definido la inocuidad y la eficacia de las presentaciones lípidas en niños menores de un mes de vida. El itraconazol solo se puede utilizar como fármaco alternativo en casos leves o moderados de aspergilosis si el germen es susceptible a él. Sin embargo, no se ha definido la inocuidad ni la eficacia de dicho medicamento en niños. En Estados Unidos la </w:t>
      </w:r>
      <w:r>
        <w:rPr>
          <w:rFonts w:ascii="Times New Roman" w:eastAsia="Times New Roman" w:hAnsi="Times New Roman" w:cs="Times New Roman"/>
          <w:i/>
          <w:iCs/>
          <w:sz w:val="16"/>
          <w:szCs w:val="16"/>
        </w:rPr>
        <w:t xml:space="preserve">Food and Drug Administration </w:t>
      </w:r>
      <w:r>
        <w:t>(FDA) ha aprobado el uso de acetato de caspofungina para tratar aspergilosis invasora en adultos; cabe valorar su uso en los niños pero son escasos los datos en cuanto a dosis e inocuidad. El voriconazol ha sido aprobado por la FDA para tratar aspergilosis invasora en adultos. No se ha definido la inocuidad y la eficacia de dichos productos en menores. A veces está justificada la extirpación quirúrgica de una lesión localizada (como serían restos tisulares en senos nasales).</w:t>
      </w:r>
    </w:p>
    <w:p w14:paraId="2EE70C1E" w14:textId="77777777" w:rsidR="00093A32" w:rsidRDefault="00093A32">
      <w:pPr>
        <w:pStyle w:val="BodyText"/>
        <w:spacing w:line="266" w:lineRule="auto"/>
        <w:ind w:firstLine="360"/>
      </w:pPr>
      <w:r>
        <w:t xml:space="preserve">La aspergilosis broncopulmonar alérgica o la sinusal a menudo son tratadas con corticosteroides. No es conveniente usar antimicóticos de acción sistémica en individuos con la forma alérgica de la enfermedad o en casos de colonización no alérgica.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70C8A872" w14:textId="77777777" w:rsidR="00093A32" w:rsidRDefault="00093A32">
      <w:pPr>
        <w:pStyle w:val="BodyText"/>
        <w:spacing w:after="100"/>
        <w:ind w:firstLine="0"/>
      </w:pPr>
      <w:r>
        <w:rPr>
          <w:b/>
          <w:bCs/>
        </w:rPr>
        <w:t>M</w:t>
      </w:r>
      <w:r>
        <w:rPr>
          <w:b/>
          <w:bCs/>
          <w:sz w:val="13"/>
          <w:szCs w:val="13"/>
        </w:rPr>
        <w:t>EDIDAS PREVENTIVAS</w:t>
      </w:r>
      <w:r>
        <w:rPr>
          <w:b/>
          <w:bCs/>
        </w:rPr>
        <w:t xml:space="preserve">: </w:t>
      </w:r>
      <w:r>
        <w:t>Se han observado brotes de aspergilosis invasora en sujetos inmunosuprimidos hospitalizados durante obras de construcción en hospitales o en sitios cercanos. Las medidas ambientales que al parecer son eficaces incluyen la creación de barreras apropiadas entre las zonas de atención de los pacientes y los sitios de construcción; limpieza de los sistemas de filtrado de aire, reparación de sistemas deficientes de flujo de aire y reposición de los filtros de aire contaminados. Los filtros de alta eficiencia para eliminación de partículas y las estancias con flujo laminar disminuyen extraordinariamente el peligro de penetración de conidios en zonas de atención clínica; sin embargo, estas medidas pueden ser caras y quizá no las toleren los pacientes. Ha habido señalamientos de profilaxia con dosis pequeñas de anfotericina B o itraconazol en personas que recibirán un trasplante de médula ósea, pero en niños no se han hecho investigaciones comparativas.</w:t>
      </w:r>
    </w:p>
    <w:p w14:paraId="5CF31D8A" w14:textId="77777777" w:rsidR="00093A32" w:rsidRDefault="00093A32">
      <w:pPr>
        <w:pStyle w:val="Bodytext70"/>
        <w:spacing w:after="0"/>
      </w:pPr>
      <w:r>
        <w:t>Astrovirus, infecciones</w:t>
      </w:r>
    </w:p>
    <w:p w14:paraId="75C12859" w14:textId="77777777" w:rsidR="00093A32" w:rsidRDefault="00093A32">
      <w:pPr>
        <w:pStyle w:val="BodyText"/>
        <w:ind w:firstLine="0"/>
      </w:pPr>
      <w:r>
        <w:rPr>
          <w:b/>
          <w:bCs/>
        </w:rPr>
        <w:t>M</w:t>
      </w:r>
      <w:r>
        <w:rPr>
          <w:b/>
          <w:bCs/>
          <w:sz w:val="13"/>
          <w:szCs w:val="13"/>
        </w:rPr>
        <w:t>ANIFESTACIONES CLÍNICAS</w:t>
      </w:r>
      <w:r>
        <w:rPr>
          <w:b/>
          <w:bCs/>
        </w:rPr>
        <w:t xml:space="preserve">: </w:t>
      </w:r>
      <w:r>
        <w:t>La enfermedad se caracteriza por dolor abdominal, diarrea, vómitos, náuseas, fiebre y malestar general. El cuadro en el hospedador inmunocompetente cede por sí solo y dura cinco a seis días en promedio. Son frecuentes las infecciones asintomáticas.</w:t>
      </w:r>
    </w:p>
    <w:p w14:paraId="0E35C9C8" w14:textId="77777777" w:rsidR="00093A32" w:rsidRDefault="00093A32">
      <w:pPr>
        <w:pStyle w:val="BodyText"/>
        <w:ind w:firstLine="0"/>
      </w:pPr>
      <w:r>
        <w:rPr>
          <w:b/>
          <w:bCs/>
        </w:rPr>
        <w:t>C</w:t>
      </w:r>
      <w:r>
        <w:rPr>
          <w:b/>
          <w:bCs/>
          <w:sz w:val="13"/>
          <w:szCs w:val="13"/>
        </w:rPr>
        <w:t>AUSAS</w:t>
      </w:r>
      <w:r>
        <w:rPr>
          <w:b/>
          <w:bCs/>
        </w:rPr>
        <w:t xml:space="preserve">: </w:t>
      </w:r>
      <w:r>
        <w:t>Las partículas en cuestión son virus de RNA monofilamentoso sin cubierta, con una imagen característica estrellada cuando se les observa en el microscopio electrónico. Se conocen ocho tipos antigénicos humanos.</w:t>
      </w:r>
    </w:p>
    <w:p w14:paraId="408AC36A" w14:textId="77777777" w:rsidR="00093A32" w:rsidRDefault="00093A32">
      <w:pPr>
        <w:pStyle w:val="BodyText"/>
        <w:ind w:firstLine="0"/>
      </w:pPr>
      <w:r>
        <w:rPr>
          <w:b/>
          <w:bCs/>
        </w:rPr>
        <w:t>A</w:t>
      </w:r>
      <w:r>
        <w:rPr>
          <w:b/>
          <w:bCs/>
          <w:sz w:val="13"/>
          <w:szCs w:val="13"/>
        </w:rPr>
        <w:t>SPECTOS EPIDEMIOLÓGICOS</w:t>
      </w:r>
      <w:r>
        <w:rPr>
          <w:b/>
          <w:bCs/>
        </w:rPr>
        <w:t xml:space="preserve">: </w:t>
      </w:r>
      <w:r>
        <w:t>Los astrovirus de seres humanos tienen una distribución mundial. Circulan conjuntamente en la misma región múltiples tipos antigénicos. Se les ha detectado incluso en 10% de casos esporádicos de gastroenteritis no bacteriana en niños de corta edad. Las infecciones por astrovirus aparecen sobre todo en niños menores de cuatro años y tienen un punto de frecuencia máxima estacional durante el invierno. La transmisión suele ser directa por la vía fecal-oral, aunque en contadas ocasiones se han corroborado brotes provenientes de alimentos contaminados. Los brotes tienden a aparecer en poblaciones cerradas de jóvenes y ancianos, y las cifras de ataque son grandes en niños hospitalizados y en los atendidos en centros de atención pediátrica. La excreción del virus dura unos cinco días, como mediana, después de comenzar los síntomas, pero en niños sanos la excreción asintomática después de la enfermedad puede durar semanas. En hospedadores inmunodeficientes la excreción puede ser persistente.</w:t>
      </w:r>
    </w:p>
    <w:p w14:paraId="26779778" w14:textId="77777777" w:rsidR="00093A32" w:rsidRDefault="00093A32">
      <w:pPr>
        <w:pStyle w:val="BodyText"/>
        <w:ind w:firstLine="360"/>
      </w:pPr>
      <w:r>
        <w:t xml:space="preserve">El </w:t>
      </w:r>
      <w:r>
        <w:rPr>
          <w:b/>
          <w:bCs/>
        </w:rPr>
        <w:t xml:space="preserve">periodo de incubación </w:t>
      </w:r>
      <w:r>
        <w:t>es de uno a cuatro días.</w:t>
      </w:r>
    </w:p>
    <w:p w14:paraId="54FAA7E4"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Estados Unidos no se cuenta con métodos comerciales de diagnóstico, aunque en otros países se dispone de inmunoanálisis enzimáticos. En algunos laboratorios de investigación y especializados se practican las siguientes pruebas: microscopia electrónica para detectar partículas víricas en excrementos, inmunoanálisis enzimático para detectar antígeno vírico en heces o anticuerpos en suero y reacción en cadena de polimerasa-transcriptasa inversa para detectar RNA vírico en las heces. De tales métodos, el más sensible es la reacción en cadena de polimerasa-transcriptasa inversa. </w:t>
      </w:r>
      <w:r>
        <w:rPr>
          <w:b/>
          <w:bCs/>
        </w:rPr>
        <w:t>T</w:t>
      </w:r>
      <w:r>
        <w:rPr>
          <w:b/>
          <w:bCs/>
          <w:sz w:val="13"/>
          <w:szCs w:val="13"/>
        </w:rPr>
        <w:t>RATAMIENTO</w:t>
      </w:r>
      <w:r>
        <w:rPr>
          <w:b/>
          <w:bCs/>
        </w:rPr>
        <w:t xml:space="preserve">: </w:t>
      </w:r>
      <w:r>
        <w:t>Incluye rehidratación con soluciones orales o intravenosas y de electrólitos.</w:t>
      </w:r>
    </w:p>
    <w:p w14:paraId="2F07B2BE" w14:textId="77777777" w:rsidR="00093A32" w:rsidRDefault="00093A32">
      <w:pPr>
        <w:pStyle w:val="BodyText"/>
        <w:ind w:firstLine="0"/>
      </w:pPr>
      <w:r>
        <w:rPr>
          <w:b/>
          <w:bCs/>
        </w:rPr>
        <w:t>A</w:t>
      </w:r>
      <w:r>
        <w:rPr>
          <w:b/>
          <w:bCs/>
          <w:sz w:val="13"/>
          <w:szCs w:val="13"/>
        </w:rPr>
        <w:t>ISLAMIENTO DEL PACIENTE HOSPITALIZADO</w:t>
      </w:r>
      <w:r>
        <w:rPr>
          <w:b/>
          <w:bCs/>
        </w:rPr>
        <w:t xml:space="preserve">: </w:t>
      </w:r>
      <w:r>
        <w:t>Además de las precauciones estándar se recomienda seguir precauciones para evitar transmisión por contacto en niños en pañales o incontinentes con infección posible o probada por astrovirus durante todo el tiempo que dure la enfermedad.</w:t>
      </w:r>
    </w:p>
    <w:p w14:paraId="5560DF7D" w14:textId="77777777" w:rsidR="00093A32" w:rsidRDefault="00093A32">
      <w:pPr>
        <w:pStyle w:val="BodyText"/>
        <w:spacing w:after="100"/>
        <w:ind w:firstLine="0"/>
      </w:pPr>
      <w:r>
        <w:rPr>
          <w:b/>
          <w:bCs/>
        </w:rPr>
        <w:t>M</w:t>
      </w:r>
      <w:r>
        <w:rPr>
          <w:b/>
          <w:bCs/>
          <w:sz w:val="13"/>
          <w:szCs w:val="13"/>
        </w:rPr>
        <w:t>EDIDAS PREVENTIVAS</w:t>
      </w:r>
      <w:r>
        <w:rPr>
          <w:b/>
          <w:bCs/>
        </w:rPr>
        <w:t xml:space="preserve">: </w:t>
      </w:r>
      <w:r>
        <w:t>No se cuenta con medidas específicas de prevención. La propagación de la infección en centros de atención infantil puede disminuir si se aplican medidas generales para desterrar la diarrea, como sería preparar a los cuidadores y enseñarles métodos de erradicación de la infección, conservar la limpieza de superficies y áreas de preparación de alimentos, cumplir con normas adecuadas de deficientes de flujo de aire y reposición de los filtros de aire contaminados. Los filtros de alta eficiencia para eliminación de partículas y las estancias con flujo laminar disminuyen extraordinariamente el peligro de penetración de conidios en zonas de atención clínica; sin embargo, estas medidas pueden ser caras y quizá no las toleren los pacientes. Ha habido señalamientos de profilaxia con dosis pequeñas de anfotericina B o itraconazol en personas que recibirán un trasplante de médula ósea, pero en niños no se han hecho investigaciones comparativas.</w:t>
      </w:r>
    </w:p>
    <w:p w14:paraId="006AAEA8" w14:textId="77777777" w:rsidR="00093A32" w:rsidRDefault="00093A32">
      <w:pPr>
        <w:pStyle w:val="Bodytext70"/>
        <w:spacing w:after="0"/>
      </w:pPr>
      <w:r>
        <w:t>Astrovirus, infecciones</w:t>
      </w:r>
    </w:p>
    <w:p w14:paraId="17BB1A42" w14:textId="77777777" w:rsidR="00093A32" w:rsidRDefault="00093A32">
      <w:pPr>
        <w:pStyle w:val="BodyText"/>
        <w:ind w:firstLine="0"/>
      </w:pPr>
      <w:r>
        <w:rPr>
          <w:b/>
          <w:bCs/>
        </w:rPr>
        <w:t>M</w:t>
      </w:r>
      <w:r>
        <w:rPr>
          <w:b/>
          <w:bCs/>
          <w:sz w:val="13"/>
          <w:szCs w:val="13"/>
        </w:rPr>
        <w:t>ANIFESTACIONES CLÍNICAS</w:t>
      </w:r>
      <w:r>
        <w:rPr>
          <w:b/>
          <w:bCs/>
        </w:rPr>
        <w:t xml:space="preserve">: </w:t>
      </w:r>
      <w:r>
        <w:t>La enfermedad se caracteriza por dolor abdominal, diarrea, vómitos, náuseas, fiebre y malestar general. El cuadro en el hospedador inmunocompetente cede por sí solo y dura cinco a seis días en promedio. Son frecuentes las infecciones asintomáticas.</w:t>
      </w:r>
    </w:p>
    <w:p w14:paraId="7FEB046E" w14:textId="77777777" w:rsidR="00093A32" w:rsidRDefault="00093A32">
      <w:pPr>
        <w:pStyle w:val="BodyText"/>
        <w:ind w:firstLine="0"/>
      </w:pPr>
      <w:r>
        <w:rPr>
          <w:b/>
          <w:bCs/>
        </w:rPr>
        <w:t>C</w:t>
      </w:r>
      <w:r>
        <w:rPr>
          <w:b/>
          <w:bCs/>
          <w:sz w:val="13"/>
          <w:szCs w:val="13"/>
        </w:rPr>
        <w:t>AUSAS</w:t>
      </w:r>
      <w:r>
        <w:rPr>
          <w:b/>
          <w:bCs/>
        </w:rPr>
        <w:t xml:space="preserve">: </w:t>
      </w:r>
      <w:r>
        <w:t>Las partículas en cuestión son virus de RNA monofilamentoso sin cubierta, con una imagen característica estrellada cuando se les observa en el microscopio electrónico. Se conocen ocho tipos antigénicos humanos.</w:t>
      </w:r>
    </w:p>
    <w:p w14:paraId="7615ECFA" w14:textId="77777777" w:rsidR="00093A32" w:rsidRDefault="00093A32">
      <w:pPr>
        <w:pStyle w:val="BodyText"/>
        <w:ind w:firstLine="0"/>
      </w:pPr>
      <w:r>
        <w:rPr>
          <w:b/>
          <w:bCs/>
        </w:rPr>
        <w:t>A</w:t>
      </w:r>
      <w:r>
        <w:rPr>
          <w:b/>
          <w:bCs/>
          <w:sz w:val="13"/>
          <w:szCs w:val="13"/>
        </w:rPr>
        <w:t>SPECTOS EPIDEMIOLÓGICOS</w:t>
      </w:r>
      <w:r>
        <w:rPr>
          <w:b/>
          <w:bCs/>
        </w:rPr>
        <w:t xml:space="preserve">: </w:t>
      </w:r>
      <w:r>
        <w:t>Los astrovirus de seres humanos tienen una distribución mundial. Circulan conjuntamente en la misma región múltiples tipos antigénicos. Se les ha detectado incluso en 10% de casos esporádicos de gastroenteritis no bacteriana en niños de corta edad. Las infecciones por astrovirus aparecen sobre todo en niños menores de cuatro años y tienen un punto de frecuencia máxima estacional durante el invierno. La transmisión suele ser directa por la vía fecal-oral, aunque en contadas ocasiones se han corroborado brotes provenientes de alimentos contaminados. Los brotes tienden a aparecer en poblaciones cerradas de jóvenes y ancianos, y las cifras de ataque son grandes en niños hospitalizados y en los atendidos en centros de atención pediátrica. La excreción del virus dura unos cinco días, como mediana, después de comenzar los síntomas, pero en niños sanos la excreción asintomática después de la enfermedad puede durar semanas. En hospedadores inmunodeficientes la excreción puede ser persistente.</w:t>
      </w:r>
    </w:p>
    <w:p w14:paraId="4231228A" w14:textId="77777777" w:rsidR="00093A32" w:rsidRDefault="00093A32">
      <w:pPr>
        <w:pStyle w:val="BodyText"/>
        <w:ind w:firstLine="360"/>
      </w:pPr>
      <w:r>
        <w:t xml:space="preserve">El </w:t>
      </w:r>
      <w:r>
        <w:rPr>
          <w:b/>
          <w:bCs/>
        </w:rPr>
        <w:t xml:space="preserve">periodo de incubación </w:t>
      </w:r>
      <w:r>
        <w:t>es de uno a cuatro días.</w:t>
      </w:r>
    </w:p>
    <w:p w14:paraId="7206DB60"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Estados Unidos no se cuenta con métodos comerciales de diagnóstico, aunque en otros países se dispone de inmunoanálisis enzimáticos. En algunos laboratorios de investigación y especializados se practican las siguientes pruebas: microscopia electrónica para detectar partículas víricas en excrementos, inmunoanálisis enzimático para detectar antígeno vírico en heces o anticuerpos en suero y reacción en cadena de polimerasa-transcriptasa inversa para detectar RNA vírico en las heces. De tales métodos, el más sensible es la reacción en cadena de polimerasa-transcriptasa inversa. </w:t>
      </w:r>
      <w:r>
        <w:rPr>
          <w:b/>
          <w:bCs/>
        </w:rPr>
        <w:t>T</w:t>
      </w:r>
      <w:r>
        <w:rPr>
          <w:b/>
          <w:bCs/>
          <w:sz w:val="13"/>
          <w:szCs w:val="13"/>
        </w:rPr>
        <w:t>RATAMIENTO</w:t>
      </w:r>
      <w:r>
        <w:rPr>
          <w:b/>
          <w:bCs/>
        </w:rPr>
        <w:t xml:space="preserve">: </w:t>
      </w:r>
      <w:r>
        <w:t>Incluye rehidratación con soluciones orales o intravenosas y de electrólitos.</w:t>
      </w:r>
    </w:p>
    <w:p w14:paraId="0C1AEA83" w14:textId="77777777" w:rsidR="00093A32" w:rsidRDefault="00093A32">
      <w:pPr>
        <w:pStyle w:val="BodyText"/>
        <w:ind w:firstLine="0"/>
      </w:pPr>
      <w:r>
        <w:rPr>
          <w:b/>
          <w:bCs/>
        </w:rPr>
        <w:t>A</w:t>
      </w:r>
      <w:r>
        <w:rPr>
          <w:b/>
          <w:bCs/>
          <w:sz w:val="13"/>
          <w:szCs w:val="13"/>
        </w:rPr>
        <w:t>ISLAMIENTO DEL PACIENTE HOSPITALIZADO</w:t>
      </w:r>
      <w:r>
        <w:rPr>
          <w:b/>
          <w:bCs/>
        </w:rPr>
        <w:t xml:space="preserve">: </w:t>
      </w:r>
      <w:r>
        <w:t>Además de las precauciones estándar se recomienda seguir precauciones para evitar transmisión por contacto en niños en pañales o incontinentes con infección posible o probada por astrovirus durante todo el tiempo que dure la enfermedad.</w:t>
      </w:r>
    </w:p>
    <w:p w14:paraId="7FA36825" w14:textId="77777777" w:rsidR="00093A32" w:rsidRDefault="00093A32">
      <w:pPr>
        <w:pStyle w:val="BodyText"/>
        <w:spacing w:after="100"/>
        <w:ind w:firstLine="0"/>
        <w:sectPr w:rsidR="00093A32" w:rsidSect="00093A32">
          <w:headerReference w:type="even" r:id="rId29"/>
          <w:headerReference w:type="default" r:id="rId30"/>
          <w:footerReference w:type="even" r:id="rId31"/>
          <w:footerReference w:type="default" r:id="rId32"/>
          <w:headerReference w:type="first" r:id="rId33"/>
          <w:footerReference w:type="first" r:id="rId34"/>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EDIDAS PREVENTIVAS</w:t>
      </w:r>
      <w:r>
        <w:rPr>
          <w:b/>
          <w:bCs/>
        </w:rPr>
        <w:t xml:space="preserve">: </w:t>
      </w:r>
      <w:r>
        <w:t xml:space="preserve">No se cuenta con medidas específicas de prevención. La propagación de la infección en centros de atención infantil puede disminuir si se aplican medidas generales para desterrar la diarrea, como sería preparar a los cuidadores y enseñarles métodos de erradicación de la infección, conservar la limpieza de superficies y áreas de preparación de alimentos, cumplir con normas adecuadas de </w:t>
      </w:r>
    </w:p>
    <w:p w14:paraId="3ADF5B5D" w14:textId="77777777" w:rsidR="00093A32" w:rsidRDefault="00093A32">
      <w:pPr>
        <w:pStyle w:val="BodyText"/>
        <w:spacing w:after="100"/>
        <w:ind w:firstLine="0"/>
      </w:pPr>
      <w:r>
        <w:t>higiene de las manos y excluir al personal enfermo que atiende niños y maneja alimentos, así como también a todos los pequeños enfermos, o colocarlos dentro de cohortes. No se dispone de alguna vacuna para evitar la infección por astrovirus.</w:t>
      </w:r>
    </w:p>
    <w:p w14:paraId="25C0C572" w14:textId="77777777" w:rsidR="00093A32" w:rsidRDefault="00093A32">
      <w:pPr>
        <w:pStyle w:val="Bodytext70"/>
        <w:spacing w:after="0"/>
      </w:pPr>
      <w:r>
        <w:t>Babesiosis</w:t>
      </w:r>
    </w:p>
    <w:p w14:paraId="6F6364E7"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Casi todos los casos de infección de este tipo son subclínicos. Cuando surgen síntomas, éstos incluyen malestar generalizado de comienzo gradual, anorexia y fatiga, a los que siguen fiebre intermitente con temperaturas que llegan a 40°C y una o más de las manifestaciones siguientes: escalofríos, sudores, mialgias, artralgias, náuseas y vómitos. Algunos de los signos menos frecuentes son hiperestesia, cefaleas, faringitis, dolor abdominal, hiperemia conjuntival, fotofobia, pérdida ponderal y tos no productiva. En general, los signos en la exploración física son mínimos y casi siempre incluyen sólo fiebre, aunque a veces se detectan esplenomegalia y hepatomegalia leves, o ambas. Muchos de los signos clínicos son semejantes a los del paludismo. La enfermedad dura a veces unas semanas o varios meses, con una etapa de recuperación duradera que puede llegar a 18 meses. Hay mayor posibilidad de que la enfermedad grave afecte a personas mayores de 40 años, a individuos asplénicos y a los inmunodeficientes. Algunas personas, en particular las que no tienen bazo, sufren a veces enfermedades fulminantes que culminan en la muerte o en convalecencia duradera. </w:t>
      </w: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Babesia</w:t>
      </w:r>
      <w:r>
        <w:t xml:space="preserve"> son protozoos intraeritrocíticos. </w:t>
      </w:r>
      <w:r>
        <w:rPr>
          <w:rFonts w:ascii="Times New Roman" w:eastAsia="Times New Roman" w:hAnsi="Times New Roman" w:cs="Times New Roman"/>
          <w:i/>
          <w:iCs/>
          <w:sz w:val="16"/>
          <w:szCs w:val="16"/>
        </w:rPr>
        <w:t>Babesia microti</w:t>
      </w:r>
      <w:r>
        <w:t xml:space="preserve"> y otros microorganismos diferentes en sus características genéticas y antigénicas son los que causan la enfermedad en Estados Unidos.</w:t>
      </w:r>
    </w:p>
    <w:p w14:paraId="5322DE7D" w14:textId="77777777" w:rsidR="00093A32" w:rsidRDefault="00093A32">
      <w:pPr>
        <w:pStyle w:val="BodyText"/>
        <w:spacing w:line="276" w:lineRule="auto"/>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En Estados Unidos el hospedador reservorio más importante de </w:t>
      </w:r>
      <w:r>
        <w:rPr>
          <w:rFonts w:ascii="Times New Roman" w:eastAsia="Times New Roman" w:hAnsi="Times New Roman" w:cs="Times New Roman"/>
          <w:i/>
          <w:iCs/>
          <w:sz w:val="16"/>
          <w:szCs w:val="16"/>
        </w:rPr>
        <w:t>B. microti</w:t>
      </w:r>
      <w:r>
        <w:t xml:space="preserve"> es el ratón de patas blancas </w:t>
      </w:r>
      <w:r>
        <w:rPr>
          <w:rFonts w:ascii="Times New Roman" w:eastAsia="Times New Roman" w:hAnsi="Times New Roman" w:cs="Times New Roman"/>
          <w:i/>
          <w:iCs/>
          <w:sz w:val="16"/>
          <w:szCs w:val="16"/>
        </w:rPr>
        <w:t>(Peromyscus leucopus)</w:t>
      </w:r>
      <w:r>
        <w:t xml:space="preserve"> y el vector principal es la garrapata </w:t>
      </w:r>
      <w:r>
        <w:rPr>
          <w:rFonts w:ascii="Times New Roman" w:eastAsia="Times New Roman" w:hAnsi="Times New Roman" w:cs="Times New Roman"/>
          <w:i/>
          <w:iCs/>
          <w:sz w:val="16"/>
          <w:szCs w:val="16"/>
        </w:rPr>
        <w:t>Ixodes scapularis.</w:t>
      </w:r>
      <w:r>
        <w:t xml:space="preserve"> El artrópodo mencionado también transmite </w:t>
      </w:r>
      <w:r>
        <w:rPr>
          <w:rFonts w:ascii="Times New Roman" w:eastAsia="Times New Roman" w:hAnsi="Times New Roman" w:cs="Times New Roman"/>
          <w:i/>
          <w:iCs/>
          <w:sz w:val="16"/>
          <w:szCs w:val="16"/>
        </w:rPr>
        <w:t>Borrelia burgdorferi</w:t>
      </w:r>
      <w:r>
        <w:t xml:space="preserve"> que es el agente causal de la enfermedad de Lyme y de la ehrlichiosis granulocítica humana. Los seres humanos se contagian por las picaduras de garrapatas infectadas. Un hospedador importante de la garrapata es el venado de cola blanca </w:t>
      </w:r>
      <w:r>
        <w:rPr>
          <w:rFonts w:ascii="Times New Roman" w:eastAsia="Times New Roman" w:hAnsi="Times New Roman" w:cs="Times New Roman"/>
          <w:i/>
          <w:iCs/>
          <w:sz w:val="16"/>
          <w:szCs w:val="16"/>
        </w:rPr>
        <w:t>(Odocoileus virginianus)</w:t>
      </w:r>
      <w:r>
        <w:t xml:space="preserve">, pero no es hospedador reservorio de </w:t>
      </w:r>
      <w:r>
        <w:rPr>
          <w:rFonts w:ascii="Times New Roman" w:eastAsia="Times New Roman" w:hAnsi="Times New Roman" w:cs="Times New Roman"/>
          <w:i/>
          <w:iCs/>
          <w:sz w:val="16"/>
          <w:szCs w:val="16"/>
        </w:rPr>
        <w:t>B. microti.</w:t>
      </w:r>
      <w:r>
        <w:t xml:space="preserve"> Se piensa que el incremento en la población de venados en los últimos decenios ha constituido un factor importante en la propagación de </w:t>
      </w:r>
      <w:r>
        <w:rPr>
          <w:rFonts w:ascii="Times New Roman" w:eastAsia="Times New Roman" w:hAnsi="Times New Roman" w:cs="Times New Roman"/>
          <w:i/>
          <w:iCs/>
          <w:sz w:val="16"/>
          <w:szCs w:val="16"/>
        </w:rPr>
        <w:t>I. scapularis</w:t>
      </w:r>
      <w:r>
        <w:t xml:space="preserve"> y el aumento consecutivo en los casos humanos de babesiosis. La enfermedad también puede contagiarse por transfusiones de sangre. Se han descrito casos de transmisión transplacentaria o perinatal de la enfermedad. En Estados Unidos los casos de babesiosis en seres humanos se han notificado en las zonas del medio oeste, noreste y la costa occidental de tal país (California, Connecticut, Georgia, Massachusetts, Minnesota, Missouri, Nueva Jersey, Nueva York, Rhode Island, Washington y Wisconsin). Casi todos los casos en seres humanos aparecen en el verano o el otoño. En zonas endémicas son frecuentes las infecciones asintomáticas.</w:t>
      </w:r>
    </w:p>
    <w:p w14:paraId="7BBE42E3" w14:textId="77777777" w:rsidR="00093A32" w:rsidRDefault="00093A32">
      <w:pPr>
        <w:pStyle w:val="BodyText"/>
        <w:ind w:firstLine="360"/>
      </w:pPr>
      <w:r>
        <w:t xml:space="preserve">El </w:t>
      </w:r>
      <w:r>
        <w:rPr>
          <w:b/>
          <w:bCs/>
        </w:rPr>
        <w:t xml:space="preserve">periodo de incubación </w:t>
      </w:r>
      <w:r>
        <w:t>varía de una a nueve semanas.</w:t>
      </w:r>
    </w:p>
    <w:p w14:paraId="4D190ABB" w14:textId="77777777" w:rsidR="00093A32" w:rsidRDefault="00093A32">
      <w:pPr>
        <w:pStyle w:val="BodyText"/>
        <w:ind w:firstLine="0"/>
      </w:pPr>
      <w:r>
        <w:rPr>
          <w:b/>
          <w:bCs/>
        </w:rPr>
        <w:t>M</w:t>
      </w:r>
      <w:r>
        <w:rPr>
          <w:b/>
          <w:bCs/>
          <w:sz w:val="13"/>
          <w:szCs w:val="13"/>
        </w:rPr>
        <w:t>ÉTODOS DIAGNÓSTICOS</w:t>
      </w:r>
      <w:r>
        <w:rPr>
          <w:b/>
          <w:bCs/>
        </w:rPr>
        <w:t xml:space="preserve">: </w:t>
      </w:r>
      <w:r>
        <w:t xml:space="preserve">La enfermedad se diagnostica por la identificación microscópica del protozoo en extendidos grueso o fino de sangre teñidos por los métodos de Giemsa o Wrigth. Hay que revisar en casos sospechosos, múltiples extensiones (frotis) de gota gruesa y fina de sangre si es negativo el resultado de un solo examen. En Estados Unidos, los </w:t>
      </w:r>
      <w:r>
        <w:rPr>
          <w:rFonts w:ascii="Times New Roman" w:eastAsia="Times New Roman" w:hAnsi="Times New Roman" w:cs="Times New Roman"/>
          <w:i/>
          <w:iCs/>
          <w:sz w:val="16"/>
          <w:szCs w:val="16"/>
        </w:rPr>
        <w:t>Center for Disease Control and Prevention</w:t>
      </w:r>
      <w:r>
        <w:t xml:space="preserve"> practican métodos serológicos para detección de anticuerpos contra </w:t>
      </w:r>
      <w:r>
        <w:rPr>
          <w:rFonts w:ascii="Times New Roman" w:eastAsia="Times New Roman" w:hAnsi="Times New Roman" w:cs="Times New Roman"/>
          <w:i/>
          <w:iCs/>
          <w:sz w:val="16"/>
          <w:szCs w:val="16"/>
        </w:rPr>
        <w:t>Babesia</w:t>
      </w:r>
      <w:r>
        <w:t xml:space="preserve"> y también se hacen en varios laboratorios especializados y de investigación a nivel estatal.</w:t>
      </w:r>
    </w:p>
    <w:p w14:paraId="54BD82F8" w14:textId="77777777" w:rsidR="00093A32" w:rsidRDefault="00093A32">
      <w:pPr>
        <w:pStyle w:val="BodyText"/>
        <w:spacing w:after="100"/>
        <w:ind w:firstLine="0"/>
      </w:pPr>
      <w:r>
        <w:rPr>
          <w:b/>
          <w:bCs/>
        </w:rPr>
        <w:t>T</w:t>
      </w:r>
      <w:r>
        <w:rPr>
          <w:b/>
          <w:bCs/>
          <w:sz w:val="13"/>
          <w:szCs w:val="13"/>
        </w:rPr>
        <w:t>RATAMIENTO</w:t>
      </w:r>
      <w:r>
        <w:rPr>
          <w:b/>
          <w:bCs/>
        </w:rPr>
        <w:t xml:space="preserve">: </w:t>
      </w:r>
      <w:r>
        <w:t>El curso clínico es leve y muchos pacientes se recuperan sin una quimioterapia específica contra babesias, razón por la cual la terapia se reserva para higiene de las manos y excluir al personal enfermo que atiende niños y maneja alimentos, así como también a todos los pequeños enfermos, o colocarlos dentro de cohortes. No se dispone de alguna vacuna para evitar la infección por astrovirus.</w:t>
      </w:r>
    </w:p>
    <w:p w14:paraId="05565889" w14:textId="77777777" w:rsidR="00093A32" w:rsidRDefault="00093A32">
      <w:pPr>
        <w:pStyle w:val="Bodytext70"/>
        <w:spacing w:after="0"/>
      </w:pPr>
      <w:r>
        <w:t>Babesiosis</w:t>
      </w:r>
    </w:p>
    <w:p w14:paraId="5C8F3D95"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Casi todos los casos de infección de este tipo son subclínicos. Cuando surgen síntomas, éstos incluyen malestar generalizado de comienzo gradual, anorexia y fatiga, a los que siguen fiebre intermitente con temperaturas que llegan a 40°C y una o más de las manifestaciones siguientes: escalofríos, sudores, mialgias, artralgias, náuseas y vómitos. Algunos de los signos menos frecuentes son hiperestesia, cefaleas, faringitis, dolor abdominal, hiperemia conjuntival, fotofobia, pérdida ponderal y tos no productiva. En general, los signos en la exploración física son mínimos y casi siempre incluyen sólo fiebre, aunque a veces se detectan esplenomegalia y hepatomegalia leves, o ambas. Muchos de los signos clínicos son semejantes a los del paludismo. La enfermedad dura a veces unas semanas o varios meses, con una etapa de recuperación duradera que puede llegar a 18 meses. Hay mayor posibilidad de que la enfermedad grave afecte a personas mayores de 40 años, a individuos asplénicos y a los inmunodeficientes. Algunas personas, en particular las que no tienen bazo, sufren a veces enfermedades fulminantes que culminan en la muerte o en convalecencia duradera. </w:t>
      </w: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Babesia</w:t>
      </w:r>
      <w:r>
        <w:t xml:space="preserve"> son protozoos intraeritrocíticos. </w:t>
      </w:r>
      <w:r>
        <w:rPr>
          <w:rFonts w:ascii="Times New Roman" w:eastAsia="Times New Roman" w:hAnsi="Times New Roman" w:cs="Times New Roman"/>
          <w:i/>
          <w:iCs/>
          <w:sz w:val="16"/>
          <w:szCs w:val="16"/>
        </w:rPr>
        <w:t>Babesia microti</w:t>
      </w:r>
      <w:r>
        <w:t xml:space="preserve"> y otros microorganismos diferentes en sus características genéticas y antigénicas son los que causan la enfermedad en Estados Unidos.</w:t>
      </w:r>
    </w:p>
    <w:p w14:paraId="7E3A77B5" w14:textId="77777777" w:rsidR="00093A32" w:rsidRDefault="00093A32">
      <w:pPr>
        <w:pStyle w:val="BodyText"/>
        <w:spacing w:line="276" w:lineRule="auto"/>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En Estados Unidos el hospedador reservorio más importante de </w:t>
      </w:r>
      <w:r>
        <w:rPr>
          <w:rFonts w:ascii="Times New Roman" w:eastAsia="Times New Roman" w:hAnsi="Times New Roman" w:cs="Times New Roman"/>
          <w:i/>
          <w:iCs/>
          <w:sz w:val="16"/>
          <w:szCs w:val="16"/>
        </w:rPr>
        <w:t>B. microti</w:t>
      </w:r>
      <w:r>
        <w:t xml:space="preserve"> es el ratón de patas blancas </w:t>
      </w:r>
      <w:r>
        <w:rPr>
          <w:rFonts w:ascii="Times New Roman" w:eastAsia="Times New Roman" w:hAnsi="Times New Roman" w:cs="Times New Roman"/>
          <w:i/>
          <w:iCs/>
          <w:sz w:val="16"/>
          <w:szCs w:val="16"/>
        </w:rPr>
        <w:t>(Peromyscus leucopus)</w:t>
      </w:r>
      <w:r>
        <w:t xml:space="preserve"> y el vector principal es la garrapata </w:t>
      </w:r>
      <w:r>
        <w:rPr>
          <w:rFonts w:ascii="Times New Roman" w:eastAsia="Times New Roman" w:hAnsi="Times New Roman" w:cs="Times New Roman"/>
          <w:i/>
          <w:iCs/>
          <w:sz w:val="16"/>
          <w:szCs w:val="16"/>
        </w:rPr>
        <w:t>Ixodes scapularis.</w:t>
      </w:r>
      <w:r>
        <w:t xml:space="preserve"> El artrópodo mencionado también transmite </w:t>
      </w:r>
      <w:r>
        <w:rPr>
          <w:rFonts w:ascii="Times New Roman" w:eastAsia="Times New Roman" w:hAnsi="Times New Roman" w:cs="Times New Roman"/>
          <w:i/>
          <w:iCs/>
          <w:sz w:val="16"/>
          <w:szCs w:val="16"/>
        </w:rPr>
        <w:t>Borrelia burgdorferi</w:t>
      </w:r>
      <w:r>
        <w:t xml:space="preserve"> que es el agente causal de la enfermedad de Lyme y de la ehrlichiosis granulocítica humana. Los seres humanos se contagian por las picaduras de garrapatas infectadas. Un hospedador importante de la garrapata es el venado de cola blanca </w:t>
      </w:r>
      <w:r>
        <w:rPr>
          <w:rFonts w:ascii="Times New Roman" w:eastAsia="Times New Roman" w:hAnsi="Times New Roman" w:cs="Times New Roman"/>
          <w:i/>
          <w:iCs/>
          <w:sz w:val="16"/>
          <w:szCs w:val="16"/>
        </w:rPr>
        <w:t>(Odocoileus virginianus)</w:t>
      </w:r>
      <w:r>
        <w:t xml:space="preserve">, pero no es hospedador reservorio de </w:t>
      </w:r>
      <w:r>
        <w:rPr>
          <w:rFonts w:ascii="Times New Roman" w:eastAsia="Times New Roman" w:hAnsi="Times New Roman" w:cs="Times New Roman"/>
          <w:i/>
          <w:iCs/>
          <w:sz w:val="16"/>
          <w:szCs w:val="16"/>
        </w:rPr>
        <w:t>B. microti.</w:t>
      </w:r>
      <w:r>
        <w:t xml:space="preserve"> Se piensa que el incremento en la población de venados en los últimos decenios ha constituido un factor importante en la propagación de </w:t>
      </w:r>
      <w:r>
        <w:rPr>
          <w:rFonts w:ascii="Times New Roman" w:eastAsia="Times New Roman" w:hAnsi="Times New Roman" w:cs="Times New Roman"/>
          <w:i/>
          <w:iCs/>
          <w:sz w:val="16"/>
          <w:szCs w:val="16"/>
        </w:rPr>
        <w:t>I. scapularis</w:t>
      </w:r>
      <w:r>
        <w:t xml:space="preserve"> y el aumento consecutivo en los casos humanos de babesiosis. La enfermedad también puede contagiarse por transfusiones de sangre. Se han descrito casos de transmisión transplacentaria o perinatal de la enfermedad. En Estados Unidos los casos de babesiosis en seres humanos se han notificado en las zonas del medio oeste, noreste y la costa occidental de tal país (California, Connecticut, Georgia, Massachusetts, Minnesota, Missouri, Nueva Jersey, Nueva York, Rhode Island, Washington y Wisconsin). Casi todos los casos en seres humanos aparecen en el verano o el otoño. En zonas endémicas son frecuentes las infecciones asintomáticas.</w:t>
      </w:r>
    </w:p>
    <w:p w14:paraId="240F6141" w14:textId="77777777" w:rsidR="00093A32" w:rsidRDefault="00093A32">
      <w:pPr>
        <w:pStyle w:val="BodyText"/>
        <w:ind w:firstLine="360"/>
      </w:pPr>
      <w:r>
        <w:t xml:space="preserve">El </w:t>
      </w:r>
      <w:r>
        <w:rPr>
          <w:b/>
          <w:bCs/>
        </w:rPr>
        <w:t xml:space="preserve">periodo de incubación </w:t>
      </w:r>
      <w:r>
        <w:t>varía de una a nueve semanas.</w:t>
      </w:r>
    </w:p>
    <w:p w14:paraId="7D12AFE2" w14:textId="77777777" w:rsidR="00093A32" w:rsidRDefault="00093A32">
      <w:pPr>
        <w:pStyle w:val="BodyText"/>
        <w:ind w:firstLine="0"/>
      </w:pPr>
      <w:r>
        <w:rPr>
          <w:b/>
          <w:bCs/>
        </w:rPr>
        <w:t>M</w:t>
      </w:r>
      <w:r>
        <w:rPr>
          <w:b/>
          <w:bCs/>
          <w:sz w:val="13"/>
          <w:szCs w:val="13"/>
        </w:rPr>
        <w:t>ÉTODOS DIAGNÓSTICOS</w:t>
      </w:r>
      <w:r>
        <w:rPr>
          <w:b/>
          <w:bCs/>
        </w:rPr>
        <w:t xml:space="preserve">: </w:t>
      </w:r>
      <w:r>
        <w:t xml:space="preserve">La enfermedad se diagnostica por la identificación microscópica del protozoo en extendidos grueso o fino de sangre teñidos por los métodos de Giemsa o Wrigth. Hay que revisar en casos sospechosos, múltiples extensiones (frotis) de gota gruesa y fina de sangre si es negativo el resultado de un solo examen. En Estados Unidos, los </w:t>
      </w:r>
      <w:r>
        <w:rPr>
          <w:rFonts w:ascii="Times New Roman" w:eastAsia="Times New Roman" w:hAnsi="Times New Roman" w:cs="Times New Roman"/>
          <w:i/>
          <w:iCs/>
          <w:sz w:val="16"/>
          <w:szCs w:val="16"/>
        </w:rPr>
        <w:t>Center for Disease Control and Prevention</w:t>
      </w:r>
      <w:r>
        <w:t xml:space="preserve"> practican métodos serológicos para detección de anticuerpos contra </w:t>
      </w:r>
      <w:r>
        <w:rPr>
          <w:rFonts w:ascii="Times New Roman" w:eastAsia="Times New Roman" w:hAnsi="Times New Roman" w:cs="Times New Roman"/>
          <w:i/>
          <w:iCs/>
          <w:sz w:val="16"/>
          <w:szCs w:val="16"/>
        </w:rPr>
        <w:t>Babesia</w:t>
      </w:r>
      <w:r>
        <w:t xml:space="preserve"> y también se hacen en varios laboratorios especializados y de investigación a nivel estatal.</w:t>
      </w:r>
    </w:p>
    <w:p w14:paraId="50F276EC" w14:textId="77777777" w:rsidR="00093A32" w:rsidRDefault="00093A32">
      <w:pPr>
        <w:pStyle w:val="BodyText"/>
        <w:ind w:firstLine="0"/>
        <w:sectPr w:rsidR="00093A32" w:rsidSect="00093A32">
          <w:headerReference w:type="even" r:id="rId35"/>
          <w:headerReference w:type="default" r:id="rId36"/>
          <w:footerReference w:type="even" r:id="rId37"/>
          <w:footerReference w:type="default" r:id="rId38"/>
          <w:footnotePr>
            <w:numFmt w:val="chicago"/>
          </w:footnotePr>
          <w:type w:val="continuous"/>
          <w:pgSz w:w="8501" w:h="13022"/>
          <w:pgMar w:top="708" w:right="805" w:bottom="440" w:left="770" w:header="0" w:footer="12" w:gutter="0"/>
          <w:cols w:space="720"/>
          <w:noEndnote/>
          <w:docGrid w:linePitch="360"/>
          <w15:footnoteColumns w:val="1"/>
        </w:sectPr>
      </w:pPr>
      <w:r>
        <w:rPr>
          <w:b/>
          <w:bCs/>
        </w:rPr>
        <w:t>T</w:t>
      </w:r>
      <w:r>
        <w:rPr>
          <w:b/>
          <w:bCs/>
          <w:sz w:val="13"/>
          <w:szCs w:val="13"/>
        </w:rPr>
        <w:t>RATAMIENTO</w:t>
      </w:r>
      <w:r>
        <w:rPr>
          <w:b/>
          <w:bCs/>
        </w:rPr>
        <w:t xml:space="preserve">: </w:t>
      </w:r>
      <w:r>
        <w:t xml:space="preserve">El curso clínico es leve y muchos pacientes se recuperan sin una quimioterapia específica contra babesias, razón por la cual la terapia se reserva para </w:t>
      </w:r>
    </w:p>
    <w:p w14:paraId="00C92576" w14:textId="77777777" w:rsidR="00093A32" w:rsidRDefault="00093A32">
      <w:pPr>
        <w:pStyle w:val="BodyText"/>
        <w:ind w:firstLine="0"/>
      </w:pPr>
      <w:r>
        <w:t xml:space="preserve">sujetos con un cuadro moderadamente grave o muy grave. Tienen igual eficacia las combinaciones de clindamicina y quinina ingerible, durante siete días, o la de atovacuona y azitromicina durante siete a 10 días (véase “Fármacos antiparasitarios”, sección 4). La última combinación se acompaña de menos efectos adversos. En sujetos sin bazo con babesiosis letal se han utilizado provechosamente exsanguinotransfusiones, y hay que pensar en su uso en toda persona en estado muy grave con parasitemia muy intensa.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3FAEDEA8"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recomendaciones específicas se orientan a evitar las picaduras de garrapatas y son similares a las que se siguen para evitar la enfermedad de Lyme y otras infecciones transmitidas por dichos artrópodos (véase “Prevención de infecciones por garrapatas”, sección 2).</w:t>
      </w:r>
    </w:p>
    <w:p w14:paraId="32A0B51D" w14:textId="77777777" w:rsidR="00093A32" w:rsidRDefault="00093A32">
      <w:pPr>
        <w:pStyle w:val="Bodytext70"/>
        <w:spacing w:after="0"/>
      </w:pPr>
      <w:r>
        <w:rPr>
          <w:i/>
          <w:iCs/>
        </w:rPr>
        <w:t>Bacillus cereus,</w:t>
      </w:r>
      <w:r>
        <w:t xml:space="preserve"> infecciones</w:t>
      </w:r>
    </w:p>
    <w:p w14:paraId="5A50F5EC"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intoxicación alimentaria por </w:t>
      </w:r>
      <w:r>
        <w:rPr>
          <w:rFonts w:ascii="Times New Roman" w:eastAsia="Times New Roman" w:hAnsi="Times New Roman" w:cs="Times New Roman"/>
          <w:i/>
          <w:iCs/>
          <w:sz w:val="16"/>
          <w:szCs w:val="16"/>
        </w:rPr>
        <w:t>Bacillus cereus</w:t>
      </w:r>
      <w:r>
        <w:t xml:space="preserve"> origina dos síndromes clínicos. El primero es el llamado emético el cual, a semejanza de la intoxicación alimentaria por estafilococos, surge después de un lapso breve de incubación y se caracteriza por náuseas, vómitos, cólicos abdominales y diarrea en 33%, en promedio, de los pacientes. El segundo sería el síndrome diarreico, el cual, a semejanza de la intoxicación alimentaria por </w:t>
      </w:r>
      <w:r>
        <w:rPr>
          <w:rFonts w:ascii="Times New Roman" w:eastAsia="Times New Roman" w:hAnsi="Times New Roman" w:cs="Times New Roman"/>
          <w:i/>
          <w:iCs/>
          <w:sz w:val="16"/>
          <w:szCs w:val="16"/>
        </w:rPr>
        <w:t>Clostridiumperfringens,</w:t>
      </w:r>
      <w:r>
        <w:t xml:space="preserve"> tiene un periodo de incubación más largo y se caracteriza predominantemente por cólicos abdominales moderados o intensos y diarrea acuosa, y en 25% de los pacientes, en promedio, surgen vómitos. Ambos síndromes son poco intensos, por lo común no se acompañan de fiebre y ceden en término de 24 horas.</w:t>
      </w:r>
    </w:p>
    <w:p w14:paraId="6EF73726" w14:textId="77777777" w:rsidR="00093A32" w:rsidRDefault="00093A32">
      <w:pPr>
        <w:pStyle w:val="BodyText"/>
        <w:spacing w:line="276" w:lineRule="auto"/>
        <w:ind w:firstLine="360"/>
      </w:pPr>
      <w:r>
        <w:rPr>
          <w:rFonts w:ascii="Times New Roman" w:eastAsia="Times New Roman" w:hAnsi="Times New Roman" w:cs="Times New Roman"/>
          <w:i/>
          <w:iCs/>
          <w:sz w:val="16"/>
          <w:szCs w:val="16"/>
        </w:rPr>
        <w:t>Bacillus cereus</w:t>
      </w:r>
      <w:r>
        <w:t xml:space="preserve"> también origina infecciones locales de piel y heridas, infecciones de los ojos y enfermedad invasora que incluye bacteriemia, infecciones vinculadas con catéteres en vena central, endocarditis, osteomielitis, neumonía, abscesos encefálicos y laringitis. El ataque de los ojos incluye panoftalmitis, endoftalmitis y queratitis. </w:t>
      </w:r>
      <w:r>
        <w:rPr>
          <w:b/>
          <w:bCs/>
        </w:rPr>
        <w:t>C</w:t>
      </w:r>
      <w:r>
        <w:rPr>
          <w:b/>
          <w:bCs/>
          <w:sz w:val="13"/>
          <w:szCs w:val="13"/>
        </w:rPr>
        <w:t>AUSA</w:t>
      </w:r>
      <w:r>
        <w:rPr>
          <w:b/>
          <w:bCs/>
        </w:rPr>
        <w:t xml:space="preserve">: </w:t>
      </w:r>
      <w:r>
        <w:rPr>
          <w:rFonts w:ascii="Times New Roman" w:eastAsia="Times New Roman" w:hAnsi="Times New Roman" w:cs="Times New Roman"/>
          <w:i/>
          <w:iCs/>
          <w:sz w:val="16"/>
          <w:szCs w:val="16"/>
        </w:rPr>
        <w:t>Bacillus cereus</w:t>
      </w:r>
      <w:r>
        <w:t xml:space="preserve"> es un bacilo aerobio y anaerobio facultativo, esporógeno y grampositivo. El síndrome emético es causado por una toxina termoestable preformada, en tanto que el diarreico lo es por la producción in vivo de la enterotoxina termolábil. Dicha enterotoxina es citotóxica y puede originar necrosis tisular, incluida insuficiencia hepática fulminante.</w:t>
      </w:r>
    </w:p>
    <w:p w14:paraId="1D0B9389"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Bacillus cereus</w:t>
      </w:r>
      <w:r>
        <w:t xml:space="preserve"> está distribuido ampliamente en el entorno. Por lo regular aparece en número escaso en alimentos crudos, secos y preparados, pero es una causa poco frecuente de intoxicación alimentaria en Estados Unidos. Las esporas son termorresistentes y viven después de lapsos breves de cocimiento o ebullición. Las formas vegetativas pueden proliferar y producir enterotoxinas a temperaturas muy diversas, que van de 25 a 42°C. El síndrome emético surge después del consumo de alimentos que contienen la toxina preformada, muy a menudo arroz frito o vuelto a cocinar. La enfermedad puede ser consecuencia del consumo de alimentos contaminados por esporas de </w:t>
      </w:r>
      <w:r>
        <w:rPr>
          <w:rFonts w:ascii="Times New Roman" w:eastAsia="Times New Roman" w:hAnsi="Times New Roman" w:cs="Times New Roman"/>
          <w:i/>
          <w:iCs/>
          <w:sz w:val="16"/>
          <w:szCs w:val="16"/>
        </w:rPr>
        <w:t>B. cereus,</w:t>
      </w:r>
      <w:r>
        <w:t xml:space="preserve"> que producen una toxina en las vías gastrointestinales. La enfermedad que surge por las esporas muy a menudo es causada por carne o verduras contaminadas y se manifiesta en la forma de síndrome diarreico. El cuadro de origen alimentario causado por B. cereus no es transmisible en forma directa de una persona a otra.</w:t>
      </w:r>
    </w:p>
    <w:p w14:paraId="6027A371" w14:textId="77777777" w:rsidR="00093A32" w:rsidRDefault="00093A32">
      <w:pPr>
        <w:pStyle w:val="BodyText"/>
        <w:ind w:firstLine="360"/>
      </w:pPr>
      <w:r>
        <w:t xml:space="preserve">Entre los factores de riesgo de que surja enfermedad invasora atribuible a </w:t>
      </w:r>
      <w:r>
        <w:rPr>
          <w:rFonts w:ascii="Times New Roman" w:eastAsia="Times New Roman" w:hAnsi="Times New Roman" w:cs="Times New Roman"/>
          <w:i/>
          <w:iCs/>
          <w:sz w:val="16"/>
          <w:szCs w:val="16"/>
        </w:rPr>
        <w:t xml:space="preserve">B. cereus </w:t>
      </w:r>
      <w:r>
        <w:t xml:space="preserve">están el antecedente de consumo de drogas inyectables, presencia de catéteres a sujetos con un cuadro moderadamente grave o muy grave. Tienen igual eficacia las combinaciones de clindamicina y quinina ingerible, durante siete días, o la de atovacuona y azitromicina durante siete a 10 días (véase “Fármacos antiparasitarios”, sección 4). La última combinación se acompaña de menos efectos adversos. En sujetos sin bazo con babesiosis letal se han utilizado provechosamente exsanguinotransfusiones, y hay que pensar en su uso en toda persona en estado muy grave con parasitemia muy intensa.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6BB61A7D"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recomendaciones específicas se orientan a evitar las picaduras de garrapatas y son similares a las que se siguen para evitar la enfermedad de Lyme y otras infecciones transmitidas por dichos artrópodos (véase “Prevención de infecciones por garrapatas”, sección 2).</w:t>
      </w:r>
    </w:p>
    <w:p w14:paraId="44231197" w14:textId="77777777" w:rsidR="00093A32" w:rsidRDefault="00093A32">
      <w:pPr>
        <w:pStyle w:val="Bodytext70"/>
        <w:spacing w:after="0"/>
      </w:pPr>
      <w:r>
        <w:rPr>
          <w:i/>
          <w:iCs/>
        </w:rPr>
        <w:t>Bacillus cereus,</w:t>
      </w:r>
      <w:r>
        <w:t xml:space="preserve"> infecciones</w:t>
      </w:r>
    </w:p>
    <w:p w14:paraId="1066A227"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intoxicación alimentaria por </w:t>
      </w:r>
      <w:r>
        <w:rPr>
          <w:rFonts w:ascii="Times New Roman" w:eastAsia="Times New Roman" w:hAnsi="Times New Roman" w:cs="Times New Roman"/>
          <w:i/>
          <w:iCs/>
          <w:sz w:val="16"/>
          <w:szCs w:val="16"/>
        </w:rPr>
        <w:t>Bacillus cereus</w:t>
      </w:r>
      <w:r>
        <w:t xml:space="preserve"> origina dos síndromes clínicos. El primero es el llamado emético el cual, a semejanza de la intoxicación alimentaria por estafilococos, surge después de un lapso breve de incubación y se caracteriza por náuseas, vómitos, cólicos abdominales y diarrea en 33%, en promedio, de los pacientes. El segundo sería el síndrome diarreico, el cual, a semejanza de la intoxicación alimentaria por </w:t>
      </w:r>
      <w:r>
        <w:rPr>
          <w:rFonts w:ascii="Times New Roman" w:eastAsia="Times New Roman" w:hAnsi="Times New Roman" w:cs="Times New Roman"/>
          <w:i/>
          <w:iCs/>
          <w:sz w:val="16"/>
          <w:szCs w:val="16"/>
        </w:rPr>
        <w:t>Clostridiumperfringens,</w:t>
      </w:r>
      <w:r>
        <w:t xml:space="preserve"> tiene un periodo de incubación más largo y se caracteriza predominantemente por cólicos abdominales moderados o intensos y diarrea acuosa, y en 25% de los pacientes, en promedio, surgen vómitos. Ambos síndromes son poco intensos, por lo común no se acompañan de fiebre y ceden en término de 24 horas.</w:t>
      </w:r>
    </w:p>
    <w:p w14:paraId="4C6772E8" w14:textId="77777777" w:rsidR="00093A32" w:rsidRDefault="00093A32">
      <w:pPr>
        <w:pStyle w:val="BodyText"/>
        <w:spacing w:line="276" w:lineRule="auto"/>
        <w:ind w:firstLine="360"/>
      </w:pPr>
      <w:r>
        <w:rPr>
          <w:rFonts w:ascii="Times New Roman" w:eastAsia="Times New Roman" w:hAnsi="Times New Roman" w:cs="Times New Roman"/>
          <w:i/>
          <w:iCs/>
          <w:sz w:val="16"/>
          <w:szCs w:val="16"/>
        </w:rPr>
        <w:t>Bacillus cereus</w:t>
      </w:r>
      <w:r>
        <w:t xml:space="preserve"> también origina infecciones locales de piel y heridas, infecciones de los ojos y enfermedad invasora que incluye bacteriemia, infecciones vinculadas con catéteres en vena central, endocarditis, osteomielitis, neumonía, abscesos encefálicos y laringitis. El ataque de los ojos incluye panoftalmitis, endoftalmitis y queratitis. </w:t>
      </w:r>
      <w:r>
        <w:rPr>
          <w:b/>
          <w:bCs/>
        </w:rPr>
        <w:t>C</w:t>
      </w:r>
      <w:r>
        <w:rPr>
          <w:b/>
          <w:bCs/>
          <w:sz w:val="13"/>
          <w:szCs w:val="13"/>
        </w:rPr>
        <w:t>AUSA</w:t>
      </w:r>
      <w:r>
        <w:rPr>
          <w:b/>
          <w:bCs/>
        </w:rPr>
        <w:t xml:space="preserve">: </w:t>
      </w:r>
      <w:r>
        <w:rPr>
          <w:rFonts w:ascii="Times New Roman" w:eastAsia="Times New Roman" w:hAnsi="Times New Roman" w:cs="Times New Roman"/>
          <w:i/>
          <w:iCs/>
          <w:sz w:val="16"/>
          <w:szCs w:val="16"/>
        </w:rPr>
        <w:t>Bacillus cereus</w:t>
      </w:r>
      <w:r>
        <w:t xml:space="preserve"> es un bacilo aerobio y anaerobio facultativo, esporógeno y grampositivo. El síndrome emético es causado por una toxina termoestable preformada, en tanto que el diarreico lo es por la producción in vivo de la enterotoxina termolábil. Dicha enterotoxina es citotóxica y puede originar necrosis tisular, incluida insuficiencia hepática fulminante.</w:t>
      </w:r>
    </w:p>
    <w:p w14:paraId="37B005B9"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Bacillus cereus</w:t>
      </w:r>
      <w:r>
        <w:t xml:space="preserve"> está distribuido ampliamente en el entorno. Por lo regular aparece en número escaso en alimentos crudos, secos y preparados, pero es una causa poco frecuente de intoxicación alimentaria en Estados Unidos. Las esporas son termorresistentes y viven después de lapsos breves de cocimiento o ebullición. Las formas vegetativas pueden proliferar y producir enterotoxinas a temperaturas muy diversas, que van de 25 a 42°C. El síndrome emético surge después del consumo de alimentos que contienen la toxina preformada, muy a menudo arroz frito o vuelto a cocinar. La enfermedad puede ser consecuencia del consumo de alimentos contaminados por esporas de </w:t>
      </w:r>
      <w:r>
        <w:rPr>
          <w:rFonts w:ascii="Times New Roman" w:eastAsia="Times New Roman" w:hAnsi="Times New Roman" w:cs="Times New Roman"/>
          <w:i/>
          <w:iCs/>
          <w:sz w:val="16"/>
          <w:szCs w:val="16"/>
        </w:rPr>
        <w:t>B. cereus,</w:t>
      </w:r>
      <w:r>
        <w:t xml:space="preserve"> que producen una toxina en las vías gastrointestinales. La enfermedad que surge por las esporas muy a menudo es causada por carne o verduras contaminadas y se manifiesta en la forma de síndrome diarreico. El cuadro de origen alimentario causado por B. cereus no es transmisible en forma directa de una persona a otra.</w:t>
      </w:r>
    </w:p>
    <w:p w14:paraId="76D86312" w14:textId="77777777" w:rsidR="00093A32" w:rsidRDefault="00093A32">
      <w:pPr>
        <w:pStyle w:val="BodyText"/>
        <w:ind w:firstLine="360"/>
        <w:sectPr w:rsidR="00093A32" w:rsidSect="00093A32">
          <w:headerReference w:type="even" r:id="rId39"/>
          <w:headerReference w:type="default" r:id="rId40"/>
          <w:footerReference w:type="even" r:id="rId41"/>
          <w:footerReference w:type="default" r:id="rId42"/>
          <w:footnotePr>
            <w:numFmt w:val="chicago"/>
          </w:footnotePr>
          <w:type w:val="continuous"/>
          <w:pgSz w:w="8501" w:h="13022"/>
          <w:pgMar w:top="708" w:right="805" w:bottom="440" w:left="770" w:header="0" w:footer="12" w:gutter="0"/>
          <w:cols w:space="720"/>
          <w:noEndnote/>
          <w:docGrid w:linePitch="360"/>
          <w15:footnoteColumns w:val="1"/>
        </w:sectPr>
      </w:pPr>
      <w:r>
        <w:t xml:space="preserve">Entre los factores de riesgo de que surja enfermedad invasora atribuible a </w:t>
      </w:r>
      <w:r>
        <w:rPr>
          <w:rFonts w:ascii="Times New Roman" w:eastAsia="Times New Roman" w:hAnsi="Times New Roman" w:cs="Times New Roman"/>
          <w:i/>
          <w:iCs/>
          <w:sz w:val="16"/>
          <w:szCs w:val="16"/>
        </w:rPr>
        <w:t xml:space="preserve">B. cereus </w:t>
      </w:r>
      <w:r>
        <w:t xml:space="preserve">están el antecedente de consumo de drogas inyectables, presencia de catéteres a </w:t>
      </w:r>
    </w:p>
    <w:p w14:paraId="665D93B6" w14:textId="77777777" w:rsidR="00093A32" w:rsidRDefault="00093A32">
      <w:pPr>
        <w:pStyle w:val="BodyText"/>
        <w:ind w:firstLine="0"/>
      </w:pPr>
      <w:r>
        <w:t>permanencia en el interior de vasos o dispositivos implantados, e inmunosupresión. Se ha observado endoftalmitis por dicho germen después de traumatismos penetrantes de los ojos y consumos de drogas inyectables.</w:t>
      </w:r>
    </w:p>
    <w:p w14:paraId="2EF895CB" w14:textId="77777777" w:rsidR="00093A32" w:rsidRDefault="00093A32">
      <w:pPr>
        <w:pStyle w:val="BodyText"/>
        <w:ind w:firstLine="360"/>
      </w:pPr>
      <w:r>
        <w:t>El periodo de incubación del síndrome emético es de 1 a 6 h, y el del diarreico, de 6 a 24 horas.</w:t>
      </w:r>
    </w:p>
    <w:p w14:paraId="11975D13"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el caso de la enfermedad de origen alimentario, el diagnóstico se corrobora al aislar </w:t>
      </w:r>
      <w:r>
        <w:rPr>
          <w:rFonts w:ascii="Times New Roman" w:eastAsia="Times New Roman" w:hAnsi="Times New Roman" w:cs="Times New Roman"/>
          <w:i/>
          <w:iCs/>
          <w:sz w:val="16"/>
          <w:szCs w:val="16"/>
        </w:rPr>
        <w:t>B. cereus</w:t>
      </w:r>
      <w:r>
        <w:t xml:space="preserve"> en una concentración de </w:t>
      </w:r>
      <w:r>
        <w:rPr>
          <w:rFonts w:ascii="Arial" w:eastAsia="Arial" w:hAnsi="Arial" w:cs="Arial"/>
        </w:rPr>
        <w:t xml:space="preserve">&gt; </w:t>
      </w:r>
      <w:r>
        <w:t xml:space="preserve">105/g del alimento supuestamente patógeno según datos epidemiológicos. El microorganismo se puede identificar de muestras de excremento en algunas personas sanas, razón por la cual la presencia de </w:t>
      </w:r>
      <w:r>
        <w:rPr>
          <w:rFonts w:ascii="Times New Roman" w:eastAsia="Times New Roman" w:hAnsi="Times New Roman" w:cs="Times New Roman"/>
          <w:i/>
          <w:iCs/>
          <w:sz w:val="16"/>
          <w:szCs w:val="16"/>
        </w:rPr>
        <w:t>B. cereus</w:t>
      </w:r>
      <w:r>
        <w:t xml:space="preserve"> en heces o vómitos de sujetos enfermos no constituye prueba definitiva de infección, salvo que se demuestre que varios gérmenes aislados y obtenidos de algunos enfermos graves tengan el mismo serotipo o que en los cultivos de excrementos de un grupo testigo igualado arrojen resultados negativos. Se han utilizado como recursos epidemiológicos en brotes de intoxicación alimentaria métodos como tipificación de fago, hibridación de DNA, análisis de plásmidos y enzimoelectroforesis.</w:t>
      </w:r>
    </w:p>
    <w:p w14:paraId="76DA4A96" w14:textId="77777777" w:rsidR="00093A32" w:rsidRDefault="00093A32">
      <w:pPr>
        <w:pStyle w:val="BodyText"/>
        <w:ind w:firstLine="360"/>
      </w:pPr>
      <w:r>
        <w:t xml:space="preserve">En sujetos con factores de riesgo de enfermedad invasora, es notable la identificación del </w:t>
      </w:r>
      <w:r>
        <w:rPr>
          <w:rFonts w:ascii="Times New Roman" w:eastAsia="Times New Roman" w:hAnsi="Times New Roman" w:cs="Times New Roman"/>
          <w:i/>
          <w:iCs/>
          <w:sz w:val="16"/>
          <w:szCs w:val="16"/>
        </w:rPr>
        <w:t>B. cereus</w:t>
      </w:r>
      <w:r>
        <w:t xml:space="preserve"> (aislamiento) de heridas, sangre y otros líquidos corporales normalmente estériles.</w:t>
      </w:r>
    </w:p>
    <w:p w14:paraId="2F6C4E89" w14:textId="77777777" w:rsidR="00093A32" w:rsidRDefault="00093A32">
      <w:pPr>
        <w:pStyle w:val="BodyText"/>
        <w:ind w:firstLine="0"/>
      </w:pPr>
      <w:r>
        <w:rPr>
          <w:b/>
          <w:bCs/>
        </w:rPr>
        <w:t>T</w:t>
      </w:r>
      <w:r>
        <w:rPr>
          <w:b/>
          <w:bCs/>
          <w:sz w:val="13"/>
          <w:szCs w:val="13"/>
        </w:rPr>
        <w:t>RATAMIENTO</w:t>
      </w:r>
      <w:r>
        <w:rPr>
          <w:b/>
          <w:bCs/>
        </w:rPr>
        <w:t xml:space="preserve">: </w:t>
      </w:r>
      <w:r>
        <w:t xml:space="preserve">Los individuos con intoxicación alimentaria por </w:t>
      </w:r>
      <w:r>
        <w:rPr>
          <w:rFonts w:ascii="Times New Roman" w:eastAsia="Times New Roman" w:hAnsi="Times New Roman" w:cs="Times New Roman"/>
          <w:i/>
          <w:iCs/>
          <w:sz w:val="16"/>
          <w:szCs w:val="16"/>
        </w:rPr>
        <w:t>B. cereus</w:t>
      </w:r>
      <w:r>
        <w:t xml:space="preserve"> necesitan sólo medidas de sostén. En estos casos está indicada la rehidratación oral o, a veces, la reposición a base de soluciones intravenosas y de electrólitos en caso de deshidratación grave. No están indicados los agentes antimicrobianos.</w:t>
      </w:r>
    </w:p>
    <w:p w14:paraId="690DA2ED" w14:textId="77777777" w:rsidR="00093A32" w:rsidRDefault="00093A32">
      <w:pPr>
        <w:pStyle w:val="BodyText"/>
        <w:ind w:firstLine="360"/>
      </w:pPr>
      <w:r>
        <w:t xml:space="preserve">Las personas con enfermedad invasora necesitan terapia con antimicrobianos. Es esencial en estos casos la extracción inmediata de cualquier cuerpo extraño que pueda estar infectado, como los catéteres o los implantes. </w:t>
      </w:r>
      <w:r>
        <w:rPr>
          <w:rFonts w:ascii="Times New Roman" w:eastAsia="Times New Roman" w:hAnsi="Times New Roman" w:cs="Times New Roman"/>
          <w:i/>
          <w:iCs/>
          <w:sz w:val="16"/>
          <w:szCs w:val="16"/>
        </w:rPr>
        <w:t>Bacillus cereus</w:t>
      </w:r>
      <w:r>
        <w:t xml:space="preserve"> por lo común es susceptible a la acción de vancomicina, clindamicina, ciprofloxacina, imipenem y meropenem. El germen es resistente uniformemente a todos los antimicrobianos lactámicos beta. </w:t>
      </w: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4B30510A" w14:textId="77777777" w:rsidR="00093A32" w:rsidRDefault="00093A32">
      <w:pPr>
        <w:pStyle w:val="BodyText"/>
        <w:ind w:firstLine="0"/>
      </w:pPr>
      <w:r>
        <w:rPr>
          <w:b/>
          <w:bCs/>
        </w:rPr>
        <w:t>M</w:t>
      </w:r>
      <w:r>
        <w:rPr>
          <w:b/>
          <w:bCs/>
          <w:sz w:val="13"/>
          <w:szCs w:val="13"/>
        </w:rPr>
        <w:t>EDIDAS PREVENTIVAS</w:t>
      </w:r>
      <w:r>
        <w:rPr>
          <w:b/>
          <w:bCs/>
        </w:rPr>
        <w:t xml:space="preserve">: </w:t>
      </w:r>
      <w:r>
        <w:t>La cocción y el almacenamiento adecuado de alimentos, en particular el arroz cocido para uso ulterior, ayudará a evitar los brotes de origen alimentario. Los alimentos deben estar a temperaturas mayores de 60°C o se les enfriará rápidamente a menos de 10°C después de cocidos.</w:t>
      </w:r>
    </w:p>
    <w:p w14:paraId="17A1B88A" w14:textId="77777777" w:rsidR="00093A32" w:rsidRDefault="00093A32">
      <w:pPr>
        <w:pStyle w:val="BodyText"/>
        <w:spacing w:after="100"/>
        <w:ind w:firstLine="360"/>
      </w:pPr>
      <w:r>
        <w:t>Otras medidas importantes para reducir al mínimo la aparición de enfermedad invasora son la higiene de las manos y la técnica aséptica estricta cuando se atienden pacientes inmunodeficientes o con catéteres intravasculares a permanencia.</w:t>
      </w:r>
    </w:p>
    <w:p w14:paraId="323139AF" w14:textId="77777777" w:rsidR="00093A32" w:rsidRDefault="00093A32">
      <w:pPr>
        <w:pStyle w:val="Bodytext70"/>
        <w:spacing w:after="0"/>
      </w:pPr>
      <w:r>
        <w:t>Bacteriana, vaginosis</w:t>
      </w:r>
    </w:p>
    <w:p w14:paraId="257EC737"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vaginosis bacteriana </w:t>
      </w:r>
      <w:r>
        <w:rPr>
          <w:i/>
          <w:iCs/>
        </w:rPr>
        <w:t>(</w:t>
      </w:r>
      <w:r>
        <w:rPr>
          <w:rFonts w:ascii="Times New Roman" w:eastAsia="Times New Roman" w:hAnsi="Times New Roman" w:cs="Times New Roman"/>
          <w:i/>
          <w:iCs/>
          <w:sz w:val="16"/>
          <w:szCs w:val="16"/>
        </w:rPr>
        <w:t>bacterial vaginosis</w:t>
      </w:r>
      <w:r>
        <w:rPr>
          <w:i/>
          <w:iCs/>
        </w:rPr>
        <w:t>,</w:t>
      </w:r>
      <w:r>
        <w:t xml:space="preserve"> BV) es un síndrome que afecta predominantemente a adolescentes y adultas sexualmente activas y se caracteriza por cambios en la flora vaginal. Los síntomas pueden incluir la presencia de secreción vaginal adherente, homogénea y blanquecina con un olor a pescado. La vaginosis puede ser asintomática y no acompañarse de dolor abdominal, prurito intenso o disuria.</w:t>
      </w:r>
    </w:p>
    <w:p w14:paraId="0BAD5E41" w14:textId="77777777" w:rsidR="00093A32" w:rsidRDefault="00093A32">
      <w:pPr>
        <w:pStyle w:val="BodyText"/>
        <w:ind w:firstLine="360"/>
      </w:pPr>
      <w:r>
        <w:t xml:space="preserve">La vaginitis y la vulvitis en niñas prepuberales por lo común tienen un origen inespecífico y rara vez son manifestaciones de la vaginosis bacteriana. En estas niñas, otras causas que predisponen a la expulsión de secreciones por la vagina incluyen cuerpos extraños o infecciones atribuibles a estreptococos del grupo A, </w:t>
      </w:r>
      <w:r>
        <w:rPr>
          <w:rFonts w:ascii="Times New Roman" w:eastAsia="Times New Roman" w:hAnsi="Times New Roman" w:cs="Times New Roman"/>
          <w:i/>
          <w:iCs/>
          <w:sz w:val="16"/>
          <w:szCs w:val="16"/>
        </w:rPr>
        <w:t>Trichomonas vaginalis,</w:t>
      </w:r>
      <w:r>
        <w:t xml:space="preserve"> virus de herpes simple, </w:t>
      </w:r>
      <w:r>
        <w:rPr>
          <w:rFonts w:ascii="Times New Roman" w:eastAsia="Times New Roman" w:hAnsi="Times New Roman" w:cs="Times New Roman"/>
          <w:i/>
          <w:iCs/>
          <w:sz w:val="16"/>
          <w:szCs w:val="16"/>
        </w:rPr>
        <w:t>Neisseria gonorrhoeae, Chlamydia trachomatis</w:t>
      </w:r>
      <w:r>
        <w:t xml:space="preserve"> o especies de </w:t>
      </w:r>
      <w:r>
        <w:rPr>
          <w:rFonts w:ascii="Times New Roman" w:eastAsia="Times New Roman" w:hAnsi="Times New Roman" w:cs="Times New Roman"/>
          <w:i/>
          <w:iCs/>
          <w:sz w:val="16"/>
          <w:szCs w:val="16"/>
        </w:rPr>
        <w:t>Shigella</w:t>
      </w:r>
      <w:r>
        <w:rPr>
          <w:i/>
          <w:iCs/>
        </w:rPr>
        <w:t xml:space="preserve">. </w:t>
      </w:r>
      <w:r>
        <w:t>permanencia en el interior de vasos o dispositivos implantados, e inmunosupresión. Se ha observado endoftalmitis por dicho germen después de traumatismos penetrantes de los ojos y consumos de drogas inyectables.</w:t>
      </w:r>
    </w:p>
    <w:p w14:paraId="15058BDA" w14:textId="77777777" w:rsidR="00093A32" w:rsidRDefault="00093A32">
      <w:pPr>
        <w:pStyle w:val="BodyText"/>
        <w:ind w:firstLine="360"/>
      </w:pPr>
      <w:r>
        <w:t>El periodo de incubación del síndrome emético es de 1 a 6 h, y el del diarreico, de 6 a 24 horas.</w:t>
      </w:r>
    </w:p>
    <w:p w14:paraId="10D2F26E"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el caso de la enfermedad de origen alimentario, el diagnóstico se corrobora al aislar </w:t>
      </w:r>
      <w:r>
        <w:rPr>
          <w:rFonts w:ascii="Times New Roman" w:eastAsia="Times New Roman" w:hAnsi="Times New Roman" w:cs="Times New Roman"/>
          <w:i/>
          <w:iCs/>
          <w:sz w:val="16"/>
          <w:szCs w:val="16"/>
        </w:rPr>
        <w:t>B. cereus</w:t>
      </w:r>
      <w:r>
        <w:t xml:space="preserve"> en una concentración de </w:t>
      </w:r>
      <w:r>
        <w:rPr>
          <w:rFonts w:ascii="Arial" w:eastAsia="Arial" w:hAnsi="Arial" w:cs="Arial"/>
        </w:rPr>
        <w:t xml:space="preserve">&gt; </w:t>
      </w:r>
      <w:r>
        <w:t xml:space="preserve">105/g del alimento supuestamente patógeno según datos epidemiológicos. El microorganismo se puede identificar de muestras de excremento en algunas personas sanas, razón por la cual la presencia de </w:t>
      </w:r>
      <w:r>
        <w:rPr>
          <w:rFonts w:ascii="Times New Roman" w:eastAsia="Times New Roman" w:hAnsi="Times New Roman" w:cs="Times New Roman"/>
          <w:i/>
          <w:iCs/>
          <w:sz w:val="16"/>
          <w:szCs w:val="16"/>
        </w:rPr>
        <w:t>B. cereus</w:t>
      </w:r>
      <w:r>
        <w:t xml:space="preserve"> en heces o vómitos de sujetos enfermos no constituye prueba definitiva de infección, salvo que se demuestre que varios gérmenes aislados y obtenidos de algunos enfermos graves tengan el mismo serotipo o que en los cultivos de excrementos de un grupo testigo igualado arrojen resultados negativos. Se han utilizado como recursos epidemiológicos en brotes de intoxicación alimentaria métodos como tipificación de fago, hibridación de DNA, análisis de plásmidos y enzimoelectroforesis.</w:t>
      </w:r>
    </w:p>
    <w:p w14:paraId="07AB1D56" w14:textId="77777777" w:rsidR="00093A32" w:rsidRDefault="00093A32">
      <w:pPr>
        <w:pStyle w:val="BodyText"/>
        <w:ind w:firstLine="360"/>
      </w:pPr>
      <w:r>
        <w:t xml:space="preserve">En sujetos con factores de riesgo de enfermedad invasora, es notable la identificación del </w:t>
      </w:r>
      <w:r>
        <w:rPr>
          <w:rFonts w:ascii="Times New Roman" w:eastAsia="Times New Roman" w:hAnsi="Times New Roman" w:cs="Times New Roman"/>
          <w:i/>
          <w:iCs/>
          <w:sz w:val="16"/>
          <w:szCs w:val="16"/>
        </w:rPr>
        <w:t>B. cereus</w:t>
      </w:r>
      <w:r>
        <w:t xml:space="preserve"> (aislamiento) de heridas, sangre y otros líquidos corporales normalmente estériles.</w:t>
      </w:r>
    </w:p>
    <w:p w14:paraId="4A9128A2" w14:textId="77777777" w:rsidR="00093A32" w:rsidRDefault="00093A32">
      <w:pPr>
        <w:pStyle w:val="BodyText"/>
        <w:ind w:firstLine="0"/>
      </w:pPr>
      <w:r>
        <w:rPr>
          <w:b/>
          <w:bCs/>
        </w:rPr>
        <w:t>T</w:t>
      </w:r>
      <w:r>
        <w:rPr>
          <w:b/>
          <w:bCs/>
          <w:sz w:val="13"/>
          <w:szCs w:val="13"/>
        </w:rPr>
        <w:t>RATAMIENTO</w:t>
      </w:r>
      <w:r>
        <w:rPr>
          <w:b/>
          <w:bCs/>
        </w:rPr>
        <w:t xml:space="preserve">: </w:t>
      </w:r>
      <w:r>
        <w:t xml:space="preserve">Los individuos con intoxicación alimentaria por </w:t>
      </w:r>
      <w:r>
        <w:rPr>
          <w:rFonts w:ascii="Times New Roman" w:eastAsia="Times New Roman" w:hAnsi="Times New Roman" w:cs="Times New Roman"/>
          <w:i/>
          <w:iCs/>
          <w:sz w:val="16"/>
          <w:szCs w:val="16"/>
        </w:rPr>
        <w:t>B. cereus</w:t>
      </w:r>
      <w:r>
        <w:t xml:space="preserve"> necesitan sólo medidas de sostén. En estos casos está indicada la rehidratación oral o, a veces, la reposición a base de soluciones intravenosas y de electrólitos en caso de deshidratación grave. No están indicados los agentes antimicrobianos.</w:t>
      </w:r>
    </w:p>
    <w:p w14:paraId="3DD0B820" w14:textId="77777777" w:rsidR="00093A32" w:rsidRDefault="00093A32">
      <w:pPr>
        <w:pStyle w:val="BodyText"/>
        <w:ind w:firstLine="360"/>
      </w:pPr>
      <w:r>
        <w:t xml:space="preserve">Las personas con enfermedad invasora necesitan terapia con antimicrobianos. Es esencial en estos casos la extracción inmediata de cualquier cuerpo extraño que pueda estar infectado, como los catéteres o los implantes. </w:t>
      </w:r>
      <w:r>
        <w:rPr>
          <w:rFonts w:ascii="Times New Roman" w:eastAsia="Times New Roman" w:hAnsi="Times New Roman" w:cs="Times New Roman"/>
          <w:i/>
          <w:iCs/>
          <w:sz w:val="16"/>
          <w:szCs w:val="16"/>
        </w:rPr>
        <w:t>Bacillus cereus</w:t>
      </w:r>
      <w:r>
        <w:t xml:space="preserve"> por lo común es susceptible a la acción de vancomicina, clindamicina, ciprofloxacina, imipenem y meropenem. El germen es resistente uniformemente a todos los antimicrobianos lactámicos beta. </w:t>
      </w: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0B348556" w14:textId="77777777" w:rsidR="00093A32" w:rsidRDefault="00093A32">
      <w:pPr>
        <w:pStyle w:val="BodyText"/>
        <w:ind w:firstLine="0"/>
      </w:pPr>
      <w:r>
        <w:rPr>
          <w:b/>
          <w:bCs/>
        </w:rPr>
        <w:t>M</w:t>
      </w:r>
      <w:r>
        <w:rPr>
          <w:b/>
          <w:bCs/>
          <w:sz w:val="13"/>
          <w:szCs w:val="13"/>
        </w:rPr>
        <w:t>EDIDAS PREVENTIVAS</w:t>
      </w:r>
      <w:r>
        <w:rPr>
          <w:b/>
          <w:bCs/>
        </w:rPr>
        <w:t xml:space="preserve">: </w:t>
      </w:r>
      <w:r>
        <w:t>La cocción y el almacenamiento adecuado de alimentos, en particular el arroz cocido para uso ulterior, ayudará a evitar los brotes de origen alimentario. Los alimentos deben estar a temperaturas mayores de 60°C o se les enfriará rápidamente a menos de 10°C después de cocidos.</w:t>
      </w:r>
    </w:p>
    <w:p w14:paraId="78EBE252" w14:textId="77777777" w:rsidR="00093A32" w:rsidRDefault="00093A32">
      <w:pPr>
        <w:pStyle w:val="BodyText"/>
        <w:spacing w:after="100"/>
        <w:ind w:firstLine="360"/>
      </w:pPr>
      <w:r>
        <w:t>Otras medidas importantes para reducir al mínimo la aparición de enfermedad invasora son la higiene de las manos y la técnica aséptica estricta cuando se atienden pacientes inmunodeficientes o con catéteres intravasculares a permanencia.</w:t>
      </w:r>
    </w:p>
    <w:p w14:paraId="0C5658D5" w14:textId="77777777" w:rsidR="00093A32" w:rsidRDefault="00093A32">
      <w:pPr>
        <w:pStyle w:val="Bodytext70"/>
        <w:spacing w:after="0"/>
      </w:pPr>
      <w:r>
        <w:t>Bacteriana, vaginosis</w:t>
      </w:r>
    </w:p>
    <w:p w14:paraId="679A8C5D"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vaginosis bacteriana </w:t>
      </w:r>
      <w:r>
        <w:rPr>
          <w:i/>
          <w:iCs/>
        </w:rPr>
        <w:t>(</w:t>
      </w:r>
      <w:r>
        <w:rPr>
          <w:rFonts w:ascii="Times New Roman" w:eastAsia="Times New Roman" w:hAnsi="Times New Roman" w:cs="Times New Roman"/>
          <w:i/>
          <w:iCs/>
          <w:sz w:val="16"/>
          <w:szCs w:val="16"/>
        </w:rPr>
        <w:t>bacterial vaginosis</w:t>
      </w:r>
      <w:r>
        <w:rPr>
          <w:i/>
          <w:iCs/>
        </w:rPr>
        <w:t>,</w:t>
      </w:r>
      <w:r>
        <w:t xml:space="preserve"> BV) es un síndrome que afecta predominantemente a adolescentes y adultas sexualmente activas y se caracteriza por cambios en la flora vaginal. Los síntomas pueden incluir la presencia de secreción vaginal adherente, homogénea y blanquecina con un olor a pescado. La vaginosis puede ser asintomática y no acompañarse de dolor abdominal, prurito intenso o disuria.</w:t>
      </w:r>
    </w:p>
    <w:p w14:paraId="2F07B356" w14:textId="77777777" w:rsidR="00093A32" w:rsidRDefault="00093A32">
      <w:pPr>
        <w:pStyle w:val="BodyText"/>
        <w:ind w:firstLine="360"/>
        <w:sectPr w:rsidR="00093A32" w:rsidSect="00093A32">
          <w:headerReference w:type="even" r:id="rId43"/>
          <w:headerReference w:type="default" r:id="rId44"/>
          <w:footerReference w:type="even" r:id="rId45"/>
          <w:footerReference w:type="default" r:id="rId46"/>
          <w:footnotePr>
            <w:numFmt w:val="chicago"/>
          </w:footnotePr>
          <w:type w:val="continuous"/>
          <w:pgSz w:w="8501" w:h="13022"/>
          <w:pgMar w:top="708" w:right="805" w:bottom="440" w:left="770" w:header="0" w:footer="12" w:gutter="0"/>
          <w:cols w:space="720"/>
          <w:noEndnote/>
          <w:docGrid w:linePitch="360"/>
          <w15:footnoteColumns w:val="1"/>
        </w:sectPr>
      </w:pPr>
      <w:r>
        <w:t xml:space="preserve">La vaginitis y la vulvitis en niñas prepuberales por lo común tienen un origen inespecífico y rara vez son manifestaciones de la vaginosis bacteriana. En estas niñas, otras causas que predisponen a la expulsión de secreciones por la vagina incluyen cuerpos extraños o infecciones atribuibles a estreptococos del grupo A, </w:t>
      </w:r>
      <w:r>
        <w:rPr>
          <w:rFonts w:ascii="Times New Roman" w:eastAsia="Times New Roman" w:hAnsi="Times New Roman" w:cs="Times New Roman"/>
          <w:i/>
          <w:iCs/>
          <w:sz w:val="16"/>
          <w:szCs w:val="16"/>
        </w:rPr>
        <w:t>Trichomonas vaginalis,</w:t>
      </w:r>
      <w:r>
        <w:t xml:space="preserve"> virus de herpes simple, </w:t>
      </w:r>
      <w:r>
        <w:rPr>
          <w:rFonts w:ascii="Times New Roman" w:eastAsia="Times New Roman" w:hAnsi="Times New Roman" w:cs="Times New Roman"/>
          <w:i/>
          <w:iCs/>
          <w:sz w:val="16"/>
          <w:szCs w:val="16"/>
        </w:rPr>
        <w:t>Neisseria gonorrhoeae, Chlamydia trachomatis</w:t>
      </w:r>
      <w:r>
        <w:t xml:space="preserve"> o especies de </w:t>
      </w:r>
      <w:r>
        <w:rPr>
          <w:rFonts w:ascii="Times New Roman" w:eastAsia="Times New Roman" w:hAnsi="Times New Roman" w:cs="Times New Roman"/>
          <w:i/>
          <w:iCs/>
          <w:sz w:val="16"/>
          <w:szCs w:val="16"/>
        </w:rPr>
        <w:t>Shigella</w:t>
      </w:r>
      <w:r>
        <w:rPr>
          <w:i/>
          <w:iCs/>
        </w:rPr>
        <w:t>.</w:t>
      </w:r>
    </w:p>
    <w:p w14:paraId="5577C521" w14:textId="77777777" w:rsidR="00093A32" w:rsidRDefault="00093A32">
      <w:pPr>
        <w:pStyle w:val="BodyText"/>
        <w:ind w:firstLine="0"/>
      </w:pPr>
      <w:r>
        <w:rPr>
          <w:b/>
          <w:bCs/>
        </w:rPr>
        <w:t>C</w:t>
      </w:r>
      <w:r>
        <w:rPr>
          <w:b/>
          <w:bCs/>
          <w:sz w:val="13"/>
          <w:szCs w:val="13"/>
        </w:rPr>
        <w:t>AUSA</w:t>
      </w:r>
      <w:r>
        <w:rPr>
          <w:b/>
          <w:bCs/>
        </w:rPr>
        <w:t xml:space="preserve">: </w:t>
      </w:r>
      <w:r>
        <w:t xml:space="preserve">No se ha definido con exactitud el origen microbiològico de la vaginosis. Entre los signos microbiológicos típicos en muestras obtenidas de la vagina están incremento del número de </w:t>
      </w:r>
      <w:r>
        <w:rPr>
          <w:rFonts w:ascii="Times New Roman" w:eastAsia="Times New Roman" w:hAnsi="Times New Roman" w:cs="Times New Roman"/>
          <w:i/>
          <w:iCs/>
          <w:sz w:val="16"/>
          <w:szCs w:val="16"/>
        </w:rPr>
        <w:t>Gardnerella vaginalis, Mycoplasma hominis,</w:t>
      </w:r>
      <w:r>
        <w:t xml:space="preserve"> especies de </w:t>
      </w:r>
      <w:r>
        <w:rPr>
          <w:rFonts w:ascii="Times New Roman" w:eastAsia="Times New Roman" w:hAnsi="Times New Roman" w:cs="Times New Roman"/>
          <w:i/>
          <w:iCs/>
          <w:sz w:val="16"/>
          <w:szCs w:val="16"/>
        </w:rPr>
        <w:t>Ureaplasma</w:t>
      </w:r>
      <w:r>
        <w:t xml:space="preserve"> y bacterias anaerobias, y una disminución extraordinaria de la concentración de especies de </w:t>
      </w:r>
      <w:r>
        <w:rPr>
          <w:rFonts w:ascii="Times New Roman" w:eastAsia="Times New Roman" w:hAnsi="Times New Roman" w:cs="Times New Roman"/>
          <w:i/>
          <w:iCs/>
          <w:sz w:val="16"/>
          <w:szCs w:val="16"/>
        </w:rPr>
        <w:t>Lactobacillus</w:t>
      </w:r>
      <w:r>
        <w:rPr>
          <w:i/>
          <w:iCs/>
        </w:rPr>
        <w:t>.</w:t>
      </w:r>
    </w:p>
    <w:p w14:paraId="6ED2697D"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La vaginosis bacteriana es la infección vaginal más prevalente en adolescentes y adultas sexualmente activas. También puede surgir con otros cuadros acompañados de secreción vaginal, como tricomoniasis o cervicitis. Las pruebas de que BV se transmite sexualmente no son concluyentes, pero el trastorno es poco común en mujeres sin experiencia sexual. La vaginosis bacteriana puede ser un factor de riesgo de que surja enfermedad inflamatoria pélvica </w:t>
      </w:r>
      <w:r>
        <w:rPr>
          <w:i/>
          <w:iCs/>
        </w:rPr>
        <w:t>(</w:t>
      </w:r>
      <w:r>
        <w:rPr>
          <w:rFonts w:ascii="Times New Roman" w:eastAsia="Times New Roman" w:hAnsi="Times New Roman" w:cs="Times New Roman"/>
          <w:i/>
          <w:iCs/>
          <w:sz w:val="16"/>
          <w:szCs w:val="16"/>
        </w:rPr>
        <w:t>pelvic inflammatory disease</w:t>
      </w:r>
      <w:r>
        <w:t>, PID). Las embarazadas con BV están expuestas a un mayor peligro de corioamnionitis, rotura prematura de membranas, parto prematuro y endometritis posparto. La vaginosis bacteriana preexistente, con síntomas o sin ellos, puede ser un factor de peligro de PID después de aborto. La vaginosis bacteriana y la corioamnionitis pueden agravar el peligro de transmisión perinatal del virus de inmunodeficiencia humana (VIH).</w:t>
      </w:r>
    </w:p>
    <w:p w14:paraId="1925CCD6" w14:textId="77777777" w:rsidR="00093A32" w:rsidRDefault="00093A32">
      <w:pPr>
        <w:pStyle w:val="BodyText"/>
        <w:ind w:firstLine="360"/>
      </w:pPr>
      <w:r>
        <w:t xml:space="preserve">Es importante valorar a adolescentes y adultas sexualmente activas que tienen vaginosis bacteriana en busca de enfermedades de transmisión sexual como sífilis, gonorrea, infección por </w:t>
      </w:r>
      <w:r>
        <w:rPr>
          <w:rFonts w:ascii="Times New Roman" w:eastAsia="Times New Roman" w:hAnsi="Times New Roman" w:cs="Times New Roman"/>
          <w:i/>
          <w:iCs/>
          <w:sz w:val="16"/>
          <w:szCs w:val="16"/>
        </w:rPr>
        <w:t>Chlamydia trachomatis,</w:t>
      </w:r>
      <w:r>
        <w:t xml:space="preserve"> infección por virus de hepatitis B e infección por VIH, porque puede haber coexistencia de todos estos trastornos. La aparición de vaginosis en niñas prepúberes debe despertar la sospecha de abuso sexual.</w:t>
      </w:r>
    </w:p>
    <w:p w14:paraId="5A2FDAEC" w14:textId="77777777" w:rsidR="00093A32" w:rsidRDefault="00093A32">
      <w:pPr>
        <w:pStyle w:val="BodyText"/>
        <w:ind w:firstLine="360"/>
      </w:pPr>
      <w:r>
        <w:t xml:space="preserve">Se desconoce el </w:t>
      </w:r>
      <w:r>
        <w:rPr>
          <w:b/>
          <w:bCs/>
        </w:rPr>
        <w:t xml:space="preserve">periodo de incubación </w:t>
      </w:r>
      <w:r>
        <w:t>de la vaginosis bacteriana.</w:t>
      </w:r>
    </w:p>
    <w:p w14:paraId="78EE7DE0" w14:textId="77777777" w:rsidR="00093A32" w:rsidRDefault="00093A32">
      <w:pPr>
        <w:pStyle w:val="BodyText"/>
        <w:ind w:firstLine="0"/>
      </w:pPr>
      <w:r>
        <w:rPr>
          <w:b/>
          <w:bCs/>
        </w:rPr>
        <w:t>M</w:t>
      </w:r>
      <w:r>
        <w:rPr>
          <w:b/>
          <w:bCs/>
          <w:sz w:val="13"/>
          <w:szCs w:val="13"/>
        </w:rPr>
        <w:t>ÉTODOS DIAGNÓSTICOS</w:t>
      </w:r>
      <w:r>
        <w:rPr>
          <w:b/>
          <w:bCs/>
        </w:rPr>
        <w:t xml:space="preserve">: </w:t>
      </w:r>
      <w:r>
        <w:t>El diagnóstico clínico de vaginosis bacteriana exige la presencia de tres de los signos o síntomas siguientes:</w:t>
      </w:r>
    </w:p>
    <w:p w14:paraId="705FFB06" w14:textId="77777777" w:rsidR="00093A32" w:rsidRDefault="00093A32">
      <w:pPr>
        <w:pStyle w:val="BodyText"/>
        <w:numPr>
          <w:ilvl w:val="0"/>
          <w:numId w:val="56"/>
        </w:numPr>
        <w:tabs>
          <w:tab w:val="left" w:pos="338"/>
        </w:tabs>
        <w:ind w:left="360" w:hanging="360"/>
      </w:pPr>
      <w:bookmarkStart w:id="11" w:name="bookmark617"/>
      <w:bookmarkEnd w:id="11"/>
      <w:r>
        <w:t>Secreción vaginal homogénea, blanquecina de tipo no inflamatorio que recubre uniformemente las paredes de la vagina.</w:t>
      </w:r>
    </w:p>
    <w:p w14:paraId="2D2E10BD" w14:textId="77777777" w:rsidR="00093A32" w:rsidRDefault="00093A32">
      <w:pPr>
        <w:pStyle w:val="BodyText"/>
        <w:numPr>
          <w:ilvl w:val="0"/>
          <w:numId w:val="56"/>
        </w:numPr>
        <w:tabs>
          <w:tab w:val="left" w:pos="338"/>
        </w:tabs>
        <w:ind w:firstLine="0"/>
      </w:pPr>
      <w:bookmarkStart w:id="12" w:name="bookmark618"/>
      <w:bookmarkEnd w:id="12"/>
      <w:r>
        <w:t>pH de líquido vaginal mayor de 4.5.</w:t>
      </w:r>
    </w:p>
    <w:p w14:paraId="5B44EA5D" w14:textId="77777777" w:rsidR="00093A32" w:rsidRDefault="00093A32">
      <w:pPr>
        <w:pStyle w:val="BodyText"/>
        <w:numPr>
          <w:ilvl w:val="0"/>
          <w:numId w:val="56"/>
        </w:numPr>
        <w:tabs>
          <w:tab w:val="left" w:pos="338"/>
        </w:tabs>
        <w:ind w:left="360" w:hanging="360"/>
      </w:pPr>
      <w:bookmarkStart w:id="13" w:name="bookmark619"/>
      <w:bookmarkEnd w:id="13"/>
      <w:r>
        <w:t>Un olor a pescado de la secreción bacteriana antes de añadir solución al 10% de hidróxido de potasio o después de hacerlo (es decir, la prueba de “soplar”).</w:t>
      </w:r>
    </w:p>
    <w:p w14:paraId="7DDFEB77" w14:textId="77777777" w:rsidR="00093A32" w:rsidRDefault="00093A32">
      <w:pPr>
        <w:pStyle w:val="BodyText"/>
        <w:numPr>
          <w:ilvl w:val="0"/>
          <w:numId w:val="56"/>
        </w:numPr>
        <w:tabs>
          <w:tab w:val="left" w:pos="338"/>
        </w:tabs>
        <w:spacing w:after="220"/>
        <w:ind w:left="360" w:hanging="360"/>
      </w:pPr>
      <w:bookmarkStart w:id="14" w:name="bookmark620"/>
      <w:bookmarkEnd w:id="14"/>
      <w:r>
        <w:t>Presencia de “células típicas” (células del epitelio vaginal escamoso cubiertas de bacterias, lo cual les dará un aspecto moteado o granuloso y también bordes irregulares como “mordidos por la polilla”) en el estudio microscópico. En la vaginosis bacteriana las células “patognomónicas” por lo común constituyen como mínimo 20% de todas las células del epitelio vaginal.</w:t>
      </w:r>
    </w:p>
    <w:p w14:paraId="125933D6" w14:textId="77777777" w:rsidR="00093A32" w:rsidRDefault="00093A32">
      <w:pPr>
        <w:pStyle w:val="BodyText"/>
        <w:ind w:firstLine="360"/>
      </w:pPr>
      <w:r>
        <w:t xml:space="preserve">Otra estrategia para corroborar el diagnóstico sería la tinción de Gram de secreciones vaginales. En ellas se advierten como signos característicos innumerables bacterias de diversos tipos que incluyen bacilos curvos pequeños y cocos finos grandes y unos cuantos bacilos grampositivos compatibles con lactobacilos. No se recomienda hacer cultivos para identificar </w:t>
      </w:r>
      <w:r>
        <w:rPr>
          <w:rFonts w:ascii="Times New Roman" w:eastAsia="Times New Roman" w:hAnsi="Times New Roman" w:cs="Times New Roman"/>
          <w:i/>
          <w:iCs/>
          <w:sz w:val="16"/>
          <w:szCs w:val="16"/>
        </w:rPr>
        <w:t>G. vaginalis</w:t>
      </w:r>
      <w:r>
        <w:t xml:space="preserve"> porque el microorganismo puede aparecer en las mujeres sin vaginosis bacteriana, incluidas mujeres sexualmente inactivas. </w:t>
      </w:r>
      <w:r>
        <w:rPr>
          <w:b/>
          <w:bCs/>
        </w:rPr>
        <w:t>T</w:t>
      </w:r>
      <w:r>
        <w:rPr>
          <w:b/>
          <w:bCs/>
          <w:sz w:val="13"/>
          <w:szCs w:val="13"/>
        </w:rPr>
        <w:t>RATAMIENTO</w:t>
      </w:r>
      <w:r>
        <w:rPr>
          <w:b/>
          <w:bCs/>
        </w:rPr>
        <w:t xml:space="preserve">: </w:t>
      </w:r>
      <w:r>
        <w:t>El objetivo principal del tratamiento es aliviar los síntomas y signos vaginales de infección y disminuir el peligro de complicaciones infecciosas. Todas las mujeres sintomáticas que no están embarazadas necesitan tratamiento. Deben ser tratadas con 1.0 g de metronidazol/día ingeridos en dos fracciones durante siete días; o gel de metronidazol al 0.75%, 5 g (un aplicador) por vía intravaginal, una vez al día durante cinco días; o crema de clindamicina al 2%, con introducción de un aplicador (5 g) en el interior de la vagina a la hora de acostarse durante siete días. Otros regímenes que tienen menor eficacia contra BV incluyen metronidazol, 2 g ingeridos en una sola dosis; clindamicina, 600 mg/día ingeridos en dos dosis fraccionadas, durante siete días, u óvulos de clindamicina, 100 g, por vía intravaginal, una aplicación a la hora de acostarse durante tres días. La crema de clindamicina tiene base oleosa y puede debilitar los condones de caucho incluso 72 h después de haber completado la terapia.</w:t>
      </w:r>
    </w:p>
    <w:p w14:paraId="0326591C" w14:textId="77777777" w:rsidR="00093A32" w:rsidRDefault="00093A32">
      <w:pPr>
        <w:pStyle w:val="BodyText"/>
        <w:ind w:firstLine="360"/>
      </w:pPr>
      <w:r>
        <w:t>Es necesario tratar a toda embarazada con síntomas de BV sean cuales sean los factores de riesgo de un resultado adverso del embarazo. Las gestantes expuestas a un mayor peligro de mostrar dicho resultado adverso vinculado con BV (como haber tenido un hijo pretérmino) también deben ser tratadas si están asintomáticas, según la opinión de algunos expertos. El tratamiento preferido en embarazadas es el que incluye 750 mg de metronidazol/día en tres fracciones diarias, durante siete días. Otro régimen sería la ingestión de 600 mg de clindamicina/día en dos fracciones, durante siete días. El tratamiento de BV en embarazadas de alto riesgo asintomáticas podría evitar resultados adversos del embarazo; por tal motivo, hay que pensar en la práctica de una valoración de vigilancia un mes después de completar el tratamiento para saber si se obtuvieron buenos resultados.</w:t>
      </w:r>
    </w:p>
    <w:p w14:paraId="71353BC5" w14:textId="77777777" w:rsidR="00093A32" w:rsidRDefault="00093A32">
      <w:pPr>
        <w:pStyle w:val="BodyText"/>
        <w:ind w:firstLine="360"/>
      </w:pPr>
      <w:r>
        <w:t>En el caso de mujeres no embarazadas y embarazadas de bajo riesgo, no son necesarias las visitas sistemáticas de vigilancia al completar el tratamiento contra la vaginosis bacteriana si hay resolución de los síntomas. Son frecuentes las recidivas y pueden tratarse con el mismo régimen inicial. Habrá que descartar la presencia de un cuerpo extraño en la vagina. No se recomienda el tratamiento sistemático en los compañeros sexuales porque no influye de ninguna manera en los índices de recidiva o recurrencia.</w:t>
      </w:r>
    </w:p>
    <w:p w14:paraId="2242E20B" w14:textId="77777777" w:rsidR="00093A32" w:rsidRDefault="00093A32">
      <w:pPr>
        <w:pStyle w:val="BodyText"/>
        <w:spacing w:line="266" w:lineRule="auto"/>
        <w:ind w:firstLine="360"/>
      </w:pPr>
      <w:r>
        <w:t xml:space="preserve">El tratamiento de la vaginosis bacteriana en mujeres infectadas por VIH es igual al que se hace en personas no infectadas por tal partícula, y es especialmente importante en embarazadas porque la coexistencia de vaginosis y de corioamnionitis puede agravar el peligro de transmisión perinatal del virus de inmunodeficiencia humana.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en estos casos las precauciones estándar.</w:t>
      </w:r>
    </w:p>
    <w:p w14:paraId="7AE67292"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75C63C2E" w14:textId="77777777" w:rsidR="00093A32" w:rsidRDefault="00093A32">
      <w:pPr>
        <w:pStyle w:val="Bodytext70"/>
        <w:spacing w:after="0"/>
      </w:pPr>
      <w:r>
        <w:rPr>
          <w:i/>
          <w:iCs/>
        </w:rPr>
        <w:t xml:space="preserve">Bacteroides </w:t>
      </w:r>
      <w:r>
        <w:rPr>
          <w:i/>
          <w:iCs/>
          <w:w w:val="100"/>
        </w:rPr>
        <w:t xml:space="preserve">y </w:t>
      </w:r>
      <w:r>
        <w:rPr>
          <w:i/>
          <w:iCs/>
        </w:rPr>
        <w:t>Prevotella,</w:t>
      </w:r>
      <w:r>
        <w:t xml:space="preserve"> infecciones</w:t>
      </w:r>
    </w:p>
    <w:p w14:paraId="50FF9557"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Especies de </w:t>
      </w:r>
      <w:r>
        <w:rPr>
          <w:rFonts w:ascii="Times New Roman" w:eastAsia="Times New Roman" w:hAnsi="Times New Roman" w:cs="Times New Roman"/>
          <w:i/>
          <w:iCs/>
          <w:sz w:val="16"/>
          <w:szCs w:val="16"/>
        </w:rPr>
        <w:t>Bacteroides</w:t>
      </w:r>
      <w:r>
        <w:t xml:space="preserve"> y de </w:t>
      </w:r>
      <w:r>
        <w:rPr>
          <w:rFonts w:ascii="Times New Roman" w:eastAsia="Times New Roman" w:hAnsi="Times New Roman" w:cs="Times New Roman"/>
          <w:i/>
          <w:iCs/>
          <w:sz w:val="16"/>
          <w:szCs w:val="16"/>
        </w:rPr>
        <w:t>Prevotella</w:t>
      </w:r>
      <w:r>
        <w:t xml:space="preserve"> de la cavidad bucal originan sinusitis y otitis media crónicas, infecciones de dientes, absceso periamigdalino, adenitis cervical, infección del espacio retrofaríngeo, neumonitis por aspiración, absceso pulmonar, empiema o neumonía necrosantes. En sujetos con peritonitis, abscesos intraabdominales, enfermedad inflamatoria pélvica, infección de heridas en el posoperatorio o infecciones vulvovaginales y perianales se han identificado especies que provienen de las vías gastrointestinales. Las infecciones de tejidos blandos comprenden gangrena bacteriana sinérgica y fascitis necrosante. La invasión de la corriente sanguínea desde la cavidad bucal o las vías intestinales puede ocasionar abscesos encefálicos, meningitis, endocarditis, artritis u osteomielitis. El ataque de la piel incluye onfalitis en neonatos; celulitis en el sitio de colocación de los monitores fetales; mordeduras por seres humanos, infección de quemaduras junto a la boca o el recto y úlceras por decúbito. Raras veces hay infecciones neonatales, como conjuntivitis, neumonía, bacteriemia o meningitis. Casi todas las infecciones por Bacteroides son polimicrobianas.</w:t>
      </w:r>
    </w:p>
    <w:p w14:paraId="78110258" w14:textId="77777777" w:rsidR="00093A32" w:rsidRDefault="00093A32">
      <w:pPr>
        <w:pStyle w:val="BodyText"/>
        <w:ind w:firstLine="0"/>
      </w:pPr>
      <w:r>
        <w:rPr>
          <w:b/>
          <w:bCs/>
        </w:rPr>
        <w:t>C</w:t>
      </w:r>
      <w:r>
        <w:rPr>
          <w:b/>
          <w:bCs/>
          <w:sz w:val="13"/>
          <w:szCs w:val="13"/>
        </w:rPr>
        <w:t>AUSAS</w:t>
      </w:r>
      <w:r>
        <w:rPr>
          <w:b/>
          <w:bCs/>
        </w:rPr>
        <w:t xml:space="preserve">: </w:t>
      </w:r>
      <w:r>
        <w:t xml:space="preserve">Casi todas las cepas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vinculadas con enfermedad de seres humanos son bacilos gramnegativos, anaerobios facultativos, no esporógenos y (5 g) en el interior de la vagina a la hora de acostarse durante siete días. Otros regímenes que tienen menor eficacia contra BV incluyen metronidazol, 2 g ingeridos en una sola dosis; clindamicina, 600 mg/día ingeridos en dos dosis fraccionadas, durante siete días, u óvulos de clindamicina, 100 g, por vía intravaginal, una aplicación a la hora de acostarse durante tres días. La crema de clindamicina tiene base oleosa y puede debilitar los condones de caucho incluso 72 h después de haber completado la terapia.</w:t>
      </w:r>
    </w:p>
    <w:p w14:paraId="3F93DEB5" w14:textId="77777777" w:rsidR="00093A32" w:rsidRDefault="00093A32">
      <w:pPr>
        <w:pStyle w:val="BodyText"/>
        <w:ind w:firstLine="360"/>
      </w:pPr>
      <w:r>
        <w:t>Es necesario tratar a toda embarazada con síntomas de BV sean cuales sean los factores de riesgo de un resultado adverso del embarazo. Las gestantes expuestas a un mayor peligro de mostrar dicho resultado adverso vinculado con BV (como haber tenido un hijo pretérmino) también deben ser tratadas si están asintomáticas, según la opinión de algunos expertos. El tratamiento preferido en embarazadas es el que incluye 750 mg de metronidazol/día en tres fracciones diarias, durante siete días. Otro régimen sería la ingestión de 600 mg de clindamicina/día en dos fracciones, durante siete días. El tratamiento de BV en embarazadas de alto riesgo asintomáticas podría evitar resultados adversos del embarazo; por tal motivo, hay que pensar en la práctica de una valoración de vigilancia un mes después de completar el tratamiento para saber si se obtuvieron buenos resultados.</w:t>
      </w:r>
    </w:p>
    <w:p w14:paraId="26D39F98" w14:textId="77777777" w:rsidR="00093A32" w:rsidRDefault="00093A32">
      <w:pPr>
        <w:pStyle w:val="BodyText"/>
        <w:ind w:firstLine="360"/>
      </w:pPr>
      <w:r>
        <w:t>En el caso de mujeres no embarazadas y embarazadas de bajo riesgo, no son necesarias las visitas sistemáticas de vigilancia al completar el tratamiento contra la vaginosis bacteriana si hay resolución de los síntomas. Son frecuentes las recidivas y pueden tratarse con el mismo régimen inicial. Habrá que descartar la presencia de un cuerpo extraño en la vagina. No se recomienda el tratamiento sistemático en los compañeros sexuales porque no influye de ninguna manera en los índices de recidiva o recurrencia.</w:t>
      </w:r>
    </w:p>
    <w:p w14:paraId="1F9E5BE5" w14:textId="77777777" w:rsidR="00093A32" w:rsidRDefault="00093A32">
      <w:pPr>
        <w:pStyle w:val="BodyText"/>
        <w:spacing w:line="266" w:lineRule="auto"/>
        <w:ind w:firstLine="360"/>
      </w:pPr>
      <w:r>
        <w:t xml:space="preserve">El tratamiento de la vaginosis bacteriana en mujeres infectadas por VIH es igual al que se hace en personas no infectadas por tal partícula, y es especialmente importante en embarazadas porque la coexistencia de vaginosis y de corioamnionitis puede agravar el peligro de transmisión perinatal del virus de inmunodeficiencia humana.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en estos casos las precauciones estándar.</w:t>
      </w:r>
    </w:p>
    <w:p w14:paraId="19381338"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17461992" w14:textId="77777777" w:rsidR="00093A32" w:rsidRDefault="00093A32">
      <w:pPr>
        <w:pStyle w:val="Bodytext70"/>
        <w:spacing w:after="0"/>
      </w:pPr>
      <w:r>
        <w:rPr>
          <w:i/>
          <w:iCs/>
        </w:rPr>
        <w:t xml:space="preserve">Bacteroides </w:t>
      </w:r>
      <w:r>
        <w:rPr>
          <w:i/>
          <w:iCs/>
          <w:w w:val="100"/>
        </w:rPr>
        <w:t xml:space="preserve">y </w:t>
      </w:r>
      <w:r>
        <w:rPr>
          <w:i/>
          <w:iCs/>
        </w:rPr>
        <w:t>Prevotella,</w:t>
      </w:r>
      <w:r>
        <w:t xml:space="preserve"> infecciones</w:t>
      </w:r>
    </w:p>
    <w:p w14:paraId="774FC1CA"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Especies de </w:t>
      </w:r>
      <w:r>
        <w:rPr>
          <w:rFonts w:ascii="Times New Roman" w:eastAsia="Times New Roman" w:hAnsi="Times New Roman" w:cs="Times New Roman"/>
          <w:i/>
          <w:iCs/>
          <w:sz w:val="16"/>
          <w:szCs w:val="16"/>
        </w:rPr>
        <w:t>Bacteroides</w:t>
      </w:r>
      <w:r>
        <w:t xml:space="preserve"> y de </w:t>
      </w:r>
      <w:r>
        <w:rPr>
          <w:rFonts w:ascii="Times New Roman" w:eastAsia="Times New Roman" w:hAnsi="Times New Roman" w:cs="Times New Roman"/>
          <w:i/>
          <w:iCs/>
          <w:sz w:val="16"/>
          <w:szCs w:val="16"/>
        </w:rPr>
        <w:t>Prevotella</w:t>
      </w:r>
      <w:r>
        <w:t xml:space="preserve"> de la cavidad bucal originan sinusitis y otitis media crónicas, infecciones de dientes, absceso periamigdalino, adenitis cervical, infección del espacio retrofaríngeo, neumonitis por aspiración, absceso pulmonar, empiema o neumonía necrosantes. En sujetos con peritonitis, abscesos intraabdominales, enfermedad inflamatoria pélvica, infección de heridas en el posoperatorio o infecciones vulvovaginales y perianales se han identificado especies que provienen de las vías gastrointestinales. Las infecciones de tejidos blandos comprenden gangrena bacteriana sinérgica y fascitis necrosante. La invasión de la corriente sanguínea desde la cavidad bucal o las vías intestinales puede ocasionar abscesos encefálicos, meningitis, endocarditis, artritis u osteomielitis. El ataque de la piel incluye onfalitis en neonatos; celulitis en el sitio de colocación de los monitores fetales; mordeduras por seres humanos, infección de quemaduras junto a la boca o el recto y úlceras por decúbito. Raras veces hay infecciones neonatales, como conjuntivitis, neumonía, bacteriemia o meningitis. Casi todas las infecciones por Bacteroides son polimicrobianas.</w:t>
      </w:r>
    </w:p>
    <w:p w14:paraId="49CA54B9" w14:textId="77777777" w:rsidR="00093A32" w:rsidRDefault="00093A32">
      <w:pPr>
        <w:pStyle w:val="BodyText"/>
        <w:ind w:firstLine="0"/>
        <w:sectPr w:rsidR="00093A32" w:rsidSect="00093A32">
          <w:headerReference w:type="even" r:id="rId47"/>
          <w:headerReference w:type="default" r:id="rId48"/>
          <w:footerReference w:type="even" r:id="rId49"/>
          <w:footerReference w:type="default" r:id="rId50"/>
          <w:headerReference w:type="first" r:id="rId51"/>
          <w:footerReference w:type="first" r:id="rId52"/>
          <w:footnotePr>
            <w:numFmt w:val="chicago"/>
          </w:footnotePr>
          <w:pgSz w:w="8501" w:h="13022"/>
          <w:pgMar w:top="708" w:right="805" w:bottom="440" w:left="770" w:header="0" w:footer="3" w:gutter="0"/>
          <w:cols w:space="720"/>
          <w:noEndnote/>
          <w:titlePg/>
          <w:docGrid w:linePitch="360"/>
          <w15:footnoteColumns w:val="1"/>
        </w:sectPr>
      </w:pPr>
      <w:r>
        <w:rPr>
          <w:b/>
          <w:bCs/>
        </w:rPr>
        <w:t>C</w:t>
      </w:r>
      <w:r>
        <w:rPr>
          <w:b/>
          <w:bCs/>
          <w:sz w:val="13"/>
          <w:szCs w:val="13"/>
        </w:rPr>
        <w:t>AUSAS</w:t>
      </w:r>
      <w:r>
        <w:rPr>
          <w:b/>
          <w:bCs/>
        </w:rPr>
        <w:t xml:space="preserve">: </w:t>
      </w:r>
      <w:r>
        <w:t xml:space="preserve">Casi todas las cepas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vinculadas con enfermedad de seres humanos son bacilos gramnegativos, anaerobios facultativos, no esporógenos y</w:t>
      </w:r>
    </w:p>
    <w:p w14:paraId="72211E3D" w14:textId="77777777" w:rsidR="00093A32" w:rsidRDefault="00093A32">
      <w:pPr>
        <w:pStyle w:val="BodyText"/>
        <w:ind w:firstLine="0"/>
      </w:pPr>
      <w:r>
        <w:t xml:space="preserve">pleomórfìcos. Las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producen enzimas que pudieran intervenir en la patogenia de la enfermedad.</w:t>
      </w:r>
    </w:p>
    <w:p w14:paraId="7B91EC9D"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son parte de la flora normal de la boca, las vías gastrointestinales o las vías genitales de la mujer. Los miembros del grupo </w:t>
      </w:r>
      <w:r>
        <w:rPr>
          <w:rFonts w:ascii="Times New Roman" w:eastAsia="Times New Roman" w:hAnsi="Times New Roman" w:cs="Times New Roman"/>
          <w:i/>
          <w:iCs/>
          <w:sz w:val="16"/>
          <w:szCs w:val="16"/>
        </w:rPr>
        <w:t>Bacteroides fragilis</w:t>
      </w:r>
      <w:r>
        <w:t xml:space="preserve"> predominan en la flora de vías gastrointestinales; en la cavidad bucal son más comunes miembros de </w:t>
      </w:r>
      <w:r>
        <w:rPr>
          <w:rFonts w:ascii="Times New Roman" w:eastAsia="Times New Roman" w:hAnsi="Times New Roman" w:cs="Times New Roman"/>
          <w:i/>
          <w:iCs/>
          <w:sz w:val="16"/>
          <w:szCs w:val="16"/>
        </w:rPr>
        <w:t>Prevotella</w:t>
      </w:r>
      <w:r>
        <w:t xml:space="preserve"> melaninogénica (antes llamada </w:t>
      </w:r>
      <w:r>
        <w:rPr>
          <w:rFonts w:ascii="Times New Roman" w:eastAsia="Times New Roman" w:hAnsi="Times New Roman" w:cs="Times New Roman"/>
          <w:i/>
          <w:iCs/>
          <w:sz w:val="16"/>
          <w:szCs w:val="16"/>
        </w:rPr>
        <w:t>Bacteroides melaninogenicus)</w:t>
      </w:r>
      <w:r>
        <w:t xml:space="preserve"> y </w:t>
      </w:r>
      <w:r>
        <w:rPr>
          <w:rFonts w:ascii="Times New Roman" w:eastAsia="Times New Roman" w:hAnsi="Times New Roman" w:cs="Times New Roman"/>
          <w:i/>
          <w:iCs/>
          <w:sz w:val="16"/>
          <w:szCs w:val="16"/>
        </w:rPr>
        <w:t>Prevotella</w:t>
      </w:r>
      <w:r>
        <w:t xml:space="preserve"> oralis (llamada antes </w:t>
      </w:r>
      <w:r>
        <w:rPr>
          <w:rFonts w:ascii="Times New Roman" w:eastAsia="Times New Roman" w:hAnsi="Times New Roman" w:cs="Times New Roman"/>
          <w:i/>
          <w:iCs/>
          <w:sz w:val="16"/>
          <w:szCs w:val="16"/>
        </w:rPr>
        <w:t>Bacteroides oralis)</w:t>
      </w:r>
      <w:r>
        <w:rPr>
          <w:i/>
          <w:iCs/>
        </w:rPr>
        <w:t xml:space="preserve">. </w:t>
      </w:r>
      <w:r>
        <w:t>Las especies mencionadas originan infección como oportunistas, por lo común después de que se transgrede alguna barrera física del cuerpo, y junto con otras especies endógenas. La transmisión endógena es consecuencia de broncoaspiración, contaminación de material intestinal o lesión de superficies mucosas por traumatismo, operaciones o quimioterapia. La lesión de la mucosa o la granulocitopenia predisponen a la infección. Salvo las infecciones que surgen después de mordeduras de seres humanos, no hay pruebas de que la transmisión se haga de una persona a otra.</w:t>
      </w:r>
    </w:p>
    <w:p w14:paraId="282F36F3" w14:textId="77777777" w:rsidR="00093A32" w:rsidRDefault="00093A32">
      <w:pPr>
        <w:pStyle w:val="BodyText"/>
        <w:ind w:firstLine="360"/>
      </w:pPr>
      <w:r>
        <w:t xml:space="preserve">El </w:t>
      </w:r>
      <w:r>
        <w:rPr>
          <w:b/>
          <w:bCs/>
        </w:rPr>
        <w:t xml:space="preserve">periodo de incubación </w:t>
      </w:r>
      <w:r>
        <w:t>es variable y depende del inóculo y del sitio de ataque, pero por lo común es de uno a cinco días.</w:t>
      </w:r>
    </w:p>
    <w:p w14:paraId="365BE21E" w14:textId="77777777" w:rsidR="00093A32" w:rsidRDefault="00093A32">
      <w:pPr>
        <w:pStyle w:val="BodyText"/>
        <w:ind w:firstLine="0"/>
      </w:pPr>
      <w:r>
        <w:rPr>
          <w:b/>
          <w:bCs/>
        </w:rPr>
        <w:t>M</w:t>
      </w:r>
      <w:r>
        <w:rPr>
          <w:b/>
          <w:bCs/>
          <w:sz w:val="13"/>
          <w:szCs w:val="13"/>
        </w:rPr>
        <w:t>ÉTODOS DIAGNÓSTICOS</w:t>
      </w:r>
      <w:r>
        <w:rPr>
          <w:b/>
          <w:bCs/>
        </w:rPr>
        <w:t xml:space="preserve">: </w:t>
      </w:r>
      <w:r>
        <w:t xml:space="preserve">Se necesitan medios de cultivo para anaerobios para identificar las especies de </w:t>
      </w:r>
      <w:r>
        <w:rPr>
          <w:rFonts w:ascii="Times New Roman" w:eastAsia="Times New Roman" w:hAnsi="Times New Roman" w:cs="Times New Roman"/>
          <w:i/>
          <w:iCs/>
          <w:sz w:val="16"/>
          <w:szCs w:val="16"/>
        </w:rPr>
        <w:t>Bacteroides</w:t>
      </w:r>
      <w:r>
        <w:t xml:space="preserve"> o </w:t>
      </w:r>
      <w:r>
        <w:rPr>
          <w:rFonts w:ascii="Times New Roman" w:eastAsia="Times New Roman" w:hAnsi="Times New Roman" w:cs="Times New Roman"/>
          <w:i/>
          <w:iCs/>
          <w:sz w:val="16"/>
          <w:szCs w:val="16"/>
        </w:rPr>
        <w:t>Prevotella</w:t>
      </w:r>
      <w:r>
        <w:t xml:space="preserve">. Las infecciones generalmente son polimicrobianas y por esa razón hay que hacer cultivos de aerobios. El olor podrido sugiere infección anaeróbica. Es recomendable usar un tubo de transporte para anaerobios o una jeringuilla sellada para obtener las muestras clínicas. </w:t>
      </w:r>
      <w:r>
        <w:rPr>
          <w:b/>
          <w:bCs/>
        </w:rPr>
        <w:t>T</w:t>
      </w:r>
      <w:r>
        <w:rPr>
          <w:b/>
          <w:bCs/>
          <w:sz w:val="13"/>
          <w:szCs w:val="13"/>
        </w:rPr>
        <w:t>RATAMIENTO</w:t>
      </w:r>
      <w:r>
        <w:rPr>
          <w:b/>
          <w:bCs/>
        </w:rPr>
        <w:t xml:space="preserve">: </w:t>
      </w:r>
      <w:r>
        <w:t>Es importante drenar los abscesos cuando sea factible. Los abscesos en encéfalo o hígado pueden mostrar resolución con antimicrobianos eficaces. Es importante el desbridamiento quirúrgico de las lesiones necrosantes.</w:t>
      </w:r>
    </w:p>
    <w:p w14:paraId="7DFE6A91" w14:textId="77777777" w:rsidR="00093A32" w:rsidRDefault="00093A32">
      <w:pPr>
        <w:pStyle w:val="BodyText"/>
        <w:ind w:firstLine="360"/>
      </w:pPr>
      <w:r>
        <w:t xml:space="preserve">La selección de uno o varios antimicrobianos se basa en las pruebas previstas o conocidas de susceptibilidad </w:t>
      </w:r>
      <w:r>
        <w:rPr>
          <w:rFonts w:ascii="Times New Roman" w:eastAsia="Times New Roman" w:hAnsi="Times New Roman" w:cs="Times New Roman"/>
          <w:i/>
          <w:iCs/>
          <w:sz w:val="16"/>
          <w:szCs w:val="16"/>
        </w:rPr>
        <w:t>in vitro</w:t>
      </w:r>
      <w:r>
        <w:t xml:space="preserve"> (antibioticograma). Las infecciones por </w:t>
      </w:r>
      <w:r>
        <w:rPr>
          <w:rFonts w:ascii="Times New Roman" w:eastAsia="Times New Roman" w:hAnsi="Times New Roman" w:cs="Times New Roman"/>
          <w:i/>
          <w:iCs/>
          <w:sz w:val="16"/>
          <w:szCs w:val="16"/>
        </w:rPr>
        <w:t xml:space="preserve">Bacteroides </w:t>
      </w:r>
      <w:r>
        <w:t xml:space="preserve">en la boca y vías respiratorias por lo común son susceptibles a penicilina G, ampicilina sódica y penicilina de amplio espectro, como ticarcilina disódica o piperacilina sódica. La clindamicina es activa contra prácticamente todas las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de boca y vías respiratorias, y algunos expertos la recomiendan como el fármaco más adecuado contra infecciones anaerobios de la cavidad de la boca y de los pulmones. Algunas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producen lactamasa beta. Para combatir tales infecciones puede ser útil la combinación de una penicilina lactámica beta que sea activa contra </w:t>
      </w:r>
      <w:r>
        <w:rPr>
          <w:rFonts w:ascii="Times New Roman" w:eastAsia="Times New Roman" w:hAnsi="Times New Roman" w:cs="Times New Roman"/>
          <w:i/>
          <w:iCs/>
          <w:sz w:val="16"/>
          <w:szCs w:val="16"/>
        </w:rPr>
        <w:t>Bacteroides</w:t>
      </w:r>
      <w:r>
        <w:t xml:space="preserve">, con un inhibidor de lactamasa beta (ampicilina- sulbactam sódico, amoxicilina-clavulanato potásico, ticarcilina-clavulanato o piperacilina-tazobactam sódico). Las especies de </w:t>
      </w:r>
      <w:r>
        <w:rPr>
          <w:rFonts w:ascii="Times New Roman" w:eastAsia="Times New Roman" w:hAnsi="Times New Roman" w:cs="Times New Roman"/>
          <w:i/>
          <w:iCs/>
          <w:sz w:val="16"/>
          <w:szCs w:val="16"/>
        </w:rPr>
        <w:t>Bacteroides</w:t>
      </w:r>
      <w:r>
        <w:t xml:space="preserve"> de vías gastrointestinales por lo común son resistentes a la penicilina G, pero se puede prever que son susceptibles a metronidazol, cloranfenicol, y por lo común a clindamicina. Más de 80% de los gérmenes son susceptibles a la cefoxitina y la ceftizoxima sódicas y al imipenem. No tienen eficacia fiable cefuroxima, cefotaxima sódica y ceftriaxona sódica. </w:t>
      </w:r>
      <w:r>
        <w:rPr>
          <w:b/>
          <w:bCs/>
        </w:rPr>
        <w:t>A</w:t>
      </w:r>
      <w:r>
        <w:rPr>
          <w:b/>
          <w:bCs/>
          <w:sz w:val="13"/>
          <w:szCs w:val="13"/>
        </w:rPr>
        <w:t>ISLAMIENTO DEL PACIENTE HOSPITALIZADO</w:t>
      </w:r>
      <w:r>
        <w:rPr>
          <w:b/>
          <w:bCs/>
        </w:rPr>
        <w:t xml:space="preserve">: </w:t>
      </w:r>
      <w:r>
        <w:t>Se recomienda seguir las precauciones estándar.</w:t>
      </w:r>
    </w:p>
    <w:p w14:paraId="244B3C6E"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755A1642" w14:textId="77777777" w:rsidR="00093A32" w:rsidRDefault="00093A32">
      <w:pPr>
        <w:pStyle w:val="Bodytext70"/>
        <w:spacing w:after="0"/>
      </w:pPr>
      <w:r>
        <w:rPr>
          <w:i/>
          <w:iCs/>
        </w:rPr>
        <w:t>Balantidium coli,</w:t>
      </w:r>
      <w:r>
        <w:t xml:space="preserve"> infecciones (balantidiasis)</w:t>
      </w:r>
    </w:p>
    <w:p w14:paraId="1C14DB10"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Casi todas las infecciones en seres humanos son asintomáticas. La infección aguda se caracteriza por náuseas, vómitos, molestia o dolor abdominal y diarrea mucosa, sanguinolenta o acuosa, síntomas todos de comienzo pleomórfìcos. Las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producen enzimas que pudieran intervenir en la patogenia de la enfermedad.</w:t>
      </w:r>
    </w:p>
    <w:p w14:paraId="6724BCAB"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son parte de la flora normal de la boca, las vías gastrointestinales o las vías genitales de la mujer. Los miembros del grupo </w:t>
      </w:r>
      <w:r>
        <w:rPr>
          <w:rFonts w:ascii="Times New Roman" w:eastAsia="Times New Roman" w:hAnsi="Times New Roman" w:cs="Times New Roman"/>
          <w:i/>
          <w:iCs/>
          <w:sz w:val="16"/>
          <w:szCs w:val="16"/>
        </w:rPr>
        <w:t>Bacteroides fragilis</w:t>
      </w:r>
      <w:r>
        <w:t xml:space="preserve"> predominan en la flora de vías gastrointestinales; en la cavidad bucal son más comunes miembros de </w:t>
      </w:r>
      <w:r>
        <w:rPr>
          <w:rFonts w:ascii="Times New Roman" w:eastAsia="Times New Roman" w:hAnsi="Times New Roman" w:cs="Times New Roman"/>
          <w:i/>
          <w:iCs/>
          <w:sz w:val="16"/>
          <w:szCs w:val="16"/>
        </w:rPr>
        <w:t>Prevotella</w:t>
      </w:r>
      <w:r>
        <w:t xml:space="preserve"> melaninogénica (antes llamada </w:t>
      </w:r>
      <w:r>
        <w:rPr>
          <w:rFonts w:ascii="Times New Roman" w:eastAsia="Times New Roman" w:hAnsi="Times New Roman" w:cs="Times New Roman"/>
          <w:i/>
          <w:iCs/>
          <w:sz w:val="16"/>
          <w:szCs w:val="16"/>
        </w:rPr>
        <w:t>Bacteroides melaninogenicus)</w:t>
      </w:r>
      <w:r>
        <w:t xml:space="preserve"> y </w:t>
      </w:r>
      <w:r>
        <w:rPr>
          <w:rFonts w:ascii="Times New Roman" w:eastAsia="Times New Roman" w:hAnsi="Times New Roman" w:cs="Times New Roman"/>
          <w:i/>
          <w:iCs/>
          <w:sz w:val="16"/>
          <w:szCs w:val="16"/>
        </w:rPr>
        <w:t>Prevotella</w:t>
      </w:r>
      <w:r>
        <w:t xml:space="preserve"> oralis (llamada antes </w:t>
      </w:r>
      <w:r>
        <w:rPr>
          <w:rFonts w:ascii="Times New Roman" w:eastAsia="Times New Roman" w:hAnsi="Times New Roman" w:cs="Times New Roman"/>
          <w:i/>
          <w:iCs/>
          <w:sz w:val="16"/>
          <w:szCs w:val="16"/>
        </w:rPr>
        <w:t>Bacteroides oralis)</w:t>
      </w:r>
      <w:r>
        <w:rPr>
          <w:i/>
          <w:iCs/>
        </w:rPr>
        <w:t xml:space="preserve">. </w:t>
      </w:r>
      <w:r>
        <w:t>Las especies mencionadas originan infección como oportunistas, por lo común después de que se transgrede alguna barrera física del cuerpo, y junto con otras especies endógenas. La transmisión endógena es consecuencia de broncoaspiración, contaminación de material intestinal o lesión de superficies mucosas por traumatismo, operaciones o quimioterapia. La lesión de la mucosa o la granulocitopenia predisponen a la infección. Salvo las infecciones que surgen después de mordeduras de seres humanos, no hay pruebas de que la transmisión se haga de una persona a otra.</w:t>
      </w:r>
    </w:p>
    <w:p w14:paraId="0766CD62" w14:textId="77777777" w:rsidR="00093A32" w:rsidRDefault="00093A32">
      <w:pPr>
        <w:pStyle w:val="BodyText"/>
        <w:ind w:firstLine="360"/>
      </w:pPr>
      <w:r>
        <w:t xml:space="preserve">El </w:t>
      </w:r>
      <w:r>
        <w:rPr>
          <w:b/>
          <w:bCs/>
        </w:rPr>
        <w:t xml:space="preserve">periodo de incubación </w:t>
      </w:r>
      <w:r>
        <w:t>es variable y depende del inóculo y del sitio de ataque, pero por lo común es de uno a cinco días.</w:t>
      </w:r>
    </w:p>
    <w:p w14:paraId="0DE1D33D" w14:textId="77777777" w:rsidR="00093A32" w:rsidRDefault="00093A32">
      <w:pPr>
        <w:pStyle w:val="BodyText"/>
        <w:ind w:firstLine="0"/>
      </w:pPr>
      <w:r>
        <w:rPr>
          <w:b/>
          <w:bCs/>
        </w:rPr>
        <w:t>M</w:t>
      </w:r>
      <w:r>
        <w:rPr>
          <w:b/>
          <w:bCs/>
          <w:sz w:val="13"/>
          <w:szCs w:val="13"/>
        </w:rPr>
        <w:t>ÉTODOS DIAGNÓSTICOS</w:t>
      </w:r>
      <w:r>
        <w:rPr>
          <w:b/>
          <w:bCs/>
        </w:rPr>
        <w:t xml:space="preserve">: </w:t>
      </w:r>
      <w:r>
        <w:t xml:space="preserve">Se necesitan medios de cultivo para anaerobios para identificar las especies de </w:t>
      </w:r>
      <w:r>
        <w:rPr>
          <w:rFonts w:ascii="Times New Roman" w:eastAsia="Times New Roman" w:hAnsi="Times New Roman" w:cs="Times New Roman"/>
          <w:i/>
          <w:iCs/>
          <w:sz w:val="16"/>
          <w:szCs w:val="16"/>
        </w:rPr>
        <w:t>Bacteroides</w:t>
      </w:r>
      <w:r>
        <w:t xml:space="preserve"> o </w:t>
      </w:r>
      <w:r>
        <w:rPr>
          <w:rFonts w:ascii="Times New Roman" w:eastAsia="Times New Roman" w:hAnsi="Times New Roman" w:cs="Times New Roman"/>
          <w:i/>
          <w:iCs/>
          <w:sz w:val="16"/>
          <w:szCs w:val="16"/>
        </w:rPr>
        <w:t>Prevotella</w:t>
      </w:r>
      <w:r>
        <w:t xml:space="preserve">. Las infecciones generalmente son polimicrobianas y por esa razón hay que hacer cultivos de aerobios. El olor podrido sugiere infección anaeróbica. Es recomendable usar un tubo de transporte para anaerobios o una jeringuilla sellada para obtener las muestras clínicas. </w:t>
      </w:r>
      <w:r>
        <w:rPr>
          <w:b/>
          <w:bCs/>
        </w:rPr>
        <w:t>T</w:t>
      </w:r>
      <w:r>
        <w:rPr>
          <w:b/>
          <w:bCs/>
          <w:sz w:val="13"/>
          <w:szCs w:val="13"/>
        </w:rPr>
        <w:t>RATAMIENTO</w:t>
      </w:r>
      <w:r>
        <w:rPr>
          <w:b/>
          <w:bCs/>
        </w:rPr>
        <w:t xml:space="preserve">: </w:t>
      </w:r>
      <w:r>
        <w:t>Es importante drenar los abscesos cuando sea factible. Los abscesos en encéfalo o hígado pueden mostrar resolución con antimicrobianos eficaces. Es importante el desbridamiento quirúrgico de las lesiones necrosantes.</w:t>
      </w:r>
    </w:p>
    <w:p w14:paraId="2B718C33" w14:textId="77777777" w:rsidR="00093A32" w:rsidRDefault="00093A32">
      <w:pPr>
        <w:pStyle w:val="BodyText"/>
        <w:ind w:firstLine="360"/>
      </w:pPr>
      <w:r>
        <w:t xml:space="preserve">La selección de uno o varios antimicrobianos se basa en las pruebas previstas o conocidas de susceptibilidad </w:t>
      </w:r>
      <w:r>
        <w:rPr>
          <w:rFonts w:ascii="Times New Roman" w:eastAsia="Times New Roman" w:hAnsi="Times New Roman" w:cs="Times New Roman"/>
          <w:i/>
          <w:iCs/>
          <w:sz w:val="16"/>
          <w:szCs w:val="16"/>
        </w:rPr>
        <w:t>in vitro</w:t>
      </w:r>
      <w:r>
        <w:t xml:space="preserve"> (antibioticograma). Las infecciones por </w:t>
      </w:r>
      <w:r>
        <w:rPr>
          <w:rFonts w:ascii="Times New Roman" w:eastAsia="Times New Roman" w:hAnsi="Times New Roman" w:cs="Times New Roman"/>
          <w:i/>
          <w:iCs/>
          <w:sz w:val="16"/>
          <w:szCs w:val="16"/>
        </w:rPr>
        <w:t xml:space="preserve">Bacteroides </w:t>
      </w:r>
      <w:r>
        <w:t xml:space="preserve">en la boca y vías respiratorias por lo común son susceptibles a penicilina G, ampicilina sódica y penicilina de amplio espectro, como ticarcilina disódica o piperacilina sódica. La clindamicina es activa contra prácticamente todas las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de boca y vías respiratorias, y algunos expertos la recomiendan como el fármaco más adecuado contra infecciones anaerobios de la cavidad de la boca y de los pulmones. Algunas especies de </w:t>
      </w:r>
      <w:r>
        <w:rPr>
          <w:rFonts w:ascii="Times New Roman" w:eastAsia="Times New Roman" w:hAnsi="Times New Roman" w:cs="Times New Roman"/>
          <w:i/>
          <w:iCs/>
          <w:sz w:val="16"/>
          <w:szCs w:val="16"/>
        </w:rPr>
        <w:t>Bacteroides</w:t>
      </w:r>
      <w:r>
        <w:t xml:space="preserve"> y </w:t>
      </w:r>
      <w:r>
        <w:rPr>
          <w:rFonts w:ascii="Times New Roman" w:eastAsia="Times New Roman" w:hAnsi="Times New Roman" w:cs="Times New Roman"/>
          <w:i/>
          <w:iCs/>
          <w:sz w:val="16"/>
          <w:szCs w:val="16"/>
        </w:rPr>
        <w:t>Prevotella</w:t>
      </w:r>
      <w:r>
        <w:t xml:space="preserve"> producen lactamasa beta. Para combatir tales infecciones puede ser útil la combinación de una penicilina lactámica beta que sea activa contra </w:t>
      </w:r>
      <w:r>
        <w:rPr>
          <w:rFonts w:ascii="Times New Roman" w:eastAsia="Times New Roman" w:hAnsi="Times New Roman" w:cs="Times New Roman"/>
          <w:i/>
          <w:iCs/>
          <w:sz w:val="16"/>
          <w:szCs w:val="16"/>
        </w:rPr>
        <w:t>Bacteroides</w:t>
      </w:r>
      <w:r>
        <w:t xml:space="preserve">, con un inhibidor de lactamasa beta (ampicilina- sulbactam sódico, amoxicilina-clavulanato potásico, ticarcilina-clavulanato o piperacilina-tazobactam sódico). Las especies de </w:t>
      </w:r>
      <w:r>
        <w:rPr>
          <w:rFonts w:ascii="Times New Roman" w:eastAsia="Times New Roman" w:hAnsi="Times New Roman" w:cs="Times New Roman"/>
          <w:i/>
          <w:iCs/>
          <w:sz w:val="16"/>
          <w:szCs w:val="16"/>
        </w:rPr>
        <w:t>Bacteroides</w:t>
      </w:r>
      <w:r>
        <w:t xml:space="preserve"> de vías gastrointestinales por lo común son resistentes a la penicilina G, pero se puede prever que son susceptibles a metronidazol, cloranfenicol, y por lo común a clindamicina. Más de 80% de los gérmenes son susceptibles a la cefoxitina y la ceftizoxima sódicas y al imipenem. No tienen eficacia fiable cefuroxima, cefotaxima sódica y ceftriaxona sódica. </w:t>
      </w:r>
      <w:r>
        <w:rPr>
          <w:b/>
          <w:bCs/>
        </w:rPr>
        <w:t>A</w:t>
      </w:r>
      <w:r>
        <w:rPr>
          <w:b/>
          <w:bCs/>
          <w:sz w:val="13"/>
          <w:szCs w:val="13"/>
        </w:rPr>
        <w:t>ISLAMIENTO DEL PACIENTE HOSPITALIZADO</w:t>
      </w:r>
      <w:r>
        <w:rPr>
          <w:b/>
          <w:bCs/>
        </w:rPr>
        <w:t xml:space="preserve">: </w:t>
      </w:r>
      <w:r>
        <w:t>Se recomienda seguir las precauciones estándar.</w:t>
      </w:r>
    </w:p>
    <w:p w14:paraId="3E1C4D7B"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5ED53010" w14:textId="77777777" w:rsidR="00093A32" w:rsidRDefault="00093A32">
      <w:pPr>
        <w:pStyle w:val="Bodytext70"/>
        <w:spacing w:after="0"/>
      </w:pPr>
      <w:r>
        <w:rPr>
          <w:i/>
          <w:iCs/>
        </w:rPr>
        <w:t>Balantidium coli,</w:t>
      </w:r>
      <w:r>
        <w:t xml:space="preserve"> infecciones (balantidiasis)</w:t>
      </w:r>
    </w:p>
    <w:p w14:paraId="33A1C17C" w14:textId="77777777" w:rsidR="00093A32" w:rsidRDefault="00093A32">
      <w:pPr>
        <w:pStyle w:val="BodyText"/>
        <w:ind w:firstLine="0"/>
        <w:sectPr w:rsidR="00093A32" w:rsidSect="00093A32">
          <w:headerReference w:type="even" r:id="rId53"/>
          <w:headerReference w:type="default" r:id="rId54"/>
          <w:footerReference w:type="even" r:id="rId55"/>
          <w:footerReference w:type="default" r:id="rId56"/>
          <w:footnotePr>
            <w:numFmt w:val="chicago"/>
          </w:footnotePr>
          <w:type w:val="continuous"/>
          <w:pgSz w:w="8501" w:h="13022"/>
          <w:pgMar w:top="708" w:right="805" w:bottom="440" w:left="770" w:header="0" w:footer="12" w:gutter="0"/>
          <w:cols w:space="720"/>
          <w:noEndnote/>
          <w:docGrid w:linePitch="360"/>
          <w15:footnoteColumns w:val="1"/>
        </w:sectPr>
      </w:pPr>
      <w:r>
        <w:rPr>
          <w:b/>
          <w:bCs/>
        </w:rPr>
        <w:t>M</w:t>
      </w:r>
      <w:r>
        <w:rPr>
          <w:b/>
          <w:bCs/>
          <w:sz w:val="13"/>
          <w:szCs w:val="13"/>
        </w:rPr>
        <w:t>ANIFESTACIONES CLÍNICAS</w:t>
      </w:r>
      <w:r>
        <w:rPr>
          <w:b/>
          <w:bCs/>
        </w:rPr>
        <w:t xml:space="preserve">: </w:t>
      </w:r>
      <w:r>
        <w:t xml:space="preserve">Casi todas las infecciones en seres humanos son asintomáticas. La infección aguda se caracteriza por náuseas, vómitos, molestia o dolor abdominal y diarrea mucosa, sanguinolenta o acuosa, síntomas todos de comienzo </w:t>
      </w:r>
    </w:p>
    <w:p w14:paraId="5F888C8F" w14:textId="77777777" w:rsidR="00093A32" w:rsidRDefault="00093A32">
      <w:pPr>
        <w:pStyle w:val="BodyText"/>
        <w:ind w:firstLine="0"/>
      </w:pPr>
      <w:r>
        <w:t xml:space="preserve">rápido. Los sujetos afectados pueden presentar episodios intermitentes y crónicos de diarrea. En raras ocasiones los gérmenes se propagan a ganglios mesentéricos, pleura o hígado. La inflamación de las vías gastrointestinales y los vasos linfáticos locales puede ocasionar dilatación, úlceras de intestino e invasión bacteriana secundaria. La colitis por </w:t>
      </w:r>
      <w:r>
        <w:rPr>
          <w:rFonts w:ascii="Times New Roman" w:eastAsia="Times New Roman" w:hAnsi="Times New Roman" w:cs="Times New Roman"/>
          <w:i/>
          <w:iCs/>
          <w:sz w:val="16"/>
          <w:szCs w:val="16"/>
        </w:rPr>
        <w:t>Balantidium coli</w:t>
      </w:r>
      <w:r>
        <w:t xml:space="preserve"> suele ser idéntica a la ocasionada por </w:t>
      </w:r>
      <w:r>
        <w:rPr>
          <w:rFonts w:ascii="Times New Roman" w:eastAsia="Times New Roman" w:hAnsi="Times New Roman" w:cs="Times New Roman"/>
          <w:i/>
          <w:iCs/>
          <w:sz w:val="16"/>
          <w:szCs w:val="16"/>
        </w:rPr>
        <w:t>Entamoeba histolytica</w:t>
      </w:r>
      <w:r>
        <w:rPr>
          <w:i/>
          <w:iCs/>
        </w:rPr>
        <w:t>.</w:t>
      </w:r>
      <w:r>
        <w:t xml:space="preserve"> La enfermedad puede ser fulminante en sujetos malnutridos o por lo demás débiles. </w:t>
      </w:r>
      <w:r>
        <w:rPr>
          <w:b/>
          <w:bCs/>
        </w:rPr>
        <w:t>C</w:t>
      </w:r>
      <w:r>
        <w:rPr>
          <w:b/>
          <w:bCs/>
          <w:sz w:val="13"/>
          <w:szCs w:val="13"/>
        </w:rPr>
        <w:t>AUSA</w:t>
      </w:r>
      <w:r>
        <w:rPr>
          <w:b/>
          <w:bCs/>
        </w:rPr>
        <w:t xml:space="preserve">: </w:t>
      </w:r>
      <w:r>
        <w:rPr>
          <w:rFonts w:ascii="Times New Roman" w:eastAsia="Times New Roman" w:hAnsi="Times New Roman" w:cs="Times New Roman"/>
          <w:i/>
          <w:iCs/>
          <w:sz w:val="16"/>
          <w:szCs w:val="16"/>
        </w:rPr>
        <w:t>Balantidium coli,</w:t>
      </w:r>
      <w:r>
        <w:t xml:space="preserve"> protozoo ciliado, es el protozoo patógeno de mayor tamaño que infecta a los seres humanos.</w:t>
      </w:r>
    </w:p>
    <w:p w14:paraId="148533FA"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Se piensa que los cerdos son el reservorio y hospedador primario de </w:t>
      </w:r>
      <w:r>
        <w:rPr>
          <w:rFonts w:ascii="Times New Roman" w:eastAsia="Times New Roman" w:hAnsi="Times New Roman" w:cs="Times New Roman"/>
          <w:i/>
          <w:iCs/>
          <w:sz w:val="16"/>
          <w:szCs w:val="16"/>
        </w:rPr>
        <w:t>B. coli.</w:t>
      </w:r>
      <w:r>
        <w:t xml:space="preserve"> Los quistes excretados por las heces se transmiten directamente de la mano a la boca o indirectamente por medio de agua o alimentos contaminados con excremento. Los trofozoítos al salir de los quistes infectan el colon; la persona es infectante durante todo el tiempo en que excrete quistes. Estos pueden permanecer viables en el entorno durante meses.</w:t>
      </w:r>
    </w:p>
    <w:p w14:paraId="5527B21F" w14:textId="77777777" w:rsidR="00093A32" w:rsidRDefault="00093A32">
      <w:pPr>
        <w:pStyle w:val="BodyText"/>
        <w:ind w:firstLine="360"/>
      </w:pPr>
      <w:r>
        <w:t xml:space="preserve">Se desconoce el </w:t>
      </w:r>
      <w:r>
        <w:rPr>
          <w:b/>
          <w:bCs/>
        </w:rPr>
        <w:t>periodo de incubación</w:t>
      </w:r>
      <w:r>
        <w:t xml:space="preserve">, pero puede ser de varios días. </w:t>
      </w:r>
      <w:r>
        <w:rPr>
          <w:b/>
          <w:bCs/>
        </w:rPr>
        <w:t>M</w:t>
      </w:r>
      <w:r>
        <w:rPr>
          <w:b/>
          <w:bCs/>
          <w:sz w:val="13"/>
          <w:szCs w:val="13"/>
        </w:rPr>
        <w:t>ÉTODOS DIAGNÓSTICOS</w:t>
      </w:r>
      <w:r>
        <w:rPr>
          <w:b/>
          <w:bCs/>
        </w:rPr>
        <w:t xml:space="preserve">: </w:t>
      </w:r>
      <w:r>
        <w:t>El diagnóstico se corrobora al obtener muestras por raspado de las lesiones mediante sigmoidoscopia, por el estudio histológico de las muestras mencionadas o por la presencia de huevos y parásitos en los excrementos. Generalmente se corrobora el diagnóstico al demostrar trofozoítos en muestras de excrementos o de tejidos. El estudio de los excrementos (coproparasitoscópico) es menos sensible y a veces se necesita repetirlo, porque puede ser intermitente la “excreción” de los microorganismos, es decir, su paso al interior del intestino. El estudio microscópico de muestras de diarrea reciente debe hacerse de manera inmediata porque los trofozoítos se degeneran con mucha rapidez.</w:t>
      </w:r>
    </w:p>
    <w:p w14:paraId="6EE920DB" w14:textId="77777777" w:rsidR="00093A32" w:rsidRDefault="00093A32">
      <w:pPr>
        <w:pStyle w:val="BodyText"/>
        <w:ind w:firstLine="0"/>
      </w:pPr>
      <w:r>
        <w:rPr>
          <w:b/>
          <w:bCs/>
        </w:rPr>
        <w:t>T</w:t>
      </w:r>
      <w:r>
        <w:rPr>
          <w:b/>
          <w:bCs/>
          <w:sz w:val="13"/>
          <w:szCs w:val="13"/>
        </w:rPr>
        <w:t>RATAMIENTO</w:t>
      </w:r>
      <w:r>
        <w:rPr>
          <w:b/>
          <w:bCs/>
        </w:rPr>
        <w:t xml:space="preserve">: </w:t>
      </w:r>
      <w:r>
        <w:t>El fármaco de primera línea es la tetraciclina, que se administra durante 10 días en dosis de 40 mg/kg de peso al día hasta un máximo de 2 g/día, en cuatro fracciones. No debe administrarse dicho antibiótico a niños menores de ocho años, salvo que los beneficios con él sean mayores que el peligro de dejar manchas permanentes en los dientes (véase “Antimicrobianos y fármacos similares”, sección 4). Otros fármacos a los que puede recurrirse son yodoquinol y metronidazol (véase “Fármacos antiparasitarios”, sección 4).</w:t>
      </w:r>
    </w:p>
    <w:p w14:paraId="009E6A59" w14:textId="77777777" w:rsidR="00093A32" w:rsidRDefault="00093A32">
      <w:pPr>
        <w:pStyle w:val="BodyText"/>
        <w:spacing w:after="80"/>
        <w:ind w:firstLine="0"/>
      </w:pPr>
      <w:r>
        <w:rPr>
          <w:b/>
          <w:bCs/>
        </w:rPr>
        <w:t>A</w:t>
      </w:r>
      <w:r>
        <w:rPr>
          <w:b/>
          <w:bCs/>
          <w:sz w:val="13"/>
          <w:szCs w:val="13"/>
        </w:rPr>
        <w:t>ISLAMIENTO DEL PACIENTE HOSPITALIZADO</w:t>
      </w:r>
      <w:r>
        <w:rPr>
          <w:b/>
          <w:bCs/>
        </w:rPr>
        <w:t xml:space="preserve">: </w:t>
      </w:r>
      <w:r>
        <w:t xml:space="preserve">Además de las precauciones estándar, se recomienda seguir las precauciones para evitar la transmisión por contacto. </w:t>
      </w:r>
      <w:r>
        <w:rPr>
          <w:b/>
          <w:bCs/>
        </w:rPr>
        <w:t>M</w:t>
      </w:r>
      <w:r>
        <w:rPr>
          <w:b/>
          <w:bCs/>
          <w:sz w:val="13"/>
          <w:szCs w:val="13"/>
        </w:rPr>
        <w:t>EDIDAS PREVENTIVAS</w:t>
      </w:r>
      <w:r>
        <w:rPr>
          <w:b/>
          <w:bCs/>
        </w:rPr>
        <w:t xml:space="preserve">: </w:t>
      </w:r>
      <w:r>
        <w:t>Las medidas en cuestión incluyen eliminar de un modo sanitario los excrementos humanos e impedir que se contaminen los alimentos y el agua con heces de cerdos. A pesar de la cloración del agua se ha sabido de brotes de la enfermedad que han tenido su origen en dicho líquido.</w:t>
      </w:r>
    </w:p>
    <w:p w14:paraId="58628450" w14:textId="77777777" w:rsidR="00093A32" w:rsidRDefault="00093A32">
      <w:pPr>
        <w:pStyle w:val="Bodytext70"/>
        <w:spacing w:after="0"/>
      </w:pPr>
      <w:r>
        <w:rPr>
          <w:i/>
          <w:iCs/>
        </w:rPr>
        <w:t>Blastocystis hominis,</w:t>
      </w:r>
      <w:r>
        <w:t xml:space="preserve"> infecciones</w:t>
      </w:r>
    </w:p>
    <w:p w14:paraId="567AE2CE" w14:textId="77777777" w:rsidR="00093A32" w:rsidRDefault="00093A32">
      <w:pPr>
        <w:pStyle w:val="BodyText"/>
        <w:spacing w:after="40" w:line="276" w:lineRule="auto"/>
        <w:ind w:firstLine="0"/>
        <w:sectPr w:rsidR="00093A32" w:rsidSect="00093A32">
          <w:headerReference w:type="even" r:id="rId57"/>
          <w:headerReference w:type="default" r:id="rId58"/>
          <w:footerReference w:type="even" r:id="rId59"/>
          <w:footerReference w:type="default" r:id="rId60"/>
          <w:footnotePr>
            <w:numFmt w:val="chicago"/>
          </w:footnotePr>
          <w:type w:val="continuous"/>
          <w:pgSz w:w="8501" w:h="13022"/>
          <w:pgMar w:top="708" w:right="805" w:bottom="440" w:left="770" w:header="0" w:footer="12" w:gutter="0"/>
          <w:cols w:space="720"/>
          <w:noEndnote/>
          <w:docGrid w:linePitch="360"/>
          <w15:footnoteColumns w:val="1"/>
        </w:sectPr>
      </w:pPr>
      <w:r>
        <w:rPr>
          <w:b/>
          <w:bCs/>
        </w:rPr>
        <w:t>M</w:t>
      </w:r>
      <w:r>
        <w:rPr>
          <w:b/>
          <w:bCs/>
          <w:sz w:val="13"/>
          <w:szCs w:val="13"/>
        </w:rPr>
        <w:t>ANIFESTACIONES CLÍNICAS</w:t>
      </w:r>
      <w:r>
        <w:rPr>
          <w:b/>
          <w:bCs/>
        </w:rPr>
        <w:t xml:space="preserve">: </w:t>
      </w:r>
      <w:r>
        <w:t xml:space="preserve">No hay consenso en cuanto a la importancia de </w:t>
      </w:r>
      <w:r>
        <w:rPr>
          <w:rFonts w:ascii="Times New Roman" w:eastAsia="Times New Roman" w:hAnsi="Times New Roman" w:cs="Times New Roman"/>
          <w:i/>
          <w:iCs/>
          <w:sz w:val="16"/>
          <w:szCs w:val="16"/>
        </w:rPr>
        <w:t>Blastocystis hominis</w:t>
      </w:r>
      <w:r>
        <w:t xml:space="preserve"> como causa de enfermedades de vías gastrointestinales. Se ha corroborado que existe un estado de portador asintomático. El microorganismo en cuestión, según señalamientos, puede ocasionar síntomas como distensión abdominal, flatulencia, diarrea leve o moderada con leucocitos o sangre en las heces, dolor abdominal y náuseas. Cuando se identifica </w:t>
      </w:r>
      <w:r>
        <w:rPr>
          <w:rFonts w:ascii="Times New Roman" w:eastAsia="Times New Roman" w:hAnsi="Times New Roman" w:cs="Times New Roman"/>
          <w:i/>
          <w:iCs/>
          <w:sz w:val="16"/>
          <w:szCs w:val="16"/>
        </w:rPr>
        <w:t>B. hominis</w:t>
      </w:r>
      <w:r>
        <w:t xml:space="preserve"> en las heces de sujetos sintomáticos, habrá que buscar otras causas de esta serie de síntomas, particularmente </w:t>
      </w:r>
      <w:r>
        <w:rPr>
          <w:rFonts w:ascii="Times New Roman" w:eastAsia="Times New Roman" w:hAnsi="Times New Roman" w:cs="Times New Roman"/>
          <w:i/>
          <w:iCs/>
          <w:sz w:val="16"/>
          <w:szCs w:val="16"/>
        </w:rPr>
        <w:t>Giardia lamblia</w:t>
      </w:r>
      <w:r>
        <w:t xml:space="preserve"> y </w:t>
      </w:r>
      <w:r>
        <w:rPr>
          <w:rFonts w:ascii="Times New Roman" w:eastAsia="Times New Roman" w:hAnsi="Times New Roman" w:cs="Times New Roman"/>
          <w:i/>
          <w:iCs/>
          <w:sz w:val="16"/>
          <w:szCs w:val="16"/>
        </w:rPr>
        <w:t>Cryptosporidium parvum</w:t>
      </w:r>
      <w:r>
        <w:rPr>
          <w:i/>
          <w:iCs/>
        </w:rPr>
        <w:t>,</w:t>
      </w:r>
      <w:r>
        <w:t xml:space="preserve"> antes de suponer que </w:t>
      </w:r>
      <w:r>
        <w:rPr>
          <w:rFonts w:ascii="Times New Roman" w:eastAsia="Times New Roman" w:hAnsi="Times New Roman" w:cs="Times New Roman"/>
          <w:i/>
          <w:iCs/>
          <w:sz w:val="16"/>
          <w:szCs w:val="16"/>
        </w:rPr>
        <w:t>B. hominis</w:t>
      </w:r>
      <w:r>
        <w:t xml:space="preserve"> es el origen de los signos y los síntomas.</w:t>
      </w:r>
    </w:p>
    <w:p w14:paraId="435BD3CD" w14:textId="77777777" w:rsidR="00093A32" w:rsidRDefault="00093A32">
      <w:pPr>
        <w:pStyle w:val="BodyText"/>
        <w:spacing w:line="276" w:lineRule="auto"/>
        <w:ind w:firstLine="0"/>
      </w:pPr>
      <w:r>
        <w:t xml:space="preserve">rápido. Los sujetos afectados pueden presentar episodios intermitentes y crónicos de diarrea. En raras ocasiones los gérmenes se propagan a ganglios mesentéricos, pleura o hígado. La inflamación de las vías gastrointestinales y los vasos linfáticos locales puede ocasionar dilatación, úlceras de intestino e invasión bacteriana secundaria. La colitis por </w:t>
      </w:r>
      <w:r>
        <w:rPr>
          <w:rFonts w:ascii="Times New Roman" w:eastAsia="Times New Roman" w:hAnsi="Times New Roman" w:cs="Times New Roman"/>
          <w:i/>
          <w:iCs/>
          <w:sz w:val="16"/>
          <w:szCs w:val="16"/>
        </w:rPr>
        <w:t>Balantidium coli</w:t>
      </w:r>
      <w:r>
        <w:t xml:space="preserve"> suele ser idéntica a la ocasionada por </w:t>
      </w:r>
      <w:r>
        <w:rPr>
          <w:rFonts w:ascii="Times New Roman" w:eastAsia="Times New Roman" w:hAnsi="Times New Roman" w:cs="Times New Roman"/>
          <w:i/>
          <w:iCs/>
          <w:sz w:val="16"/>
          <w:szCs w:val="16"/>
        </w:rPr>
        <w:t>Entamoeba histolytica</w:t>
      </w:r>
      <w:r>
        <w:rPr>
          <w:i/>
          <w:iCs/>
        </w:rPr>
        <w:t>.</w:t>
      </w:r>
      <w:r>
        <w:t xml:space="preserve"> La enfermedad puede ser fulminante en sujetos malnutridos o por lo demás débiles. </w:t>
      </w:r>
      <w:r>
        <w:rPr>
          <w:b/>
          <w:bCs/>
        </w:rPr>
        <w:t>C</w:t>
      </w:r>
      <w:r>
        <w:rPr>
          <w:b/>
          <w:bCs/>
          <w:sz w:val="13"/>
          <w:szCs w:val="13"/>
        </w:rPr>
        <w:t>AUSA</w:t>
      </w:r>
      <w:r>
        <w:rPr>
          <w:b/>
          <w:bCs/>
        </w:rPr>
        <w:t xml:space="preserve">: </w:t>
      </w:r>
      <w:r>
        <w:rPr>
          <w:rFonts w:ascii="Times New Roman" w:eastAsia="Times New Roman" w:hAnsi="Times New Roman" w:cs="Times New Roman"/>
          <w:i/>
          <w:iCs/>
          <w:sz w:val="16"/>
          <w:szCs w:val="16"/>
        </w:rPr>
        <w:t>Balantidium coli,</w:t>
      </w:r>
      <w:r>
        <w:t xml:space="preserve"> protozoo ciliado, es el protozoo patógeno de mayor tamaño que infecta a los seres humanos.</w:t>
      </w:r>
    </w:p>
    <w:p w14:paraId="34D92695"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Se piensa que los cerdos son el reservorio y hospedador primario de </w:t>
      </w:r>
      <w:r>
        <w:rPr>
          <w:rFonts w:ascii="Times New Roman" w:eastAsia="Times New Roman" w:hAnsi="Times New Roman" w:cs="Times New Roman"/>
          <w:i/>
          <w:iCs/>
          <w:sz w:val="16"/>
          <w:szCs w:val="16"/>
        </w:rPr>
        <w:t>B. coli.</w:t>
      </w:r>
      <w:r>
        <w:t xml:space="preserve"> Los quistes excretados por las heces se transmiten directamente de la mano a la boca o indirectamente por medio de agua o alimentos contaminados con excremento. Los trofozoítos al salir de los quistes infectan el colon; la persona es infectante durante todo el tiempo en que excrete quistes. Estos pueden permanecer viables en el entorno durante meses.</w:t>
      </w:r>
    </w:p>
    <w:p w14:paraId="09A9E412" w14:textId="77777777" w:rsidR="00093A32" w:rsidRDefault="00093A32">
      <w:pPr>
        <w:pStyle w:val="BodyText"/>
        <w:ind w:firstLine="360"/>
      </w:pPr>
      <w:r>
        <w:t xml:space="preserve">Se desconoce el </w:t>
      </w:r>
      <w:r>
        <w:rPr>
          <w:b/>
          <w:bCs/>
        </w:rPr>
        <w:t>periodo de incubación</w:t>
      </w:r>
      <w:r>
        <w:t xml:space="preserve">, pero puede ser de varios días. </w:t>
      </w:r>
      <w:r>
        <w:rPr>
          <w:b/>
          <w:bCs/>
        </w:rPr>
        <w:t>M</w:t>
      </w:r>
      <w:r>
        <w:rPr>
          <w:b/>
          <w:bCs/>
          <w:sz w:val="13"/>
          <w:szCs w:val="13"/>
        </w:rPr>
        <w:t>ÉTODOS DIAGNÓSTICOS</w:t>
      </w:r>
      <w:r>
        <w:rPr>
          <w:b/>
          <w:bCs/>
        </w:rPr>
        <w:t xml:space="preserve">: </w:t>
      </w:r>
      <w:r>
        <w:t>El diagnóstico se corrobora al obtener muestras por raspado de las lesiones mediante sigmoidoscopia, por el estudio histológico de las muestras mencionadas o por la presencia de huevos y parásitos en los excrementos. Generalmente se corrobora el diagnóstico al demostrar trofozoítos en muestras de excrementos o de tejidos. El estudio de los excrementos (coproparasitoscópico) es menos sensible y a veces se necesita repetirlo, porque puede ser intermitente la “excreción” de los microorganismos, es decir, su paso al interior del intestino. El estudio microscópico de muestras de diarrea reciente debe hacerse de manera inmediata porque los trofozoítos se degeneran con mucha rapidez.</w:t>
      </w:r>
    </w:p>
    <w:p w14:paraId="559F3405" w14:textId="77777777" w:rsidR="00093A32" w:rsidRDefault="00093A32">
      <w:pPr>
        <w:pStyle w:val="BodyText"/>
        <w:ind w:firstLine="0"/>
      </w:pPr>
      <w:r>
        <w:rPr>
          <w:b/>
          <w:bCs/>
        </w:rPr>
        <w:t>T</w:t>
      </w:r>
      <w:r>
        <w:rPr>
          <w:b/>
          <w:bCs/>
          <w:sz w:val="13"/>
          <w:szCs w:val="13"/>
        </w:rPr>
        <w:t>RATAMIENTO</w:t>
      </w:r>
      <w:r>
        <w:rPr>
          <w:b/>
          <w:bCs/>
        </w:rPr>
        <w:t xml:space="preserve">: </w:t>
      </w:r>
      <w:r>
        <w:t>El fármaco de primera línea es la tetraciclina, que se administra durante 10 días en dosis de 40 mg/kg de peso al día hasta un máximo de 2 g/día, en cuatro fracciones. No debe administrarse dicho antibiótico a niños menores de ocho años, salvo que los beneficios con él sean mayores que el peligro de dejar manchas permanentes en los dientes (véase “Antimicrobianos y fármacos similares”, sección 4). Otros fármacos a los que puede recurrirse son yodoquinol y metronidazol (véase “Fármacos antiparasitarios”, sección 4).</w:t>
      </w:r>
    </w:p>
    <w:p w14:paraId="579B8778" w14:textId="77777777" w:rsidR="00093A32" w:rsidRDefault="00093A32">
      <w:pPr>
        <w:pStyle w:val="BodyText"/>
        <w:spacing w:after="80"/>
        <w:ind w:firstLine="0"/>
      </w:pPr>
      <w:r>
        <w:rPr>
          <w:b/>
          <w:bCs/>
        </w:rPr>
        <w:t>A</w:t>
      </w:r>
      <w:r>
        <w:rPr>
          <w:b/>
          <w:bCs/>
          <w:sz w:val="13"/>
          <w:szCs w:val="13"/>
        </w:rPr>
        <w:t>ISLAMIENTO DEL PACIENTE HOSPITALIZADO</w:t>
      </w:r>
      <w:r>
        <w:rPr>
          <w:b/>
          <w:bCs/>
        </w:rPr>
        <w:t xml:space="preserve">: </w:t>
      </w:r>
      <w:r>
        <w:t xml:space="preserve">Además de las precauciones estándar, se recomienda seguir las precauciones para evitar la transmisión por contacto. </w:t>
      </w:r>
      <w:r>
        <w:rPr>
          <w:b/>
          <w:bCs/>
        </w:rPr>
        <w:t>M</w:t>
      </w:r>
      <w:r>
        <w:rPr>
          <w:b/>
          <w:bCs/>
          <w:sz w:val="13"/>
          <w:szCs w:val="13"/>
        </w:rPr>
        <w:t>EDIDAS PREVENTIVAS</w:t>
      </w:r>
      <w:r>
        <w:rPr>
          <w:b/>
          <w:bCs/>
        </w:rPr>
        <w:t xml:space="preserve">: </w:t>
      </w:r>
      <w:r>
        <w:t>Las medidas en cuestión incluyen eliminar de un modo sanitario los excrementos humanos e impedir que se contaminen los alimentos y el agua con heces de cerdos. A pesar de la cloración del agua se ha sabido de brotes de la enfermedad que han tenido su origen en dicho líquido.</w:t>
      </w:r>
    </w:p>
    <w:p w14:paraId="04A8F6C4" w14:textId="77777777" w:rsidR="00093A32" w:rsidRDefault="00093A32">
      <w:pPr>
        <w:pStyle w:val="Bodytext70"/>
        <w:spacing w:after="0"/>
      </w:pPr>
      <w:r>
        <w:rPr>
          <w:i/>
          <w:iCs/>
        </w:rPr>
        <w:t>Blastocystis hominis,</w:t>
      </w:r>
      <w:r>
        <w:t xml:space="preserve"> infecciones</w:t>
      </w:r>
    </w:p>
    <w:p w14:paraId="610F6D75" w14:textId="77777777" w:rsidR="00093A32" w:rsidRDefault="00093A32">
      <w:pPr>
        <w:pStyle w:val="BodyText"/>
        <w:spacing w:after="40" w:line="276" w:lineRule="auto"/>
        <w:ind w:firstLine="0"/>
      </w:pPr>
      <w:r>
        <w:rPr>
          <w:b/>
          <w:bCs/>
        </w:rPr>
        <w:t>M</w:t>
      </w:r>
      <w:r>
        <w:rPr>
          <w:b/>
          <w:bCs/>
          <w:sz w:val="13"/>
          <w:szCs w:val="13"/>
        </w:rPr>
        <w:t>ANIFESTACIONES CLÍNICAS</w:t>
      </w:r>
      <w:r>
        <w:rPr>
          <w:b/>
          <w:bCs/>
        </w:rPr>
        <w:t xml:space="preserve">: </w:t>
      </w:r>
      <w:r>
        <w:t xml:space="preserve">No hay consenso en cuanto a la importancia de </w:t>
      </w:r>
      <w:r>
        <w:rPr>
          <w:rFonts w:ascii="Times New Roman" w:eastAsia="Times New Roman" w:hAnsi="Times New Roman" w:cs="Times New Roman"/>
          <w:i/>
          <w:iCs/>
          <w:sz w:val="16"/>
          <w:szCs w:val="16"/>
        </w:rPr>
        <w:t>Blastocystis hominis</w:t>
      </w:r>
      <w:r>
        <w:t xml:space="preserve"> como causa de enfermedades de vías gastrointestinales. Se ha corroborado que existe un estado de portador asintomático. El microorganismo en cuestión, según señalamientos, puede ocasionar síntomas como distensión abdominal, flatulencia, diarrea leve o moderada con leucocitos o sangre en las heces, dolor abdominal y náuseas. Cuando se identifica </w:t>
      </w:r>
      <w:r>
        <w:rPr>
          <w:rFonts w:ascii="Times New Roman" w:eastAsia="Times New Roman" w:hAnsi="Times New Roman" w:cs="Times New Roman"/>
          <w:i/>
          <w:iCs/>
          <w:sz w:val="16"/>
          <w:szCs w:val="16"/>
        </w:rPr>
        <w:t>B. hominis</w:t>
      </w:r>
      <w:r>
        <w:t xml:space="preserve"> en las heces de sujetos sintomáticos, habrá que buscar otras causas de esta serie de síntomas, particularmente </w:t>
      </w:r>
      <w:r>
        <w:rPr>
          <w:rFonts w:ascii="Times New Roman" w:eastAsia="Times New Roman" w:hAnsi="Times New Roman" w:cs="Times New Roman"/>
          <w:i/>
          <w:iCs/>
          <w:sz w:val="16"/>
          <w:szCs w:val="16"/>
        </w:rPr>
        <w:t>Giardia lamblia</w:t>
      </w:r>
      <w:r>
        <w:t xml:space="preserve"> y </w:t>
      </w:r>
      <w:r>
        <w:rPr>
          <w:rFonts w:ascii="Times New Roman" w:eastAsia="Times New Roman" w:hAnsi="Times New Roman" w:cs="Times New Roman"/>
          <w:i/>
          <w:iCs/>
          <w:sz w:val="16"/>
          <w:szCs w:val="16"/>
        </w:rPr>
        <w:t>Cryptosporidium parvum</w:t>
      </w:r>
      <w:r>
        <w:rPr>
          <w:i/>
          <w:iCs/>
        </w:rPr>
        <w:t>,</w:t>
      </w:r>
      <w:r>
        <w:t xml:space="preserve"> antes de suponer que </w:t>
      </w:r>
      <w:r>
        <w:rPr>
          <w:rFonts w:ascii="Times New Roman" w:eastAsia="Times New Roman" w:hAnsi="Times New Roman" w:cs="Times New Roman"/>
          <w:i/>
          <w:iCs/>
          <w:sz w:val="16"/>
          <w:szCs w:val="16"/>
        </w:rPr>
        <w:t>B. hominis</w:t>
      </w:r>
      <w:r>
        <w:t xml:space="preserve"> es el origen de los signos y los síntomas.</w:t>
      </w:r>
    </w:p>
    <w:p w14:paraId="27E6FA72" w14:textId="77777777" w:rsidR="00093A32" w:rsidRDefault="00093A32">
      <w:pPr>
        <w:pStyle w:val="BodyText"/>
        <w:ind w:firstLine="0"/>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Blastocystis hominis</w:t>
      </w:r>
      <w:r>
        <w:t xml:space="preserve"> se clasifica como un protozoo y pasa por tres fases distintas: vacuolar, que es la que se detecta más a menudo en las muestras clínicas; granulosa, y amiboide.</w:t>
      </w:r>
    </w:p>
    <w:p w14:paraId="6322B231"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Blastocystis hominis</w:t>
      </w:r>
      <w:r>
        <w:t xml:space="preserve"> se identifica en 1 a 20% de muestras de excrementos estudiados en busca de huevos y parásitos. Se piensa que la transmisión sigue la vía fecal y oral, razón por la cual identificar al microorganismo pudiera ser el marcador de la presencia de otros patógenos que se propagan por contaminación fecal. Se sabe de transmisión a partir de animales.</w:t>
      </w:r>
    </w:p>
    <w:p w14:paraId="451AE648" w14:textId="77777777" w:rsidR="00093A32" w:rsidRDefault="00093A32">
      <w:pPr>
        <w:pStyle w:val="BodyText"/>
        <w:ind w:firstLine="360"/>
      </w:pPr>
      <w:r>
        <w:t>Se desconoce el periodo de incubación.</w:t>
      </w:r>
    </w:p>
    <w:p w14:paraId="340121E3" w14:textId="77777777" w:rsidR="00093A32" w:rsidRDefault="00093A32">
      <w:pPr>
        <w:pStyle w:val="BodyText"/>
        <w:ind w:firstLine="0"/>
      </w:pPr>
      <w:r>
        <w:rPr>
          <w:b/>
          <w:bCs/>
        </w:rPr>
        <w:t>M</w:t>
      </w:r>
      <w:r>
        <w:rPr>
          <w:b/>
          <w:bCs/>
          <w:sz w:val="13"/>
          <w:szCs w:val="13"/>
        </w:rPr>
        <w:t>ÉTODOS DIAGNÓSTICOS</w:t>
      </w:r>
      <w:r>
        <w:rPr>
          <w:b/>
          <w:bCs/>
        </w:rPr>
        <w:t xml:space="preserve">: </w:t>
      </w:r>
      <w:r>
        <w:t xml:space="preserve">Es importante conservar las muestras de excrementos en alcohol polivinílico y teñirlas con colorante tricrómico o hierro-hematoxicilina antes de su estudio microscópico. El parásito puede detectarse en diversas cantidades y a veces la magnitud de las infecciones va de mínima a intensa. La presencia de cinco microorganismos o más por campo de alta amplificación </w:t>
      </w:r>
      <w:r>
        <w:rPr>
          <w:smallCaps/>
          <w:sz w:val="20"/>
          <w:szCs w:val="20"/>
        </w:rPr>
        <w:t>(</w:t>
      </w:r>
      <w:r>
        <w:rPr>
          <w:rFonts w:ascii="Arial" w:eastAsia="Arial" w:hAnsi="Arial" w:cs="Arial"/>
          <w:smallCaps/>
          <w:sz w:val="16"/>
          <w:szCs w:val="16"/>
        </w:rPr>
        <w:t>x</w:t>
      </w:r>
      <w:r>
        <w:rPr>
          <w:smallCaps/>
          <w:sz w:val="20"/>
          <w:szCs w:val="20"/>
        </w:rPr>
        <w:t>400)</w:t>
      </w:r>
      <w:r>
        <w:t xml:space="preserve"> indica una infección intensa, que según algunos expertos, sugiere causalidad, en ausencia de otros enteropatógenos.</w:t>
      </w:r>
    </w:p>
    <w:p w14:paraId="2A7DD11E" w14:textId="77777777" w:rsidR="00093A32" w:rsidRDefault="00093A32">
      <w:pPr>
        <w:pStyle w:val="BodyText"/>
        <w:ind w:firstLine="0"/>
      </w:pPr>
      <w:r>
        <w:rPr>
          <w:b/>
          <w:bCs/>
        </w:rPr>
        <w:t>T</w:t>
      </w:r>
      <w:r>
        <w:rPr>
          <w:b/>
          <w:bCs/>
          <w:sz w:val="13"/>
          <w:szCs w:val="13"/>
        </w:rPr>
        <w:t>RATAMIENTO</w:t>
      </w:r>
      <w:r>
        <w:rPr>
          <w:b/>
          <w:bCs/>
        </w:rPr>
        <w:t xml:space="preserve">: </w:t>
      </w:r>
      <w:r>
        <w:t xml:space="preserve">No se han definido las indicaciones para el tratamiento. Algunos expertos recomiendan reservarlo para personas que muestran síntomas persistentes y en quienes no se identifican otros patógenos o cuadros que expliquen los síntomas de vías gastrointestinales. Otros expertos piensan que </w:t>
      </w:r>
      <w:r>
        <w:rPr>
          <w:rFonts w:ascii="Times New Roman" w:eastAsia="Times New Roman" w:hAnsi="Times New Roman" w:cs="Times New Roman"/>
          <w:i/>
          <w:iCs/>
          <w:sz w:val="16"/>
          <w:szCs w:val="16"/>
        </w:rPr>
        <w:t>B. hominis</w:t>
      </w:r>
      <w:r>
        <w:t xml:space="preserve"> no causa enfermedad sintomática y recomiendan sólo la búsqueda cuidadosa de otras causas de los síntomas. Se han utilizado con resultados parcos metronidazol, trimetoprim-sulfametoxazol y yodoquinol (véase “Fármacos antiparasitarios”, sección 4). No se han practicado estudios terapéuticos comparativos.</w:t>
      </w:r>
    </w:p>
    <w:p w14:paraId="37CC2299"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en niños con pañales o incontinentes.</w:t>
      </w:r>
    </w:p>
    <w:p w14:paraId="2D5811FD"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26B6D88D" w14:textId="77777777" w:rsidR="00093A32" w:rsidRDefault="00093A32">
      <w:pPr>
        <w:pStyle w:val="Bodytext70"/>
        <w:spacing w:after="0"/>
      </w:pPr>
      <w:r>
        <w:t>Blastomicosis</w:t>
      </w:r>
    </w:p>
    <w:p w14:paraId="4F9E5132" w14:textId="77777777" w:rsidR="00093A32" w:rsidRDefault="00093A32">
      <w:pPr>
        <w:pStyle w:val="BodyText"/>
        <w:ind w:firstLine="0"/>
      </w:pPr>
      <w:r>
        <w:rPr>
          <w:b/>
          <w:bCs/>
        </w:rPr>
        <w:t>M</w:t>
      </w:r>
      <w:r>
        <w:rPr>
          <w:b/>
          <w:bCs/>
          <w:sz w:val="13"/>
          <w:szCs w:val="13"/>
        </w:rPr>
        <w:t>ANIFESTACIONES CLÍNICAS</w:t>
      </w:r>
      <w:r>
        <w:rPr>
          <w:b/>
          <w:bCs/>
        </w:rPr>
        <w:t xml:space="preserve">: </w:t>
      </w:r>
      <w:r>
        <w:t>La infección puede ser asintomática o el cuadro puede ser agudo, crónico o fulminante. Las principales manifestaciones clínicas de la blastomicosis son pulmonares, cutáneas o un cuadro diseminado. Los niños por lo común tienen el ataque pulmonar que puede acompañarse de síntomas diversos, y las imágenes radiográficas a veces son diagnosticadas erróneamente como neumonía bacteriana, tuberculosis, sarcoidosis o cánceres. Las lesiones de la piel pueden ser nodulares, verrucosas o ulcerosas, a menudo con inflamación mínima. Los abscesos por lo común son subcutáneos, pero pueden afectar a cualquier órgano. La blastomicosis diseminada suele comenzar con infección de pulmones y afectar piel, huesos, sistema nervioso central, vísceras del abdomen y riñones. Rara vez aparecen infecciones intrauterinas o congénitas.</w:t>
      </w:r>
    </w:p>
    <w:p w14:paraId="079DB8F2" w14:textId="77777777" w:rsidR="00093A32" w:rsidRDefault="00093A32">
      <w:pPr>
        <w:pStyle w:val="BodyText"/>
        <w:ind w:firstLine="0"/>
      </w:pPr>
      <w:r>
        <w:rPr>
          <w:b/>
          <w:bCs/>
        </w:rPr>
        <w:t>C</w:t>
      </w:r>
      <w:r>
        <w:rPr>
          <w:b/>
          <w:bCs/>
          <w:sz w:val="13"/>
          <w:szCs w:val="13"/>
        </w:rPr>
        <w:t>AUSA</w:t>
      </w:r>
      <w:r>
        <w:rPr>
          <w:b/>
          <w:bCs/>
        </w:rPr>
        <w:t xml:space="preserve">: </w:t>
      </w:r>
      <w:r>
        <w:t xml:space="preserve">La blastomicosis es causada por </w:t>
      </w:r>
      <w:r>
        <w:rPr>
          <w:rFonts w:ascii="Times New Roman" w:eastAsia="Times New Roman" w:hAnsi="Times New Roman" w:cs="Times New Roman"/>
          <w:i/>
          <w:iCs/>
          <w:sz w:val="16"/>
          <w:szCs w:val="16"/>
        </w:rPr>
        <w:t>Blastomyces dermatitidis</w:t>
      </w:r>
      <w:r>
        <w:rPr>
          <w:i/>
          <w:iCs/>
        </w:rPr>
        <w:t>,</w:t>
      </w:r>
      <w:r>
        <w:t xml:space="preserve"> un hongo dimórfico que subsiste a 37°C en la forma de levadura y en los tejidos infectados, y en forma de micelios a temperatura ambiente y en la tierra. Los conidios, que son producidos por las hifas de los micelios, infectan a los seres humanos.</w:t>
      </w:r>
    </w:p>
    <w:p w14:paraId="48CCBDDB" w14:textId="77777777" w:rsidR="00093A32" w:rsidRDefault="00093A32">
      <w:pPr>
        <w:pStyle w:val="BodyText"/>
        <w:ind w:firstLine="0"/>
        <w:sectPr w:rsidR="00093A32" w:rsidSect="00093A32">
          <w:headerReference w:type="even" r:id="rId61"/>
          <w:headerReference w:type="default" r:id="rId62"/>
          <w:footerReference w:type="even" r:id="rId63"/>
          <w:footerReference w:type="default" r:id="rId64"/>
          <w:headerReference w:type="first" r:id="rId65"/>
          <w:footerReference w:type="first" r:id="rId66"/>
          <w:footnotePr>
            <w:numFmt w:val="chicago"/>
          </w:footnotePr>
          <w:pgSz w:w="8501" w:h="13022"/>
          <w:pgMar w:top="708" w:right="805" w:bottom="440" w:left="770" w:header="0" w:footer="3" w:gutter="0"/>
          <w:pgNumType w:start="232"/>
          <w:cols w:space="720"/>
          <w:noEndnote/>
          <w:titlePg/>
          <w:docGrid w:linePitch="360"/>
          <w15:footnoteColumns w:val="1"/>
        </w:sectPr>
      </w:pPr>
      <w:r>
        <w:rPr>
          <w:b/>
          <w:bCs/>
        </w:rPr>
        <w:t>A</w:t>
      </w:r>
      <w:r>
        <w:rPr>
          <w:b/>
          <w:bCs/>
          <w:sz w:val="13"/>
          <w:szCs w:val="13"/>
        </w:rPr>
        <w:t>SPECTOS EPIDEMIOLÓGICOS</w:t>
      </w:r>
      <w:r>
        <w:rPr>
          <w:b/>
          <w:bCs/>
        </w:rPr>
        <w:t xml:space="preserve">: </w:t>
      </w:r>
      <w:r>
        <w:t>La infección se contagia por inhalación de los conidios que vienen de la tierra. No se ha sabido de casos de transmisión de persona a persona. La infección puede ser epidémica o esporádica y se ha notificado en Estados Unidos,</w:t>
      </w:r>
    </w:p>
    <w:p w14:paraId="719C5F42" w14:textId="77777777" w:rsidR="00093A32" w:rsidRDefault="00093A32">
      <w:pPr>
        <w:pStyle w:val="BodyText"/>
        <w:ind w:firstLine="0"/>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Blastocystis hominis</w:t>
      </w:r>
      <w:r>
        <w:t xml:space="preserve"> se clasifica como un protozoo y pasa por tres fases distintas: vacuolar, que es la que se detecta más a menudo en las muestras clínicas; granulosa, y amiboide.</w:t>
      </w:r>
    </w:p>
    <w:p w14:paraId="16FF6BFA"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Blastocystis hominis</w:t>
      </w:r>
      <w:r>
        <w:t xml:space="preserve"> se identifica en 1 a 20% de muestras de excrementos estudiados en busca de huevos y parásitos. Se piensa que la transmisión sigue la vía fecal y oral, razón por la cual identificar al microorganismo pudiera ser el marcador de la presencia de otros patógenos que se propagan por contaminación fecal. Se sabe de transmisión a partir de animales.</w:t>
      </w:r>
    </w:p>
    <w:p w14:paraId="5FDE192E" w14:textId="77777777" w:rsidR="00093A32" w:rsidRDefault="00093A32">
      <w:pPr>
        <w:pStyle w:val="BodyText"/>
        <w:ind w:firstLine="360"/>
      </w:pPr>
      <w:r>
        <w:t>Se desconoce el periodo de incubación.</w:t>
      </w:r>
    </w:p>
    <w:p w14:paraId="6678DEDD" w14:textId="77777777" w:rsidR="00093A32" w:rsidRDefault="00093A32">
      <w:pPr>
        <w:pStyle w:val="BodyText"/>
        <w:ind w:firstLine="0"/>
      </w:pPr>
      <w:r>
        <w:rPr>
          <w:b/>
          <w:bCs/>
        </w:rPr>
        <w:t>M</w:t>
      </w:r>
      <w:r>
        <w:rPr>
          <w:b/>
          <w:bCs/>
          <w:sz w:val="13"/>
          <w:szCs w:val="13"/>
        </w:rPr>
        <w:t>ÉTODOS DIAGNÓSTICOS</w:t>
      </w:r>
      <w:r>
        <w:rPr>
          <w:b/>
          <w:bCs/>
        </w:rPr>
        <w:t xml:space="preserve">: </w:t>
      </w:r>
      <w:r>
        <w:t xml:space="preserve">Es importante conservar las muestras de excrementos en alcohol polivinílico y teñirlas con colorante tricrómico o hierro-hematoxicilina antes de su estudio microscópico. El parásito puede detectarse en diversas cantidades y a veces la magnitud de las infecciones va de mínima a intensa. La presencia de cinco microorganismos o más por campo de alta amplificación </w:t>
      </w:r>
      <w:r>
        <w:rPr>
          <w:smallCaps/>
          <w:sz w:val="20"/>
          <w:szCs w:val="20"/>
        </w:rPr>
        <w:t>(</w:t>
      </w:r>
      <w:r>
        <w:rPr>
          <w:rFonts w:ascii="Arial" w:eastAsia="Arial" w:hAnsi="Arial" w:cs="Arial"/>
          <w:smallCaps/>
          <w:sz w:val="16"/>
          <w:szCs w:val="16"/>
        </w:rPr>
        <w:t>x</w:t>
      </w:r>
      <w:r>
        <w:rPr>
          <w:smallCaps/>
          <w:sz w:val="20"/>
          <w:szCs w:val="20"/>
        </w:rPr>
        <w:t>400)</w:t>
      </w:r>
      <w:r>
        <w:t xml:space="preserve"> indica una infección intensa, que según algunos expertos, sugiere causalidad, en ausencia de otros enteropatógenos.</w:t>
      </w:r>
    </w:p>
    <w:p w14:paraId="460AA65E" w14:textId="77777777" w:rsidR="00093A32" w:rsidRDefault="00093A32">
      <w:pPr>
        <w:pStyle w:val="BodyText"/>
        <w:ind w:firstLine="0"/>
      </w:pPr>
      <w:r>
        <w:rPr>
          <w:b/>
          <w:bCs/>
        </w:rPr>
        <w:t>T</w:t>
      </w:r>
      <w:r>
        <w:rPr>
          <w:b/>
          <w:bCs/>
          <w:sz w:val="13"/>
          <w:szCs w:val="13"/>
        </w:rPr>
        <w:t>RATAMIENTO</w:t>
      </w:r>
      <w:r>
        <w:rPr>
          <w:b/>
          <w:bCs/>
        </w:rPr>
        <w:t xml:space="preserve">: </w:t>
      </w:r>
      <w:r>
        <w:t xml:space="preserve">No se han definido las indicaciones para el tratamiento. Algunos expertos recomiendan reservarlo para personas que muestran síntomas persistentes y en quienes no se identifican otros patógenos o cuadros que expliquen los síntomas de vías gastrointestinales. Otros expertos piensan que </w:t>
      </w:r>
      <w:r>
        <w:rPr>
          <w:rFonts w:ascii="Times New Roman" w:eastAsia="Times New Roman" w:hAnsi="Times New Roman" w:cs="Times New Roman"/>
          <w:i/>
          <w:iCs/>
          <w:sz w:val="16"/>
          <w:szCs w:val="16"/>
        </w:rPr>
        <w:t>B. hominis</w:t>
      </w:r>
      <w:r>
        <w:t xml:space="preserve"> no causa enfermedad sintomática y recomiendan sólo la búsqueda cuidadosa de otras causas de los síntomas. Se han utilizado con resultados parcos metronidazol, trimetoprim-sulfametoxazol y yodoquinol (véase “Fármacos antiparasitarios”, sección 4). No se han practicado estudios terapéuticos comparativos.</w:t>
      </w:r>
    </w:p>
    <w:p w14:paraId="219D3513"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en niños con pañales o incontinentes.</w:t>
      </w:r>
    </w:p>
    <w:p w14:paraId="2709D3F9"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3F15C888" w14:textId="77777777" w:rsidR="00093A32" w:rsidRDefault="00093A32">
      <w:pPr>
        <w:pStyle w:val="Bodytext70"/>
        <w:spacing w:after="0"/>
      </w:pPr>
      <w:r>
        <w:t>Blastomicosis</w:t>
      </w:r>
    </w:p>
    <w:p w14:paraId="41BAD16A" w14:textId="77777777" w:rsidR="00093A32" w:rsidRDefault="00093A32">
      <w:pPr>
        <w:pStyle w:val="BodyText"/>
        <w:ind w:firstLine="0"/>
      </w:pPr>
      <w:r>
        <w:rPr>
          <w:b/>
          <w:bCs/>
        </w:rPr>
        <w:t>M</w:t>
      </w:r>
      <w:r>
        <w:rPr>
          <w:b/>
          <w:bCs/>
          <w:sz w:val="13"/>
          <w:szCs w:val="13"/>
        </w:rPr>
        <w:t>ANIFESTACIONES CLÍNICAS</w:t>
      </w:r>
      <w:r>
        <w:rPr>
          <w:b/>
          <w:bCs/>
        </w:rPr>
        <w:t xml:space="preserve">: </w:t>
      </w:r>
      <w:r>
        <w:t>La infección puede ser asintomática o el cuadro puede ser agudo, crónico o fulminante. Las principales manifestaciones clínicas de la blastomicosis son pulmonares, cutáneas o un cuadro diseminado. Los niños por lo común tienen el ataque pulmonar que puede acompañarse de síntomas diversos, y las imágenes radiográficas a veces son diagnosticadas erróneamente como neumonía bacteriana, tuberculosis, sarcoidosis o cánceres. Las lesiones de la piel pueden ser nodulares, verrucosas o ulcerosas, a menudo con inflamación mínima. Los abscesos por lo común son subcutáneos, pero pueden afectar a cualquier órgano. La blastomicosis diseminada suele comenzar con infección de pulmones y afectar piel, huesos, sistema nervioso central, vísceras del abdomen y riñones. Rara vez aparecen infecciones intrauterinas o congénitas.</w:t>
      </w:r>
    </w:p>
    <w:p w14:paraId="37009857" w14:textId="77777777" w:rsidR="00093A32" w:rsidRDefault="00093A32">
      <w:pPr>
        <w:pStyle w:val="BodyText"/>
        <w:ind w:firstLine="0"/>
      </w:pPr>
      <w:r>
        <w:rPr>
          <w:b/>
          <w:bCs/>
        </w:rPr>
        <w:t>C</w:t>
      </w:r>
      <w:r>
        <w:rPr>
          <w:b/>
          <w:bCs/>
          <w:sz w:val="13"/>
          <w:szCs w:val="13"/>
        </w:rPr>
        <w:t>AUSA</w:t>
      </w:r>
      <w:r>
        <w:rPr>
          <w:b/>
          <w:bCs/>
        </w:rPr>
        <w:t xml:space="preserve">: </w:t>
      </w:r>
      <w:r>
        <w:t xml:space="preserve">La blastomicosis es causada por </w:t>
      </w:r>
      <w:r>
        <w:rPr>
          <w:rFonts w:ascii="Times New Roman" w:eastAsia="Times New Roman" w:hAnsi="Times New Roman" w:cs="Times New Roman"/>
          <w:i/>
          <w:iCs/>
          <w:sz w:val="16"/>
          <w:szCs w:val="16"/>
        </w:rPr>
        <w:t>Blastomyces dermatitidis</w:t>
      </w:r>
      <w:r>
        <w:rPr>
          <w:i/>
          <w:iCs/>
        </w:rPr>
        <w:t>,</w:t>
      </w:r>
      <w:r>
        <w:t xml:space="preserve"> un hongo dimórfico que subsiste a 37°C en la forma de levadura y en los tejidos infectados, y en forma de micelios a temperatura ambiente y en la tierra. Los conidios, que son producidos por las hifas de los micelios, infectan a los seres humanos.</w:t>
      </w:r>
    </w:p>
    <w:p w14:paraId="2CE10A5D" w14:textId="77777777" w:rsidR="00093A32" w:rsidRDefault="00093A32">
      <w:pPr>
        <w:pStyle w:val="BodyText"/>
        <w:ind w:firstLine="0"/>
      </w:pPr>
      <w:r>
        <w:rPr>
          <w:b/>
          <w:bCs/>
        </w:rPr>
        <w:t>A</w:t>
      </w:r>
      <w:r>
        <w:rPr>
          <w:b/>
          <w:bCs/>
          <w:sz w:val="13"/>
          <w:szCs w:val="13"/>
        </w:rPr>
        <w:t>SPECTOS EPIDEMIOLÓGICOS</w:t>
      </w:r>
      <w:r>
        <w:rPr>
          <w:b/>
          <w:bCs/>
        </w:rPr>
        <w:t xml:space="preserve">: </w:t>
      </w:r>
      <w:r>
        <w:t>La infección se contagia por inhalación de los conidios que vienen de la tierra. No se ha sabido de casos de transmisión de persona a persona. La infección puede ser epidémica o esporádica y se ha notificado en Estados Unidos, Canadá, África e India. En Estados Unidos, las zonas endémicas son los estados del sureste y centro y algunos del medio oeste bordeando los Grandes Lagos. Puede surgir blastomicosis en hospedadores inmunodeficientes, pero rara vez ha sido señalada en personas infectadas con el virus de inmunodeficiencia humana.</w:t>
      </w:r>
    </w:p>
    <w:p w14:paraId="50575392" w14:textId="77777777" w:rsidR="00093A32" w:rsidRDefault="00093A32">
      <w:pPr>
        <w:pStyle w:val="BodyText"/>
        <w:ind w:firstLine="360"/>
      </w:pPr>
      <w:r>
        <w:t xml:space="preserve">El </w:t>
      </w:r>
      <w:r>
        <w:rPr>
          <w:b/>
          <w:bCs/>
        </w:rPr>
        <w:t xml:space="preserve">periodo de incubación </w:t>
      </w:r>
      <w:r>
        <w:t>va de 30 a 45 días.</w:t>
      </w:r>
    </w:p>
    <w:p w14:paraId="412DF450"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esputo, material de aspiración traqueal, líquido cefalorraquídeo, orina o material de lesiones preparado con hidróxido de potasio al 10% o un colorante argéntico se identifican las formas de levadura, con una yema, de base ancha, en forma de ocho y de pared gruesa. Los niños con neumonía que no pueden generar esputo a veces necesitan de un método penetrante (como sería la toma abierta de biopsia o lavado broncoalveolar) para confirmar el diagnóstico. Los gérmenes se cultivan en medios de infusión cerebro-corazón y en dextrosa-agar de Sabouraud a temperatura ambiente. Se cuenta con sondas de DNA quimioluminiscentes para identificación de </w:t>
      </w:r>
      <w:r>
        <w:rPr>
          <w:rFonts w:ascii="Times New Roman" w:eastAsia="Times New Roman" w:hAnsi="Times New Roman" w:cs="Times New Roman"/>
          <w:i/>
          <w:iCs/>
          <w:sz w:val="16"/>
          <w:szCs w:val="16"/>
        </w:rPr>
        <w:t>B. dermatitidis.</w:t>
      </w:r>
      <w:r>
        <w:t xml:space="preserve"> Los métodos serológicos no tienen suficiente sensibilidad y por eso se harán todos los intentos para obtener muestras apropiadas para cultivo. </w:t>
      </w:r>
      <w:r>
        <w:rPr>
          <w:b/>
          <w:bCs/>
        </w:rPr>
        <w:t>T</w:t>
      </w:r>
      <w:r>
        <w:rPr>
          <w:b/>
          <w:bCs/>
          <w:sz w:val="13"/>
          <w:szCs w:val="13"/>
        </w:rPr>
        <w:t>RATAMIENTO</w:t>
      </w:r>
      <w:r>
        <w:rPr>
          <w:b/>
          <w:bCs/>
        </w:rPr>
        <w:t xml:space="preserve">: </w:t>
      </w:r>
      <w:r>
        <w:t>La anfotericina B es el tratamiento más indicado contra la infección grave o letal (véase “Fármacos contra micosis invasoras y otras de gravedad en niños”, sección 4). Se han utilizado el itraconazol o el fluconazol ingeribles o solos contra infecciones moderadamente graves o leves, o después de un ciclo breve de anfotericina B. Son escasos los datos en cuanto a la inocuidad y eficacia de uno y otro productos azólicos. El itraconazol es muy eficaz para tratar las infecciones no meníngeas ni letales en adultos, pero no alcanza concentraciones eficaces en el líquido cefalorraquídeo.</w:t>
      </w:r>
    </w:p>
    <w:p w14:paraId="1B026699" w14:textId="77777777" w:rsidR="00093A32" w:rsidRDefault="00093A32">
      <w:pPr>
        <w:pStyle w:val="BodyText"/>
        <w:ind w:firstLine="360"/>
      </w:pPr>
      <w:r>
        <w:t>El tratamiento con productos orales se continúa durante seis meses como mínimo, en el caso de enfermedad pulmonar y extrapulmonar. Algunos expertos sugieren que dure un año en el caso de sujetos con osteomielitis.</w:t>
      </w:r>
    </w:p>
    <w:p w14:paraId="4626C4A3"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cumplir las precauciones estándar.</w:t>
      </w:r>
    </w:p>
    <w:p w14:paraId="58527EE0"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6FDA3329" w14:textId="77777777" w:rsidR="00093A32" w:rsidRDefault="00093A32">
      <w:pPr>
        <w:pStyle w:val="Bodytext70"/>
        <w:spacing w:after="0"/>
      </w:pPr>
      <w:r>
        <w:t>Borreliosis</w:t>
      </w:r>
    </w:p>
    <w:p w14:paraId="20E9994B"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(fiebre recurrente)</w:t>
      </w:r>
    </w:p>
    <w:p w14:paraId="3CAA8D37" w14:textId="77777777" w:rsidR="00093A32" w:rsidRDefault="00093A32">
      <w:pPr>
        <w:pStyle w:val="BodyText"/>
        <w:spacing w:line="271" w:lineRule="auto"/>
        <w:ind w:firstLine="0"/>
      </w:pPr>
      <w:r>
        <w:rPr>
          <w:b/>
          <w:bCs/>
        </w:rPr>
        <w:t>M</w:t>
      </w:r>
      <w:r>
        <w:rPr>
          <w:b/>
          <w:bCs/>
          <w:sz w:val="13"/>
          <w:szCs w:val="13"/>
        </w:rPr>
        <w:t>ANIFESTACIONES CLÍNICAS</w:t>
      </w:r>
      <w:r>
        <w:rPr>
          <w:b/>
          <w:bCs/>
        </w:rPr>
        <w:t xml:space="preserve">: </w:t>
      </w:r>
      <w:r>
        <w:t xml:space="preserve">La fiebre recurrente se caracteriza por fiebre alta, escalofríos intensos, diaforesis, cefaleas, mialgias y artralgias y debilidad progresivas, todos de comienzo repentino. A veces surgen máculas pasajeras en el tronco y petequias en piel y mucosas. Entre las complicaciones están hepatosplenomegalia, ictericia, epistaxia, iridociclitis, tos con dolor pleurítico, neumonitis, meningitis y miocarditis. Sin tratamiento, un periodo febril inicial de tres a siete días termina espontáneamente con crisis. El primer episodio es seguido de un periodo afebril que dura días o semanas, seguido de una o más recaídas. Las recidivas en forma típica son cada vez más breves y menos intensas al prolongarse los periodos afebriles. La infección en la embarazada suele ser grave y a veces culmina en aborto espontáneo. nacimiento de un mortinato o infección neonatal. </w:t>
      </w:r>
      <w:r>
        <w:rPr>
          <w:b/>
          <w:bCs/>
        </w:rPr>
        <w:t>C</w:t>
      </w:r>
      <w:r>
        <w:rPr>
          <w:b/>
          <w:bCs/>
          <w:sz w:val="13"/>
          <w:szCs w:val="13"/>
        </w:rPr>
        <w:t>AUSAS</w:t>
      </w:r>
      <w:r>
        <w:rPr>
          <w:b/>
          <w:bCs/>
        </w:rPr>
        <w:t xml:space="preserve">: </w:t>
      </w:r>
      <w:r>
        <w:t xml:space="preserve">La fiebre recurrente es causada por algunas espiroquetas del género </w:t>
      </w:r>
      <w:r>
        <w:rPr>
          <w:rFonts w:ascii="Times New Roman" w:eastAsia="Times New Roman" w:hAnsi="Times New Roman" w:cs="Times New Roman"/>
          <w:i/>
          <w:iCs/>
          <w:sz w:val="16"/>
          <w:szCs w:val="16"/>
        </w:rPr>
        <w:t>Borrelia.</w:t>
      </w:r>
      <w:r>
        <w:t xml:space="preserve"> La única especie que origina fiebre recurrente por piojos (epidémica) es </w:t>
      </w:r>
      <w:r>
        <w:rPr>
          <w:rFonts w:ascii="Times New Roman" w:eastAsia="Times New Roman" w:hAnsi="Times New Roman" w:cs="Times New Roman"/>
          <w:i/>
          <w:iCs/>
          <w:sz w:val="16"/>
          <w:szCs w:val="16"/>
        </w:rPr>
        <w:t xml:space="preserve">Borrelia recurrentis, </w:t>
      </w:r>
      <w:r>
        <w:t xml:space="preserve">y no tiene un reservorio animal. A nivel mundial, se conocen como mínimo 15 especies de </w:t>
      </w:r>
      <w:r>
        <w:rPr>
          <w:rFonts w:ascii="Times New Roman" w:eastAsia="Times New Roman" w:hAnsi="Times New Roman" w:cs="Times New Roman"/>
          <w:i/>
          <w:iCs/>
          <w:sz w:val="16"/>
          <w:szCs w:val="16"/>
        </w:rPr>
        <w:t>Borrelia</w:t>
      </w:r>
      <w:r>
        <w:t xml:space="preserve"> que causan la fiebre recurrente recién mencionada, que incluyen </w:t>
      </w:r>
      <w:r>
        <w:rPr>
          <w:rFonts w:ascii="Times New Roman" w:eastAsia="Times New Roman" w:hAnsi="Times New Roman" w:cs="Times New Roman"/>
          <w:i/>
          <w:iCs/>
          <w:sz w:val="16"/>
          <w:szCs w:val="16"/>
        </w:rPr>
        <w:t>Borrelia hermsii</w:t>
      </w:r>
      <w:r>
        <w:t xml:space="preserve"> y </w:t>
      </w:r>
      <w:r>
        <w:rPr>
          <w:rFonts w:ascii="Times New Roman" w:eastAsia="Times New Roman" w:hAnsi="Times New Roman" w:cs="Times New Roman"/>
          <w:i/>
          <w:iCs/>
          <w:sz w:val="16"/>
          <w:szCs w:val="16"/>
        </w:rPr>
        <w:t>Borrelia turicatae</w:t>
      </w:r>
      <w:r>
        <w:t xml:space="preserve"> en Estados Unidos.</w:t>
      </w:r>
    </w:p>
    <w:p w14:paraId="75F84EF1" w14:textId="77777777" w:rsidR="00093A32" w:rsidRDefault="00093A32">
      <w:pPr>
        <w:pStyle w:val="BodyText"/>
        <w:spacing w:line="290" w:lineRule="auto"/>
        <w:ind w:firstLine="0"/>
      </w:pPr>
      <w:r>
        <w:rPr>
          <w:b/>
          <w:bCs/>
        </w:rPr>
        <w:t>A</w:t>
      </w:r>
      <w:r>
        <w:rPr>
          <w:b/>
          <w:bCs/>
          <w:sz w:val="13"/>
          <w:szCs w:val="13"/>
        </w:rPr>
        <w:t>SPECTOS EPIDEMIOLÓGICOS</w:t>
      </w:r>
      <w:r>
        <w:rPr>
          <w:b/>
          <w:bCs/>
        </w:rPr>
        <w:t xml:space="preserve">: </w:t>
      </w:r>
      <w:r>
        <w:t xml:space="preserve">El piojo corporal provoca la transmisión de tipo epidémica </w:t>
      </w:r>
      <w:r>
        <w:rPr>
          <w:rFonts w:ascii="Times New Roman" w:eastAsia="Times New Roman" w:hAnsi="Times New Roman" w:cs="Times New Roman"/>
          <w:i/>
          <w:iCs/>
          <w:sz w:val="16"/>
          <w:szCs w:val="16"/>
        </w:rPr>
        <w:t>(Pediculus humanus),</w:t>
      </w:r>
      <w:r>
        <w:t xml:space="preserve"> y la fiebre recurrente endémica por garrapatas es transmitida por Canadá, África e India. En Estados Unidos, las zonas endémicas son los estados del sureste y centro y algunos del medio oeste bordeando los Grandes Lagos. Puede surgir blastomicosis en hospedadores inmunodeficientes, pero rara vez ha sido señalada en personas infectadas con el virus de inmunodeficiencia humana.</w:t>
      </w:r>
    </w:p>
    <w:p w14:paraId="51F97D31" w14:textId="77777777" w:rsidR="00093A32" w:rsidRDefault="00093A32">
      <w:pPr>
        <w:pStyle w:val="BodyText"/>
        <w:ind w:firstLine="360"/>
      </w:pPr>
      <w:r>
        <w:t xml:space="preserve">El </w:t>
      </w:r>
      <w:r>
        <w:rPr>
          <w:b/>
          <w:bCs/>
        </w:rPr>
        <w:t xml:space="preserve">periodo de incubación </w:t>
      </w:r>
      <w:r>
        <w:t>va de 30 a 45 días.</w:t>
      </w:r>
    </w:p>
    <w:p w14:paraId="6B44B490"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esputo, material de aspiración traqueal, líquido cefalorraquídeo, orina o material de lesiones preparado con hidróxido de potasio al 10% o un colorante argéntico se identifican las formas de levadura, con una yema, de base ancha, en forma de ocho y de pared gruesa. Los niños con neumonía que no pueden generar esputo a veces necesitan de un método penetrante (como sería la toma abierta de biopsia o lavado broncoalveolar) para confirmar el diagnóstico. Los gérmenes se cultivan en medios de infusión cerebro-corazón y en dextrosa-agar de Sabouraud a temperatura ambiente. Se cuenta con sondas de DNA quimioluminiscentes para identificación de </w:t>
      </w:r>
      <w:r>
        <w:rPr>
          <w:rFonts w:ascii="Times New Roman" w:eastAsia="Times New Roman" w:hAnsi="Times New Roman" w:cs="Times New Roman"/>
          <w:i/>
          <w:iCs/>
          <w:sz w:val="16"/>
          <w:szCs w:val="16"/>
        </w:rPr>
        <w:t>B. dermatitidis.</w:t>
      </w:r>
      <w:r>
        <w:t xml:space="preserve"> Los métodos serológicos no tienen suficiente sensibilidad y por eso se harán todos los intentos para obtener muestras apropiadas para cultivo. </w:t>
      </w:r>
      <w:r>
        <w:rPr>
          <w:b/>
          <w:bCs/>
        </w:rPr>
        <w:t>T</w:t>
      </w:r>
      <w:r>
        <w:rPr>
          <w:b/>
          <w:bCs/>
          <w:sz w:val="13"/>
          <w:szCs w:val="13"/>
        </w:rPr>
        <w:t>RATAMIENTO</w:t>
      </w:r>
      <w:r>
        <w:rPr>
          <w:b/>
          <w:bCs/>
        </w:rPr>
        <w:t xml:space="preserve">: </w:t>
      </w:r>
      <w:r>
        <w:t>La anfotericina B es el tratamiento más indicado contra la infección grave o letal (véase “Fármacos contra micosis invasoras y otras de gravedad en niños”, sección 4). Se han utilizado el itraconazol o el fluconazol ingeribles o solos contra infecciones moderadamente graves o leves, o después de un ciclo breve de anfotericina B. Son escasos los datos en cuanto a la inocuidad y eficacia de uno y otro productos azólicos. El itraconazol es muy eficaz para tratar las infecciones no meníngeas ni letales en adultos, pero no alcanza concentraciones eficaces en el líquido cefalorraquídeo.</w:t>
      </w:r>
    </w:p>
    <w:p w14:paraId="45CFEA81" w14:textId="77777777" w:rsidR="00093A32" w:rsidRDefault="00093A32">
      <w:pPr>
        <w:pStyle w:val="BodyText"/>
        <w:ind w:firstLine="360"/>
      </w:pPr>
      <w:r>
        <w:t>El tratamiento con productos orales se continúa durante seis meses como mínimo, en el caso de enfermedad pulmonar y extrapulmonar. Algunos expertos sugieren que dure un año en el caso de sujetos con osteomielitis.</w:t>
      </w:r>
    </w:p>
    <w:p w14:paraId="546429CF"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cumplir las precauciones estándar.</w:t>
      </w:r>
    </w:p>
    <w:p w14:paraId="21A4C6F6"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4971A043" w14:textId="77777777" w:rsidR="00093A32" w:rsidRDefault="00093A32">
      <w:pPr>
        <w:pStyle w:val="Bodytext70"/>
        <w:spacing w:after="0"/>
      </w:pPr>
      <w:r>
        <w:t>Borreliosis</w:t>
      </w:r>
    </w:p>
    <w:p w14:paraId="271DFC77"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(fiebre recurrente)</w:t>
      </w:r>
    </w:p>
    <w:p w14:paraId="446B17B4" w14:textId="77777777" w:rsidR="00093A32" w:rsidRDefault="00093A32">
      <w:pPr>
        <w:pStyle w:val="BodyText"/>
        <w:spacing w:line="271" w:lineRule="auto"/>
        <w:ind w:firstLine="0"/>
      </w:pPr>
      <w:r>
        <w:rPr>
          <w:b/>
          <w:bCs/>
        </w:rPr>
        <w:t>M</w:t>
      </w:r>
      <w:r>
        <w:rPr>
          <w:b/>
          <w:bCs/>
          <w:sz w:val="13"/>
          <w:szCs w:val="13"/>
        </w:rPr>
        <w:t>ANIFESTACIONES CLÍNICAS</w:t>
      </w:r>
      <w:r>
        <w:rPr>
          <w:b/>
          <w:bCs/>
        </w:rPr>
        <w:t xml:space="preserve">: </w:t>
      </w:r>
      <w:r>
        <w:t xml:space="preserve">La fiebre recurrente se caracteriza por fiebre alta, escalofríos intensos, diaforesis, cefaleas, mialgias y artralgias y debilidad progresivas, todos de comienzo repentino. A veces surgen máculas pasajeras en el tronco y petequias en piel y mucosas. Entre las complicaciones están hepatosplenomegalia, ictericia, epistaxia, iridociclitis, tos con dolor pleurítico, neumonitis, meningitis y miocarditis. Sin tratamiento, un periodo febril inicial de tres a siete días termina espontáneamente con crisis. El primer episodio es seguido de un periodo afebril que dura días o semanas, seguido de una o más recaídas. Las recidivas en forma típica son cada vez más breves y menos intensas al prolongarse los periodos afebriles. La infección en la embarazada suele ser grave y a veces culmina en aborto espontáneo. nacimiento de un mortinato o infección neonatal. </w:t>
      </w:r>
      <w:r>
        <w:rPr>
          <w:b/>
          <w:bCs/>
        </w:rPr>
        <w:t>C</w:t>
      </w:r>
      <w:r>
        <w:rPr>
          <w:b/>
          <w:bCs/>
          <w:sz w:val="13"/>
          <w:szCs w:val="13"/>
        </w:rPr>
        <w:t>AUSAS</w:t>
      </w:r>
      <w:r>
        <w:rPr>
          <w:b/>
          <w:bCs/>
        </w:rPr>
        <w:t xml:space="preserve">: </w:t>
      </w:r>
      <w:r>
        <w:t xml:space="preserve">La fiebre recurrente es causada por algunas espiroquetas del género </w:t>
      </w:r>
      <w:r>
        <w:rPr>
          <w:rFonts w:ascii="Times New Roman" w:eastAsia="Times New Roman" w:hAnsi="Times New Roman" w:cs="Times New Roman"/>
          <w:i/>
          <w:iCs/>
          <w:sz w:val="16"/>
          <w:szCs w:val="16"/>
        </w:rPr>
        <w:t>Borrelia.</w:t>
      </w:r>
      <w:r>
        <w:t xml:space="preserve"> La única especie que origina fiebre recurrente por piojos (epidémica) es </w:t>
      </w:r>
      <w:r>
        <w:rPr>
          <w:rFonts w:ascii="Times New Roman" w:eastAsia="Times New Roman" w:hAnsi="Times New Roman" w:cs="Times New Roman"/>
          <w:i/>
          <w:iCs/>
          <w:sz w:val="16"/>
          <w:szCs w:val="16"/>
        </w:rPr>
        <w:t xml:space="preserve">Borrelia recurrentis, </w:t>
      </w:r>
      <w:r>
        <w:t xml:space="preserve">y no tiene un reservorio animal. A nivel mundial, se conocen como mínimo 15 especies de </w:t>
      </w:r>
      <w:r>
        <w:rPr>
          <w:rFonts w:ascii="Times New Roman" w:eastAsia="Times New Roman" w:hAnsi="Times New Roman" w:cs="Times New Roman"/>
          <w:i/>
          <w:iCs/>
          <w:sz w:val="16"/>
          <w:szCs w:val="16"/>
        </w:rPr>
        <w:t>Borrelia</w:t>
      </w:r>
      <w:r>
        <w:t xml:space="preserve"> que causan la fiebre recurrente recién mencionada, que incluyen </w:t>
      </w:r>
      <w:r>
        <w:rPr>
          <w:rFonts w:ascii="Times New Roman" w:eastAsia="Times New Roman" w:hAnsi="Times New Roman" w:cs="Times New Roman"/>
          <w:i/>
          <w:iCs/>
          <w:sz w:val="16"/>
          <w:szCs w:val="16"/>
        </w:rPr>
        <w:t>Borrelia hermsii</w:t>
      </w:r>
      <w:r>
        <w:t xml:space="preserve"> y </w:t>
      </w:r>
      <w:r>
        <w:rPr>
          <w:rFonts w:ascii="Times New Roman" w:eastAsia="Times New Roman" w:hAnsi="Times New Roman" w:cs="Times New Roman"/>
          <w:i/>
          <w:iCs/>
          <w:sz w:val="16"/>
          <w:szCs w:val="16"/>
        </w:rPr>
        <w:t>Borrelia turicatae</w:t>
      </w:r>
      <w:r>
        <w:t xml:space="preserve"> en Estados Unidos.</w:t>
      </w:r>
    </w:p>
    <w:p w14:paraId="5B793040" w14:textId="77777777" w:rsidR="00093A32" w:rsidRDefault="00093A32">
      <w:pPr>
        <w:pStyle w:val="BodyText"/>
        <w:spacing w:line="290" w:lineRule="auto"/>
        <w:ind w:firstLine="0"/>
        <w:sectPr w:rsidR="00093A32" w:rsidSect="00093A32">
          <w:headerReference w:type="even" r:id="rId67"/>
          <w:headerReference w:type="default" r:id="rId68"/>
          <w:footerReference w:type="even" r:id="rId69"/>
          <w:footerReference w:type="default" r:id="rId70"/>
          <w:headerReference w:type="first" r:id="rId71"/>
          <w:footerReference w:type="first" r:id="rId72"/>
          <w:footnotePr>
            <w:numFmt w:val="chicago"/>
          </w:footnotePr>
          <w:pgSz w:w="8501" w:h="13022"/>
          <w:pgMar w:top="708" w:right="805" w:bottom="440" w:left="770" w:header="0" w:footer="3" w:gutter="0"/>
          <w:pgNumType w:start="294"/>
          <w:cols w:space="720"/>
          <w:noEndnote/>
          <w:titlePg/>
          <w:docGrid w:linePitch="360"/>
          <w15:footnoteColumns w:val="1"/>
        </w:sectPr>
      </w:pPr>
      <w:r>
        <w:rPr>
          <w:b/>
          <w:bCs/>
        </w:rPr>
        <w:t>A</w:t>
      </w:r>
      <w:r>
        <w:rPr>
          <w:b/>
          <w:bCs/>
          <w:sz w:val="13"/>
          <w:szCs w:val="13"/>
        </w:rPr>
        <w:t>SPECTOS EPIDEMIOLÓGICOS</w:t>
      </w:r>
      <w:r>
        <w:rPr>
          <w:b/>
          <w:bCs/>
        </w:rPr>
        <w:t xml:space="preserve">: </w:t>
      </w:r>
      <w:r>
        <w:t xml:space="preserve">El piojo corporal provoca la transmisión de tipo epidémica </w:t>
      </w:r>
      <w:r>
        <w:rPr>
          <w:rFonts w:ascii="Times New Roman" w:eastAsia="Times New Roman" w:hAnsi="Times New Roman" w:cs="Times New Roman"/>
          <w:i/>
          <w:iCs/>
          <w:sz w:val="16"/>
          <w:szCs w:val="16"/>
        </w:rPr>
        <w:t>(Pediculus humanus),</w:t>
      </w:r>
      <w:r>
        <w:t xml:space="preserve"> y la fiebre recurrente endémica por garrapatas es transmitida por </w:t>
      </w:r>
    </w:p>
    <w:p w14:paraId="533CFB9D" w14:textId="77777777" w:rsidR="00093A32" w:rsidRDefault="00093A32">
      <w:pPr>
        <w:pStyle w:val="BodyText"/>
        <w:spacing w:line="290" w:lineRule="auto"/>
        <w:ind w:firstLine="0"/>
      </w:pPr>
      <w:r>
        <w:t xml:space="preserve">garrapatas blandas (especies de </w:t>
      </w:r>
      <w:r>
        <w:rPr>
          <w:rFonts w:ascii="Times New Roman" w:eastAsia="Times New Roman" w:hAnsi="Times New Roman" w:cs="Times New Roman"/>
          <w:i/>
          <w:iCs/>
          <w:sz w:val="16"/>
          <w:szCs w:val="16"/>
        </w:rPr>
        <w:t>Ornithodoros)</w:t>
      </w:r>
      <w:r>
        <w:rPr>
          <w:i/>
          <w:iCs/>
        </w:rPr>
        <w:t>.</w:t>
      </w:r>
      <w:r>
        <w:t xml:space="preserve"> La fiebre recurrente epidémica por piojos ha sido señalada en Etiopía, Eritrea, Somalia y Sudán, zonas en que a veces aparecen epidemias particularmente en poblaciones sin hogar y de refugiados. Los piojos corporales se infectan sólo al alimentarse de seres humanos con espiroquetemia; la infección es transmitida cuando se aplasta al piojo infectado y sus líquidos corporales contaminan el punto de la picadura o la piel erosionada por el rascado.</w:t>
      </w:r>
    </w:p>
    <w:p w14:paraId="658D933E" w14:textId="77777777" w:rsidR="00093A32" w:rsidRDefault="00093A32">
      <w:pPr>
        <w:pStyle w:val="BodyText"/>
        <w:ind w:firstLine="360"/>
      </w:pPr>
      <w:r>
        <w:t xml:space="preserve">La fiebre recurrente endémica por piojos muestra distribución amplia en todo el mundo y surge esporádicamente y en grupo pequeños, a menudo en las familias. Casi todos los casos de fiebre por garrapatas en Estados Unidos son causados por </w:t>
      </w:r>
      <w:r>
        <w:rPr>
          <w:rFonts w:ascii="Times New Roman" w:eastAsia="Times New Roman" w:hAnsi="Times New Roman" w:cs="Times New Roman"/>
          <w:i/>
          <w:iCs/>
          <w:sz w:val="16"/>
          <w:szCs w:val="16"/>
        </w:rPr>
        <w:t xml:space="preserve">B. hermsii. </w:t>
      </w:r>
      <w:r>
        <w:t xml:space="preserve">De manera típica la infección es consecuencia de exposición a garrapatas en cabañas infectadas por roedores en zonas montañosas del occidente de Estados Unidos, que incluyen parques estatales y nacionales. Las infecciones por </w:t>
      </w:r>
      <w:r>
        <w:rPr>
          <w:rFonts w:ascii="Times New Roman" w:eastAsia="Times New Roman" w:hAnsi="Times New Roman" w:cs="Times New Roman"/>
          <w:i/>
          <w:iCs/>
          <w:sz w:val="16"/>
          <w:szCs w:val="16"/>
        </w:rPr>
        <w:t>Borrelia turicatae</w:t>
      </w:r>
      <w:r>
        <w:t xml:space="preserve"> aparecen con menor frecuencia; casi todos los casos han sido notificados en Texas y a menudo se vinculan con exposición a garrapatas en cuevas infectadas por roedores. Las garrapatas blandas ocasionan picaduras indoloras y se alimentan por lapsos breves (10 a 30 min), por lo común durante la noche, de tal manera que el paciente no se percata de la picadura. Los artrópodos en cuestión se infectan al alimentarse de roedores, y transmiten la infección por su saliva y otros líquidos cuando emprenden nuevos ciclos de alimentación con sangre. Las garrapatas pueden servir como reservorios de la infección a consecuencia de la transmisión transovárica y transestadial.</w:t>
      </w:r>
    </w:p>
    <w:p w14:paraId="0356B03B" w14:textId="77777777" w:rsidR="00093A32" w:rsidRDefault="00093A32">
      <w:pPr>
        <w:pStyle w:val="BodyText"/>
        <w:ind w:firstLine="360"/>
      </w:pPr>
      <w:r>
        <w:t>Los piojos corporales y las garrapatas infectados siguen siendo contagiosos durante toda su vida. La fiebre recurrente no es contagiosa, pero se sabe de transmisión perinatal de una madre infectada a su lactante y puede culminar en el nacimiento de un producto muerto o en la muerte en etapa neonatal.</w:t>
      </w:r>
    </w:p>
    <w:p w14:paraId="2FB380D4" w14:textId="77777777" w:rsidR="00093A32" w:rsidRDefault="00093A32">
      <w:pPr>
        <w:pStyle w:val="BodyText"/>
        <w:ind w:firstLine="360"/>
      </w:pPr>
      <w:r>
        <w:t xml:space="preserve">El periodo de incubación es de cuatro a 18 días, con una media de siete días. </w:t>
      </w:r>
      <w:r>
        <w:rPr>
          <w:b/>
          <w:bCs/>
        </w:rPr>
        <w:t>M</w:t>
      </w:r>
      <w:r>
        <w:rPr>
          <w:b/>
          <w:bCs/>
          <w:sz w:val="13"/>
          <w:szCs w:val="13"/>
        </w:rPr>
        <w:t>ÉTODOS DIAGNÓSTICOS</w:t>
      </w:r>
      <w:r>
        <w:rPr>
          <w:b/>
          <w:bCs/>
        </w:rPr>
        <w:t xml:space="preserve">: </w:t>
      </w:r>
      <w:r>
        <w:t xml:space="preserve">Es posible observar las espiroquetas en microscopio de campo oscuro y preparaciones de gota fina o gruesa deshemoglobinizadas teñidas con técnica de Wright, Giemsa o con naranja de acridina, de sangre periférica o preparados de la capa de leucocitos teñidas. Los microorganismos se detectan en la sangre más a menudo en la etapa febril de la enfermedad. Es posible cultivar las espiroquetas en la sangre en un medio de Barbour-Stoenner-Kelly o bien por la inoculación intraperitoneal de ratones inmaduros en el laboratorio. También por inmunoanálisis enzimático y análisis de inmunotransferencia en algunos laboratorios especializados; las pruebas mencionadas no han sido estandarizadas y son modificadas por variaciones antigénicas entre las especies y las cepas de </w:t>
      </w:r>
      <w:r>
        <w:rPr>
          <w:rFonts w:ascii="Times New Roman" w:eastAsia="Times New Roman" w:hAnsi="Times New Roman" w:cs="Times New Roman"/>
          <w:i/>
          <w:iCs/>
          <w:sz w:val="16"/>
          <w:szCs w:val="16"/>
        </w:rPr>
        <w:t>Borrelia</w:t>
      </w:r>
      <w:r>
        <w:t xml:space="preserve">. Surgen reacciones cruzadas serológicas con otras espiroquetas, incluida </w:t>
      </w:r>
      <w:r>
        <w:rPr>
          <w:rFonts w:ascii="Times New Roman" w:eastAsia="Times New Roman" w:hAnsi="Times New Roman" w:cs="Times New Roman"/>
          <w:i/>
          <w:iCs/>
          <w:sz w:val="16"/>
          <w:szCs w:val="16"/>
        </w:rPr>
        <w:t>Borrelia burgdorferi,</w:t>
      </w:r>
      <w:r>
        <w:t xml:space="preserve"> el agente que causa la enfermedad de Lyme. En Estados Unidos es posible enviar las muestras biológicas para estudios de laboratorio a la división de Enfermedades Infecciosas Transmitidas por Vectores, de los </w:t>
      </w:r>
      <w:r>
        <w:rPr>
          <w:rFonts w:ascii="Times New Roman" w:eastAsia="Times New Roman" w:hAnsi="Times New Roman" w:cs="Times New Roman"/>
          <w:i/>
          <w:iCs/>
          <w:sz w:val="16"/>
          <w:szCs w:val="16"/>
        </w:rPr>
        <w:t>Centers for Disease Control and Prevention</w:t>
      </w:r>
      <w:r>
        <w:rPr>
          <w:i/>
          <w:iCs/>
        </w:rPr>
        <w:t>,</w:t>
      </w:r>
      <w:r>
        <w:t xml:space="preserve"> Fort Collins, CO 80522. </w:t>
      </w:r>
      <w:r>
        <w:rPr>
          <w:b/>
          <w:bCs/>
        </w:rPr>
        <w:t>T</w:t>
      </w:r>
      <w:r>
        <w:rPr>
          <w:b/>
          <w:bCs/>
          <w:sz w:val="13"/>
          <w:szCs w:val="13"/>
        </w:rPr>
        <w:t>RATAMIENTO</w:t>
      </w:r>
      <w:r>
        <w:rPr>
          <w:b/>
          <w:bCs/>
        </w:rPr>
        <w:t xml:space="preserve">: </w:t>
      </w:r>
      <w:r>
        <w:t>La administración de penicilina, tetraciclinas, doxiciclina, eritromicina o cloranfenicol suele eliminar a corto plazo las espiroquetas y producir remisión de los síntomas. En el caso de niños menores de ocho años y de embarazadas, los fármacos preferidos son la penicilina y la eritromicina. En las primeras horas después de iniciar la terapia con antimicrobianos puede surgir una reacción de Jarisch-Herxheimer (reacción febril aguda acompañada de cefalea, mialgias y un cuadro clínico que se agrava y que dura menos de 24 h). La reacción mencionada a veces se acompaña de hipotensión transitoria atribuible a la disminución del volumen circulante eficaz (especialmente en la fiebre recurrente por piojos), y por tal razón hay que vigilar con gran detenimiento a los pacientes en las primeras 12 h de tratamiento. No obstante, la reacción de Jarisch- Herxheimer en niños por lo regular es leve y se le puede tratar con los solos antipiréticos.</w:t>
      </w:r>
    </w:p>
    <w:p w14:paraId="1462241A" w14:textId="77777777" w:rsidR="00093A32" w:rsidRDefault="00093A32">
      <w:pPr>
        <w:pStyle w:val="BodyText"/>
        <w:ind w:firstLine="360"/>
      </w:pPr>
      <w:r>
        <w:t>Se recomienda como terapia inicial la penicilina G procaínica, o la penicilina G intravenosa para personas que no pueden ingerir el antibiótico. En el caso del tratamiento oral, son recomendables las dosis estándar de penicilina V, eritromicina o tetraciclina o doxiciclina (si el niño tiene ocho años o más). La administración de una sola dosis puede curar la fiebre recurrente transmitida por piojos; se sabe menos del tratamiento de una sola dosis de la fiebre recurrente transmitida por garrapatas, pero quizá también sea eficaz. A pesar de ello, para evitar las recaídas se recomienda el tratamiento durante cinco a siete días, particularmente en la fiebre recurrente transmitida por garrapatas.</w:t>
      </w:r>
    </w:p>
    <w:p w14:paraId="140FC02E" w14:textId="77777777" w:rsidR="00093A32" w:rsidRDefault="00093A32">
      <w:pPr>
        <w:pStyle w:val="BodyText"/>
        <w:spacing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 caso de infestación por piojos también están indicadas las precauciones para evitar la transmisión por contacto (véase “Pediculosis” en esta sección).</w:t>
      </w:r>
    </w:p>
    <w:p w14:paraId="3B4C6A2C"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El contacto con garrapatas puede limitarse por el empleo de ropas protectoras, acaricidas y repelentes (véase “Prevención de infecciones transmitidas por garrapatas”, sección 2). La posibilidad de exposición a ellas disminuye si se impide el acceso a roedores en los sótanos y áticos de hogares o cabañas. Las viviendas infestadas por garrapatas suaves deben ser tratadas profesionalmente con agentes químicos y otros mecanismos a prueba de roedores. En un entorno infestado por piojos es posible controlar el ataque de dichos artrópodos (corporales) por medio de baño, lavado de ropas personales a intervalos frecuentes y el empleo de pediculicidas (véase “Pediculosis” en esta sección). Es importante notificar los casos sospechosos de fiebre recurrente a las autoridades sanitarias para emprender una investigación inmediata e instituir medidas preventivas.</w:t>
      </w:r>
    </w:p>
    <w:p w14:paraId="7D91DC11" w14:textId="77777777" w:rsidR="00093A32" w:rsidRDefault="00093A32">
      <w:pPr>
        <w:pStyle w:val="Bodytext70"/>
        <w:spacing w:after="0"/>
      </w:pPr>
      <w:r>
        <w:t>Brucelosis</w:t>
      </w:r>
    </w:p>
    <w:p w14:paraId="5FB48052" w14:textId="77777777" w:rsidR="00093A32" w:rsidRDefault="00093A32">
      <w:pPr>
        <w:pStyle w:val="BodyText"/>
        <w:ind w:firstLine="0"/>
        <w:rPr>
          <w:sz w:val="16"/>
          <w:szCs w:val="16"/>
        </w:r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brucelosis en niños generalmente es un trastorno leve de desaparición espontánea en comparación con la enfermedad crónica en los adultos. Sin embargo, en zonas en que la especie endémica es </w:t>
      </w:r>
      <w:r>
        <w:rPr>
          <w:rFonts w:ascii="Times New Roman" w:eastAsia="Times New Roman" w:hAnsi="Times New Roman" w:cs="Times New Roman"/>
          <w:i/>
          <w:iCs/>
          <w:sz w:val="16"/>
          <w:szCs w:val="16"/>
        </w:rPr>
        <w:t>Brucella melitensis,</w:t>
      </w:r>
      <w:r>
        <w:t xml:space="preserve"> el cuadro puede ser grave. La enfermedad puede comenzar en forma aguda o insidiosa. Sus manifestaciones son inespecíficas e incluyen fiebre, sudores nocturnos, debilidad, malestar general, anorexia, pérdida ponderal, artralgias, mialgias, dolor abdominal y cefaleas. Los signos físicos incluyen linfadenopatía, hepatosplenomegalia y a veces artritis. Entre las complicaciones graves están meningitis, endocarditis y osteomielitis. </w:t>
      </w: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Brucella</w:t>
      </w:r>
      <w:r>
        <w:t xml:space="preserve"> son cocobacilos pequeños, no móviles, gramnegativos. Las que infectan a los seres humanos son </w:t>
      </w:r>
      <w:r>
        <w:rPr>
          <w:rFonts w:ascii="Times New Roman" w:eastAsia="Times New Roman" w:hAnsi="Times New Roman" w:cs="Times New Roman"/>
          <w:i/>
          <w:iCs/>
          <w:sz w:val="16"/>
          <w:szCs w:val="16"/>
        </w:rPr>
        <w:t>Brucella abortus, B. melitensis, Brucella suis</w:t>
      </w:r>
      <w:r>
        <w:t xml:space="preserve"> y rara vez </w:t>
      </w:r>
      <w:r>
        <w:rPr>
          <w:rFonts w:ascii="Times New Roman" w:eastAsia="Times New Roman" w:hAnsi="Times New Roman" w:cs="Times New Roman"/>
          <w:i/>
          <w:iCs/>
          <w:sz w:val="16"/>
          <w:szCs w:val="16"/>
        </w:rPr>
        <w:t>Brucella canis.</w:t>
      </w:r>
    </w:p>
    <w:p w14:paraId="2AABA547" w14:textId="77777777" w:rsidR="00093A32" w:rsidRDefault="00093A32">
      <w:pPr>
        <w:pStyle w:val="BodyText"/>
        <w:ind w:firstLine="0"/>
      </w:pPr>
      <w:r>
        <w:rPr>
          <w:b/>
          <w:bCs/>
        </w:rPr>
        <w:t>A</w:t>
      </w:r>
      <w:r>
        <w:rPr>
          <w:b/>
          <w:bCs/>
          <w:sz w:val="13"/>
          <w:szCs w:val="13"/>
        </w:rPr>
        <w:t>SPECTOS EPIDEMIOLÓGICOS</w:t>
      </w:r>
      <w:r>
        <w:rPr>
          <w:b/>
          <w:bCs/>
        </w:rPr>
        <w:t xml:space="preserve">: </w:t>
      </w:r>
      <w:r>
        <w:t>La brucelosis es una zoonosis de animales salvajes y domésticos. Los seres humanos son hospedadores accidentales y contraen la enfermedad por contacto directo con animales infectados, su carne en canal o secreciones o al ingerir leche o productos lácteos no pasteurizados. Están expuestos a un mayor peligro de contraer el trastorno personas en actividades como la agricultura, la cría de ganado, así como los veterinarios y los trabajadores de rastros, inspectores de carnes y personal de laboratorio. La infección se transmite por inoculación a través de cortadas y abrasiones cutáneas, al inhalar aerosoles contaminados, por contacto con la mucosa conjuntival o después de ingerir el microorganismo. En promedio, en Estados Unidos los pacientes en las primeras 12 h de tratamiento. No obstante, la reacción de Jarisch- Herxheimer en niños por lo regular es leve y se le puede tratar con los solos antipiréticos.</w:t>
      </w:r>
    </w:p>
    <w:p w14:paraId="15F06651" w14:textId="77777777" w:rsidR="00093A32" w:rsidRDefault="00093A32">
      <w:pPr>
        <w:pStyle w:val="BodyText"/>
        <w:ind w:firstLine="360"/>
      </w:pPr>
      <w:r>
        <w:t>Se recomienda como terapia inicial la penicilina G procaínica, o la penicilina G intravenosa para personas que no pueden ingerir el antibiótico. En el caso del tratamiento oral, son recomendables las dosis estándar de penicilina V, eritromicina o tetraciclina o doxiciclina (si el niño tiene ocho años o más). La administración de una sola dosis puede curar la fiebre recurrente transmitida por piojos; se sabe menos del tratamiento de una sola dosis de la fiebre recurrente transmitida por garrapatas, pero quizá también sea eficaz. A pesar de ello, para evitar las recaídas se recomienda el tratamiento durante cinco a siete días, particularmente en la fiebre recurrente transmitida por garrapatas.</w:t>
      </w:r>
    </w:p>
    <w:p w14:paraId="4291FCE1" w14:textId="77777777" w:rsidR="00093A32" w:rsidRDefault="00093A32">
      <w:pPr>
        <w:pStyle w:val="BodyText"/>
        <w:spacing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 caso de infestación por piojos también están indicadas las precauciones para evitar la transmisión por contacto (véase “Pediculosis” en esta sección).</w:t>
      </w:r>
    </w:p>
    <w:p w14:paraId="759F1A34"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El contacto con garrapatas puede limitarse por el empleo de ropas protectoras, acaricidas y repelentes (véase “Prevención de infecciones transmitidas por garrapatas”, sección 2). La posibilidad de exposición a ellas disminuye si se impide el acceso a roedores en los sótanos y áticos de hogares o cabañas. Las viviendas infestadas por garrapatas suaves deben ser tratadas profesionalmente con agentes químicos y otros mecanismos a prueba de roedores. En un entorno infestado por piojos es posible controlar el ataque de dichos artrópodos (corporales) por medio de baño, lavado de ropas personales a intervalos frecuentes y el empleo de pediculicidas (véase “Pediculosis” en esta sección). Es importante notificar los casos sospechosos de fiebre recurrente a las autoridades sanitarias para emprender una investigación inmediata e instituir medidas preventivas.</w:t>
      </w:r>
    </w:p>
    <w:p w14:paraId="73BD2E41" w14:textId="77777777" w:rsidR="00093A32" w:rsidRDefault="00093A32">
      <w:pPr>
        <w:pStyle w:val="Bodytext70"/>
        <w:spacing w:after="0"/>
      </w:pPr>
      <w:r>
        <w:t>Brucelosis</w:t>
      </w:r>
    </w:p>
    <w:p w14:paraId="3BA46D13" w14:textId="77777777" w:rsidR="00093A32" w:rsidRDefault="00093A32">
      <w:pPr>
        <w:pStyle w:val="BodyText"/>
        <w:ind w:firstLine="0"/>
        <w:rPr>
          <w:sz w:val="16"/>
          <w:szCs w:val="16"/>
        </w:r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brucelosis en niños generalmente es un trastorno leve de desaparición espontánea en comparación con la enfermedad crónica en los adultos. Sin embargo, en zonas en que la especie endémica es </w:t>
      </w:r>
      <w:r>
        <w:rPr>
          <w:rFonts w:ascii="Times New Roman" w:eastAsia="Times New Roman" w:hAnsi="Times New Roman" w:cs="Times New Roman"/>
          <w:i/>
          <w:iCs/>
          <w:sz w:val="16"/>
          <w:szCs w:val="16"/>
        </w:rPr>
        <w:t>Brucella melitensis,</w:t>
      </w:r>
      <w:r>
        <w:t xml:space="preserve"> el cuadro puede ser grave. La enfermedad puede comenzar en forma aguda o insidiosa. Sus manifestaciones son inespecíficas e incluyen fiebre, sudores nocturnos, debilidad, malestar general, anorexia, pérdida ponderal, artralgias, mialgias, dolor abdominal y cefaleas. Los signos físicos incluyen linfadenopatía, hepatosplenomegalia y a veces artritis. Entre las complicaciones graves están meningitis, endocarditis y osteomielitis. </w:t>
      </w: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Brucella</w:t>
      </w:r>
      <w:r>
        <w:t xml:space="preserve"> son cocobacilos pequeños, no móviles, gramnegativos. Las que infectan a los seres humanos son </w:t>
      </w:r>
      <w:r>
        <w:rPr>
          <w:rFonts w:ascii="Times New Roman" w:eastAsia="Times New Roman" w:hAnsi="Times New Roman" w:cs="Times New Roman"/>
          <w:i/>
          <w:iCs/>
          <w:sz w:val="16"/>
          <w:szCs w:val="16"/>
        </w:rPr>
        <w:t>Brucella abortus, B. melitensis, Brucella suis</w:t>
      </w:r>
      <w:r>
        <w:t xml:space="preserve"> y rara vez </w:t>
      </w:r>
      <w:r>
        <w:rPr>
          <w:rFonts w:ascii="Times New Roman" w:eastAsia="Times New Roman" w:hAnsi="Times New Roman" w:cs="Times New Roman"/>
          <w:i/>
          <w:iCs/>
          <w:sz w:val="16"/>
          <w:szCs w:val="16"/>
        </w:rPr>
        <w:t>Brucella canis.</w:t>
      </w:r>
    </w:p>
    <w:p w14:paraId="2DF93650" w14:textId="77777777" w:rsidR="00093A32" w:rsidRDefault="00093A32">
      <w:pPr>
        <w:pStyle w:val="BodyText"/>
        <w:ind w:firstLine="0"/>
        <w:sectPr w:rsidR="00093A32" w:rsidSect="00093A32">
          <w:headerReference w:type="even" r:id="rId73"/>
          <w:headerReference w:type="default" r:id="rId74"/>
          <w:footerReference w:type="even" r:id="rId75"/>
          <w:footerReference w:type="default" r:id="rId76"/>
          <w:headerReference w:type="first" r:id="rId77"/>
          <w:footerReference w:type="first" r:id="rId78"/>
          <w:footnotePr>
            <w:numFmt w:val="chicago"/>
          </w:footnotePr>
          <w:pgSz w:w="8501" w:h="13022"/>
          <w:pgMar w:top="708" w:right="805" w:bottom="440" w:left="770" w:header="0" w:footer="3" w:gutter="0"/>
          <w:cols w:space="720"/>
          <w:noEndnote/>
          <w:titlePg/>
          <w:docGrid w:linePitch="360"/>
          <w15:footnoteColumns w:val="1"/>
        </w:sectPr>
      </w:pPr>
      <w:r>
        <w:rPr>
          <w:b/>
          <w:bCs/>
        </w:rPr>
        <w:t>A</w:t>
      </w:r>
      <w:r>
        <w:rPr>
          <w:b/>
          <w:bCs/>
          <w:sz w:val="13"/>
          <w:szCs w:val="13"/>
        </w:rPr>
        <w:t>SPECTOS EPIDEMIOLÓGICOS</w:t>
      </w:r>
      <w:r>
        <w:rPr>
          <w:b/>
          <w:bCs/>
        </w:rPr>
        <w:t xml:space="preserve">: </w:t>
      </w:r>
      <w:r>
        <w:t xml:space="preserve">La brucelosis es una zoonosis de animales salvajes y domésticos. Los seres humanos son hospedadores accidentales y contraen la enfermedad por contacto directo con animales infectados, su carne en canal o secreciones o al ingerir leche o productos lácteos no pasteurizados. Están expuestos a un mayor peligro de contraer el trastorno personas en actividades como la agricultura, la cría de ganado, así como los veterinarios y los trabajadores de rastros, inspectores de carnes y personal de laboratorio. La infección se transmite por inoculación a través de cortadas y abrasiones cutáneas, al inhalar aerosoles contaminados, por contacto con la mucosa conjuntival o después de ingerir el microorganismo. En promedio, en Estados Unidos </w:t>
      </w:r>
    </w:p>
    <w:p w14:paraId="4CA56EAF" w14:textId="77777777" w:rsidR="00093A32" w:rsidRDefault="00093A32">
      <w:pPr>
        <w:pStyle w:val="BodyText"/>
        <w:ind w:firstLine="0"/>
      </w:pPr>
      <w:r>
        <w:t>cada año son notificados 100 casos de brucelosis, de los cuales, menos de 10% aparecen en niños menores de 19 años. Casi todos los casos son consecuencia de viajes al extranjero o de la ingestión de productos lácteos no pasteurizados. En raras ocasiones se ha corroborado la transmisión directa de una persona a otra.</w:t>
      </w:r>
    </w:p>
    <w:p w14:paraId="0193FE54" w14:textId="77777777" w:rsidR="00093A32" w:rsidRDefault="00093A32">
      <w:pPr>
        <w:pStyle w:val="BodyText"/>
        <w:ind w:firstLine="360"/>
      </w:pPr>
      <w:r>
        <w:t xml:space="preserve">El </w:t>
      </w:r>
      <w:r>
        <w:rPr>
          <w:b/>
          <w:bCs/>
        </w:rPr>
        <w:t xml:space="preserve">periodo de incubación </w:t>
      </w:r>
      <w:r>
        <w:t>varía de menos de una semana a varios meses, pero la enfermedad termina por manifestarse entre las tres y las cuatro semanas después de la exposición.</w:t>
      </w:r>
    </w:p>
    <w:p w14:paraId="25908C52" w14:textId="77777777" w:rsidR="00093A32" w:rsidRDefault="00093A32">
      <w:pPr>
        <w:pStyle w:val="BodyText"/>
        <w:spacing w:line="276" w:lineRule="auto"/>
        <w:ind w:firstLine="0"/>
      </w:pPr>
      <w:r>
        <w:rPr>
          <w:b/>
          <w:bCs/>
        </w:rPr>
        <w:t>M</w:t>
      </w:r>
      <w:r>
        <w:rPr>
          <w:b/>
          <w:bCs/>
          <w:sz w:val="13"/>
          <w:szCs w:val="13"/>
        </w:rPr>
        <w:t>ÉTODOS DIAGNÓSTICOS</w:t>
      </w:r>
      <w:r>
        <w:rPr>
          <w:b/>
          <w:bCs/>
        </w:rPr>
        <w:t xml:space="preserve">: </w:t>
      </w:r>
      <w:r>
        <w:t xml:space="preserve">El diagnóstico definitivo se corrobora al identificar </w:t>
      </w:r>
      <w:r>
        <w:rPr>
          <w:rFonts w:ascii="Times New Roman" w:eastAsia="Times New Roman" w:hAnsi="Times New Roman" w:cs="Times New Roman"/>
          <w:i/>
          <w:iCs/>
          <w:sz w:val="16"/>
          <w:szCs w:val="16"/>
        </w:rPr>
        <w:t xml:space="preserve">Brucella </w:t>
      </w:r>
      <w:r>
        <w:t xml:space="preserve">de sangre, médula ósea u otros tejidos. Diversos medios permitirán la proliferación de especies de </w:t>
      </w:r>
      <w:r>
        <w:rPr>
          <w:rFonts w:ascii="Times New Roman" w:eastAsia="Times New Roman" w:hAnsi="Times New Roman" w:cs="Times New Roman"/>
          <w:i/>
          <w:iCs/>
          <w:sz w:val="16"/>
          <w:szCs w:val="16"/>
        </w:rPr>
        <w:t>Brucella,</w:t>
      </w:r>
      <w:r>
        <w:t xml:space="preserve"> pero el personal de laboratorio debe incubar los cultivos durante cuatro semanas, como mínimo. En sujetos con una enfermedad clínicamente compatible, los estudios serológicos podrán confirmar el diagnóstico con un aumento de cuatro veces o más de títulos de anticuerpos en muestras de suero reunidas con una diferencia de dos semanas. El método más usado es el de aglutinación en suero </w:t>
      </w:r>
      <w:r>
        <w:rPr>
          <w:i/>
          <w:iCs/>
        </w:rPr>
        <w:t>(</w:t>
      </w:r>
      <w:r>
        <w:rPr>
          <w:rFonts w:ascii="Times New Roman" w:eastAsia="Times New Roman" w:hAnsi="Times New Roman" w:cs="Times New Roman"/>
          <w:i/>
          <w:iCs/>
          <w:sz w:val="16"/>
          <w:szCs w:val="16"/>
        </w:rPr>
        <w:t>serum agglutination test</w:t>
      </w:r>
      <w:r>
        <w:rPr>
          <w:i/>
          <w:iCs/>
        </w:rPr>
        <w:t>,</w:t>
      </w:r>
      <w:r>
        <w:t xml:space="preserve"> SAT) en el cual se detectarán anticuerpos contra </w:t>
      </w:r>
      <w:r>
        <w:rPr>
          <w:rFonts w:ascii="Times New Roman" w:eastAsia="Times New Roman" w:hAnsi="Times New Roman" w:cs="Times New Roman"/>
          <w:i/>
          <w:iCs/>
          <w:sz w:val="16"/>
          <w:szCs w:val="16"/>
        </w:rPr>
        <w:t>B. abortus, B. suis</w:t>
      </w:r>
      <w:r>
        <w:t xml:space="preserve"> y </w:t>
      </w:r>
      <w:r>
        <w:rPr>
          <w:rFonts w:ascii="Times New Roman" w:eastAsia="Times New Roman" w:hAnsi="Times New Roman" w:cs="Times New Roman"/>
          <w:i/>
          <w:iCs/>
          <w:sz w:val="16"/>
          <w:szCs w:val="16"/>
        </w:rPr>
        <w:t>B. melitensis,</w:t>
      </w:r>
      <w:r>
        <w:t xml:space="preserve"> pero no contra </w:t>
      </w:r>
      <w:r>
        <w:rPr>
          <w:rFonts w:ascii="Times New Roman" w:eastAsia="Times New Roman" w:hAnsi="Times New Roman" w:cs="Times New Roman"/>
          <w:i/>
          <w:iCs/>
          <w:sz w:val="16"/>
          <w:szCs w:val="16"/>
        </w:rPr>
        <w:t>B. canis</w:t>
      </w:r>
      <w:r>
        <w:t xml:space="preserve"> porque para ello se necesitaría el antígeno específico de tal </w:t>
      </w:r>
      <w:r>
        <w:rPr>
          <w:rFonts w:ascii="Times New Roman" w:eastAsia="Times New Roman" w:hAnsi="Times New Roman" w:cs="Times New Roman"/>
          <w:i/>
          <w:iCs/>
          <w:sz w:val="16"/>
          <w:szCs w:val="16"/>
        </w:rPr>
        <w:t>Brucella</w:t>
      </w:r>
      <w:r>
        <w:t xml:space="preserve">. Si bien un solo título no confirma el diagnóstico, muchos de los pacientes con infección activa tienen un título de 1:160 o mayor. Es posible detectar títulos más bajos en los comienzos de la infección. En las infecciones aguda o crónica, y en las recaídas, se advierten mayores concentraciones de aglutininas de tipo inmunoglobulina G (IgG). Al interpretar los resultados de SAT, hay que considerar la posibilidad de reacciones cruzadas de anticuerpos contra Brucella con los que surgen contra otras bacterias gramnegativas, como </w:t>
      </w:r>
      <w:r>
        <w:rPr>
          <w:rFonts w:ascii="Times New Roman" w:eastAsia="Times New Roman" w:hAnsi="Times New Roman" w:cs="Times New Roman"/>
          <w:i/>
          <w:iCs/>
          <w:sz w:val="16"/>
          <w:szCs w:val="16"/>
        </w:rPr>
        <w:t>Yersinia enterocolitica</w:t>
      </w:r>
      <w:r>
        <w:t xml:space="preserve"> serotipo 09, </w:t>
      </w:r>
      <w:r>
        <w:rPr>
          <w:rFonts w:ascii="Times New Roman" w:eastAsia="Times New Roman" w:hAnsi="Times New Roman" w:cs="Times New Roman"/>
          <w:i/>
          <w:iCs/>
          <w:sz w:val="16"/>
          <w:szCs w:val="16"/>
        </w:rPr>
        <w:t>Francisella tularensis</w:t>
      </w:r>
      <w:r>
        <w:t xml:space="preserve"> y </w:t>
      </w:r>
      <w:r>
        <w:rPr>
          <w:rFonts w:ascii="Times New Roman" w:eastAsia="Times New Roman" w:hAnsi="Times New Roman" w:cs="Times New Roman"/>
          <w:i/>
          <w:iCs/>
          <w:sz w:val="16"/>
          <w:szCs w:val="16"/>
        </w:rPr>
        <w:t>Vibrio cholerae.</w:t>
      </w:r>
      <w:r>
        <w:t xml:space="preserve"> Para evitar el fenómeno de prozona, habrá que diluir el suero a 1:320 o más antes de practicar la prueba. El inmunoanálisis enzimático es un método sensible para identificar anticuerpos de tipo IgG, IgA e IgM contra </w:t>
      </w:r>
      <w:r>
        <w:rPr>
          <w:rFonts w:ascii="Times New Roman" w:eastAsia="Times New Roman" w:hAnsi="Times New Roman" w:cs="Times New Roman"/>
          <w:i/>
          <w:iCs/>
          <w:sz w:val="16"/>
          <w:szCs w:val="16"/>
        </w:rPr>
        <w:t xml:space="preserve">Brucella. </w:t>
      </w:r>
      <w:r>
        <w:t xml:space="preserve">Mientras no se haga una mejor estandarización, habrá que pensar en los inmunoanálisis enzimáticos sólo en casos sospechosos que tengan resultados negativos en SAT o para valorar pacientes en que se sospeche recaída o una reinfección. Se cuenta con la reacción en cadena de polimerasa, pero no la practican muchos de los laboratorios clínicos. </w:t>
      </w:r>
      <w:r>
        <w:rPr>
          <w:b/>
          <w:bCs/>
        </w:rPr>
        <w:t>T</w:t>
      </w:r>
      <w:r>
        <w:rPr>
          <w:b/>
          <w:bCs/>
          <w:sz w:val="13"/>
          <w:szCs w:val="13"/>
        </w:rPr>
        <w:t>RATAMIENTO</w:t>
      </w:r>
      <w:r>
        <w:rPr>
          <w:b/>
          <w:bCs/>
        </w:rPr>
        <w:t xml:space="preserve">: </w:t>
      </w:r>
      <w:r>
        <w:t xml:space="preserve">Se necesita la administración prolongada de antimicrobianos para obtener la curación. Las recidivas por lo común no dependen de la generación de resistencia por parte de </w:t>
      </w:r>
      <w:r>
        <w:rPr>
          <w:rFonts w:ascii="Times New Roman" w:eastAsia="Times New Roman" w:hAnsi="Times New Roman" w:cs="Times New Roman"/>
          <w:i/>
          <w:iCs/>
          <w:sz w:val="16"/>
          <w:szCs w:val="16"/>
        </w:rPr>
        <w:t>Brucella</w:t>
      </w:r>
      <w:r>
        <w:t>, sino más bien de la interrupción prematura del tratamiento.</w:t>
      </w:r>
    </w:p>
    <w:p w14:paraId="3563FB49" w14:textId="77777777" w:rsidR="00093A32" w:rsidRDefault="00093A32">
      <w:pPr>
        <w:pStyle w:val="BodyText"/>
        <w:ind w:firstLine="360"/>
      </w:pPr>
      <w:r>
        <w:t>Durante cuatro a seis semanas habrá que administrar 2 a 4 mg de doxiciclina ingerible/kg de peso al día; máximo, 200 mg/día en dos fracciones (o 30 a 40 mg de tetraciclina ingerible/kg al día; máximo 2 g/día en cuatro fracciones). Sin embargo, es mejor no usar tetraciclina ni doxiciclina en la medida de lo posible en niños menores de ocho años (véase “Antimicrobianos y fármacos similares”, sección 4). Otros fármacos adecuados para pacientes de menor edad son el trimetoprim-sulfametoxazol ingerible (trimetoprim, 10 mg/kg de peso al día; dosis máxima, 480 mg/día y sulfametoxazol, 50 mg/kg de peso al día; dosis máxima, 2.4 g/día) en dos fracciones durante cuatro a seis semanas.</w:t>
      </w:r>
    </w:p>
    <w:p w14:paraId="57ABE829" w14:textId="77777777" w:rsidR="00093A32" w:rsidRDefault="00093A32">
      <w:pPr>
        <w:pStyle w:val="BodyText"/>
        <w:ind w:firstLine="360"/>
      </w:pPr>
      <w:r>
        <w:t>Para disminuir la incidencia de recaídas, muchos expertos recomiendan la terapia por combinación a base de una tetraciclina (o trimetoprim-sulfametoxazol si están contraindicadas las tetraciclinas) y rifampicina (15 a 20 mg/kg de peso al día; máximo, 600 a 900 mg/día en una o dos fracciones). Ante la posibilidad de que surja resistencia a la rifampicina no se recomienda usarla como fármaco único.</w:t>
      </w:r>
    </w:p>
    <w:p w14:paraId="78F65DBC" w14:textId="77777777" w:rsidR="00093A32" w:rsidRDefault="00093A32">
      <w:pPr>
        <w:pStyle w:val="BodyText"/>
        <w:ind w:firstLine="360"/>
      </w:pPr>
      <w:r>
        <w:t>Para tratar una infección grave o complicaciones, incluidas endocarditis, meningitis y osteomielitis, es recomendable administrar los sulfatos de estreptomicina o gentamicina en los primeros siete a 14 días de terapia, además de la tetraciclina (o trimetoprim-sulfametoxazol, si está contraindicada la tetraciclina). Además, puede administrarse la rifampicina con este régimen para disminuir la frecuencia de recidiva. En caso de complicaciones letales de la brucelosis, como meningitis o endocarditis, habrá que prolongar el tratamiento durante varios meses.</w:t>
      </w:r>
    </w:p>
    <w:p w14:paraId="1E76E445" w14:textId="77777777" w:rsidR="00093A32" w:rsidRDefault="00093A32">
      <w:pPr>
        <w:pStyle w:val="BodyText"/>
        <w:ind w:firstLine="360"/>
      </w:pPr>
      <w:r>
        <w:t>No se han corroborado los beneficios de los corticosteroides en personas con brucelosis del sistema nervioso. A veces, poco después de comenzar la administración de los antimicrobianos, surge una reacción de Jarisch-Herxheimer (reacción febril aguda, que incluye cefalea, mialgias y un cuadro clínico agravado que dura menos de 24 h), pero en raras ocasiones tal reacción causa gravedad tal que justifique el uso de corticosteroides.</w:t>
      </w:r>
    </w:p>
    <w:p w14:paraId="521FDEFE"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conviene emprender las precauciones para evitar la transmisión por contacto en sujetos con heridas húmedas, es decir que tienen algún tipo de secreción.</w:t>
      </w:r>
    </w:p>
    <w:p w14:paraId="2BBA8B65" w14:textId="77777777" w:rsidR="00093A32" w:rsidRDefault="00093A32">
      <w:pPr>
        <w:pStyle w:val="BodyText"/>
        <w:spacing w:after="120"/>
        <w:ind w:firstLine="0"/>
      </w:pPr>
      <w:r>
        <w:rPr>
          <w:b/>
          <w:bCs/>
        </w:rPr>
        <w:t>M</w:t>
      </w:r>
      <w:r>
        <w:rPr>
          <w:b/>
          <w:bCs/>
          <w:sz w:val="13"/>
          <w:szCs w:val="13"/>
        </w:rPr>
        <w:t>EDIDAS PREVENTIVAS</w:t>
      </w:r>
      <w:r>
        <w:rPr>
          <w:b/>
          <w:bCs/>
        </w:rPr>
        <w:t xml:space="preserve">: </w:t>
      </w:r>
      <w:r>
        <w:t xml:space="preserve">La erradicación de la brucelosis en seres humanos depende de la desaparición de la especie de </w:t>
      </w:r>
      <w:r>
        <w:rPr>
          <w:rFonts w:ascii="Times New Roman" w:eastAsia="Times New Roman" w:hAnsi="Times New Roman" w:cs="Times New Roman"/>
          <w:i/>
          <w:iCs/>
          <w:sz w:val="16"/>
          <w:szCs w:val="16"/>
        </w:rPr>
        <w:t>Brucella</w:t>
      </w:r>
      <w:r>
        <w:t xml:space="preserve"> de ganado vacuno, caprino, ovino y de otros animales. La pasteurización de la leche y de los productos lácteos para consumo humano es especialmente importante para evitar la enfermedad en niños. La certificación de la leche cruda no elimina el peligro de transmisión de los microorganismos. En áreas endémicas, son de máxima importancia la práctica obligatoria de las medidas de erradicación y la enseñanza que se brinde al respecto.</w:t>
      </w:r>
    </w:p>
    <w:p w14:paraId="2E82625B" w14:textId="77777777" w:rsidR="00093A32" w:rsidRDefault="00093A32">
      <w:pPr>
        <w:pStyle w:val="Bodytext70"/>
        <w:spacing w:after="0" w:line="156" w:lineRule="auto"/>
      </w:pPr>
      <w:r>
        <w:rPr>
          <w:i/>
          <w:iCs/>
        </w:rPr>
        <w:t>Burkholderia,</w:t>
      </w:r>
      <w:r>
        <w:t xml:space="preserve"> infecciones</w:t>
      </w:r>
    </w:p>
    <w:p w14:paraId="5B040D88" w14:textId="77777777" w:rsidR="00093A32" w:rsidRDefault="00093A32">
      <w:pPr>
        <w:pStyle w:val="BodyText"/>
        <w:spacing w:line="271" w:lineRule="auto"/>
        <w:ind w:firstLine="0"/>
      </w:pPr>
      <w:r>
        <w:rPr>
          <w:b/>
          <w:bCs/>
        </w:rPr>
        <w:t>M</w:t>
      </w:r>
      <w:r>
        <w:rPr>
          <w:b/>
          <w:bCs/>
          <w:sz w:val="13"/>
          <w:szCs w:val="13"/>
        </w:rPr>
        <w:t>ANIFESTACIONES CLÍNICAS</w:t>
      </w:r>
      <w:r>
        <w:rPr>
          <w:b/>
          <w:bCs/>
        </w:rPr>
        <w:t xml:space="preserve">: </w:t>
      </w:r>
      <w:r>
        <w:t xml:space="preserve">El complejo de </w:t>
      </w:r>
      <w:r>
        <w:rPr>
          <w:rFonts w:ascii="Times New Roman" w:eastAsia="Times New Roman" w:hAnsi="Times New Roman" w:cs="Times New Roman"/>
          <w:i/>
          <w:iCs/>
          <w:sz w:val="16"/>
          <w:szCs w:val="16"/>
        </w:rPr>
        <w:t>Burkholderia cepacia</w:t>
      </w:r>
      <w:r>
        <w:t xml:space="preserve"> ha sido vinculado con la aparición de infecciones pulmonares graves en sujetos con fibrosis quística, con bacteriemia notable en prematuros que necesitan hospitalización duradera y con la infección en niños con enfermedad granulomatosa crónica, hemoglobinopatías o cánceres. Las infecciones nosocomiales incluyen las de heridas y vías urinarias, y neumonía. Las infecciones pulmonares en personas con fibrosis quística surgen tardíamente en la evolución de la enfermedad, por lo común después de que se ha establecido la infección por </w:t>
      </w:r>
      <w:r>
        <w:rPr>
          <w:rFonts w:ascii="Times New Roman" w:eastAsia="Times New Roman" w:hAnsi="Times New Roman" w:cs="Times New Roman"/>
          <w:i/>
          <w:iCs/>
          <w:sz w:val="16"/>
          <w:szCs w:val="16"/>
        </w:rPr>
        <w:t>Pseudomonas aeruginosa.</w:t>
      </w:r>
      <w:r>
        <w:t xml:space="preserve"> Los sujetos que muestran </w:t>
      </w:r>
      <w:r>
        <w:rPr>
          <w:rFonts w:ascii="Times New Roman" w:eastAsia="Times New Roman" w:hAnsi="Times New Roman" w:cs="Times New Roman"/>
          <w:i/>
          <w:iCs/>
          <w:sz w:val="16"/>
          <w:szCs w:val="16"/>
        </w:rPr>
        <w:t>Burkholderia</w:t>
      </w:r>
      <w:r>
        <w:t xml:space="preserve"> en los cultivos (positivos) tal vez no muestren cambios en el ritmo de descompensación pulmonar, terminen por mostrar una infección crónica con un deterioro más rápido de la función de los pulmones o muestren un deterioro inesperadamente rápido en su estado clínico que culmine en la muerte. En la enfermedad granulomatosa crónica, la neumonía es la infección más frecuente causada por el complejo de </w:t>
      </w:r>
      <w:r>
        <w:rPr>
          <w:rFonts w:ascii="Times New Roman" w:eastAsia="Times New Roman" w:hAnsi="Times New Roman" w:cs="Times New Roman"/>
          <w:i/>
          <w:iCs/>
          <w:sz w:val="16"/>
          <w:szCs w:val="16"/>
        </w:rPr>
        <w:t>B. cepacia;</w:t>
      </w:r>
      <w:r>
        <w:t xml:space="preserve"> también se ha señalado la presencia de linfadenitis. La enfermedad comienza de manera incidiosa, con febrícula en el inicio y manifestaciones sistémicas tres a cuatro semanas después. El derrame pleural es común y se ha descrito la aparición de abscesos en pulmones.</w:t>
      </w:r>
    </w:p>
    <w:p w14:paraId="4587F764" w14:textId="77777777" w:rsidR="00093A32" w:rsidRDefault="00093A32">
      <w:pPr>
        <w:pStyle w:val="BodyText"/>
        <w:spacing w:after="60" w:line="276" w:lineRule="auto"/>
        <w:ind w:firstLine="360"/>
      </w:pPr>
      <w:r>
        <w:rPr>
          <w:rFonts w:ascii="Times New Roman" w:eastAsia="Times New Roman" w:hAnsi="Times New Roman" w:cs="Times New Roman"/>
          <w:i/>
          <w:iCs/>
          <w:sz w:val="16"/>
          <w:szCs w:val="16"/>
        </w:rPr>
        <w:t>Burkholderia pseudomallei</w:t>
      </w:r>
      <w:r>
        <w:t xml:space="preserve"> es la causa de melioidosis en la población rural del sureste asiático. La melioidosis puede asumir la forma de una infección localizada o de septicemia fulminante. La primera variante por lo común no es letal y muy a menudo se manifiesta como neumonía, pero también puede haber infecciones de piel, partes blandas y esqueleto. En la variante diseminada pueden surgir abscesos de hígado y bazo, y las recaídas son frecuentes.</w:t>
      </w:r>
    </w:p>
    <w:p w14:paraId="0C2AA121" w14:textId="77777777" w:rsidR="00093A32" w:rsidRDefault="00093A32">
      <w:pPr>
        <w:pStyle w:val="BodyText"/>
        <w:ind w:firstLine="360"/>
      </w:pPr>
      <w:r>
        <w:t>Para tratar una infección grave o complicaciones, incluidas endocarditis, meningitis y osteomielitis, es recomendable administrar los sulfatos de estreptomicina o gentamicina en los primeros siete a 14 días de terapia, además de la tetraciclina (o trimetoprim-sulfametoxazol, si está contraindicada la tetraciclina). Además, puede administrarse la rifampicina con este régimen para disminuir la frecuencia de recidiva. En caso de complicaciones letales de la brucelosis, como meningitis o endocarditis, habrá que prolongar el tratamiento durante varios meses.</w:t>
      </w:r>
    </w:p>
    <w:p w14:paraId="5A7434BF" w14:textId="77777777" w:rsidR="00093A32" w:rsidRDefault="00093A32">
      <w:pPr>
        <w:pStyle w:val="BodyText"/>
        <w:ind w:firstLine="360"/>
      </w:pPr>
      <w:r>
        <w:t>No se han corroborado los beneficios de los corticosteroides en personas con brucelosis del sistema nervioso. A veces, poco después de comenzar la administración de los antimicrobianos, surge una reacción de Jarisch-Herxheimer (reacción febril aguda, que incluye cefalea, mialgias y un cuadro clínico agravado que dura menos de 24 h), pero en raras ocasiones tal reacción causa gravedad tal que justifique el uso de corticosteroides.</w:t>
      </w:r>
    </w:p>
    <w:p w14:paraId="37186159"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conviene emprender las precauciones para evitar la transmisión por contacto en sujetos con heridas húmedas, es decir que tienen algún tipo de secreción.</w:t>
      </w:r>
    </w:p>
    <w:p w14:paraId="3D5B64A1" w14:textId="77777777" w:rsidR="00093A32" w:rsidRDefault="00093A32">
      <w:pPr>
        <w:pStyle w:val="BodyText"/>
        <w:spacing w:after="120"/>
        <w:ind w:firstLine="0"/>
      </w:pPr>
      <w:r>
        <w:rPr>
          <w:b/>
          <w:bCs/>
        </w:rPr>
        <w:t>M</w:t>
      </w:r>
      <w:r>
        <w:rPr>
          <w:b/>
          <w:bCs/>
          <w:sz w:val="13"/>
          <w:szCs w:val="13"/>
        </w:rPr>
        <w:t>EDIDAS PREVENTIVAS</w:t>
      </w:r>
      <w:r>
        <w:rPr>
          <w:b/>
          <w:bCs/>
        </w:rPr>
        <w:t xml:space="preserve">: </w:t>
      </w:r>
      <w:r>
        <w:t xml:space="preserve">La erradicación de la brucelosis en seres humanos depende de la desaparición de la especie de </w:t>
      </w:r>
      <w:r>
        <w:rPr>
          <w:rFonts w:ascii="Times New Roman" w:eastAsia="Times New Roman" w:hAnsi="Times New Roman" w:cs="Times New Roman"/>
          <w:i/>
          <w:iCs/>
          <w:sz w:val="16"/>
          <w:szCs w:val="16"/>
        </w:rPr>
        <w:t>Brucella</w:t>
      </w:r>
      <w:r>
        <w:t xml:space="preserve"> de ganado vacuno, caprino, ovino y de otros animales. La pasteurización de la leche y de los productos lácteos para consumo humano es especialmente importante para evitar la enfermedad en niños. La certificación de la leche cruda no elimina el peligro de transmisión de los microorganismos. En áreas endémicas, son de máxima importancia la práctica obligatoria de las medidas de erradicación y la enseñanza que se brinde al respecto.</w:t>
      </w:r>
    </w:p>
    <w:p w14:paraId="76305165" w14:textId="77777777" w:rsidR="00093A32" w:rsidRDefault="00093A32">
      <w:pPr>
        <w:pStyle w:val="Bodytext70"/>
        <w:spacing w:after="0" w:line="156" w:lineRule="auto"/>
      </w:pPr>
      <w:r>
        <w:rPr>
          <w:i/>
          <w:iCs/>
        </w:rPr>
        <w:t>Burkholderia,</w:t>
      </w:r>
      <w:r>
        <w:t xml:space="preserve"> infecciones</w:t>
      </w:r>
    </w:p>
    <w:p w14:paraId="36AF98E3" w14:textId="77777777" w:rsidR="00093A32" w:rsidRDefault="00093A32">
      <w:pPr>
        <w:pStyle w:val="BodyText"/>
        <w:spacing w:line="271" w:lineRule="auto"/>
        <w:ind w:firstLine="0"/>
      </w:pPr>
      <w:r>
        <w:rPr>
          <w:b/>
          <w:bCs/>
        </w:rPr>
        <w:t>M</w:t>
      </w:r>
      <w:r>
        <w:rPr>
          <w:b/>
          <w:bCs/>
          <w:sz w:val="13"/>
          <w:szCs w:val="13"/>
        </w:rPr>
        <w:t>ANIFESTACIONES CLÍNICAS</w:t>
      </w:r>
      <w:r>
        <w:rPr>
          <w:b/>
          <w:bCs/>
        </w:rPr>
        <w:t xml:space="preserve">: </w:t>
      </w:r>
      <w:r>
        <w:t xml:space="preserve">El complejo de </w:t>
      </w:r>
      <w:r>
        <w:rPr>
          <w:rFonts w:ascii="Times New Roman" w:eastAsia="Times New Roman" w:hAnsi="Times New Roman" w:cs="Times New Roman"/>
          <w:i/>
          <w:iCs/>
          <w:sz w:val="16"/>
          <w:szCs w:val="16"/>
        </w:rPr>
        <w:t>Burkholderia cepacia</w:t>
      </w:r>
      <w:r>
        <w:t xml:space="preserve"> ha sido vinculado con la aparición de infecciones pulmonares graves en sujetos con fibrosis quística, con bacteriemia notable en prematuros que necesitan hospitalización duradera y con la infección en niños con enfermedad granulomatosa crónica, hemoglobinopatías o cánceres. Las infecciones nosocomiales incluyen las de heridas y vías urinarias, y neumonía. Las infecciones pulmonares en personas con fibrosis quística surgen tardíamente en la evolución de la enfermedad, por lo común después de que se ha establecido la infección por </w:t>
      </w:r>
      <w:r>
        <w:rPr>
          <w:rFonts w:ascii="Times New Roman" w:eastAsia="Times New Roman" w:hAnsi="Times New Roman" w:cs="Times New Roman"/>
          <w:i/>
          <w:iCs/>
          <w:sz w:val="16"/>
          <w:szCs w:val="16"/>
        </w:rPr>
        <w:t>Pseudomonas aeruginosa.</w:t>
      </w:r>
      <w:r>
        <w:t xml:space="preserve"> Los sujetos que muestran </w:t>
      </w:r>
      <w:r>
        <w:rPr>
          <w:rFonts w:ascii="Times New Roman" w:eastAsia="Times New Roman" w:hAnsi="Times New Roman" w:cs="Times New Roman"/>
          <w:i/>
          <w:iCs/>
          <w:sz w:val="16"/>
          <w:szCs w:val="16"/>
        </w:rPr>
        <w:t>Burkholderia</w:t>
      </w:r>
      <w:r>
        <w:t xml:space="preserve"> en los cultivos (positivos) tal vez no muestren cambios en el ritmo de descompensación pulmonar, terminen por mostrar una infección crónica con un deterioro más rápido de la función de los pulmones o muestren un deterioro inesperadamente rápido en su estado clínico que culmine en la muerte. En la enfermedad granulomatosa crónica, la neumonía es la infección más frecuente causada por el complejo de </w:t>
      </w:r>
      <w:r>
        <w:rPr>
          <w:rFonts w:ascii="Times New Roman" w:eastAsia="Times New Roman" w:hAnsi="Times New Roman" w:cs="Times New Roman"/>
          <w:i/>
          <w:iCs/>
          <w:sz w:val="16"/>
          <w:szCs w:val="16"/>
        </w:rPr>
        <w:t>B. cepacia;</w:t>
      </w:r>
      <w:r>
        <w:t xml:space="preserve"> también se ha señalado la presencia de linfadenitis. La enfermedad comienza de manera incidiosa, con febrícula en el inicio y manifestaciones sistémicas tres a cuatro semanas después. El derrame pleural es común y se ha descrito la aparición de abscesos en pulmones.</w:t>
      </w:r>
    </w:p>
    <w:p w14:paraId="0989066C" w14:textId="77777777" w:rsidR="00093A32" w:rsidRDefault="00093A32">
      <w:pPr>
        <w:pStyle w:val="BodyText"/>
        <w:spacing w:after="60" w:line="276" w:lineRule="auto"/>
        <w:ind w:firstLine="360"/>
        <w:sectPr w:rsidR="00093A32" w:rsidSect="00093A32">
          <w:headerReference w:type="even" r:id="rId79"/>
          <w:headerReference w:type="default" r:id="rId80"/>
          <w:footerReference w:type="even" r:id="rId81"/>
          <w:footerReference w:type="default" r:id="rId82"/>
          <w:headerReference w:type="first" r:id="rId83"/>
          <w:footerReference w:type="first" r:id="rId84"/>
          <w:footnotePr>
            <w:numFmt w:val="chicago"/>
          </w:footnotePr>
          <w:pgSz w:w="8501" w:h="13022"/>
          <w:pgMar w:top="708" w:right="805" w:bottom="440" w:left="770" w:header="0" w:footer="3" w:gutter="0"/>
          <w:cols w:space="720"/>
          <w:noEndnote/>
          <w:titlePg/>
          <w:docGrid w:linePitch="360"/>
          <w15:footnoteColumns w:val="1"/>
        </w:sectPr>
      </w:pPr>
      <w:r>
        <w:rPr>
          <w:rFonts w:ascii="Times New Roman" w:eastAsia="Times New Roman" w:hAnsi="Times New Roman" w:cs="Times New Roman"/>
          <w:i/>
          <w:iCs/>
          <w:sz w:val="16"/>
          <w:szCs w:val="16"/>
        </w:rPr>
        <w:t>Burkholderia pseudomallei</w:t>
      </w:r>
      <w:r>
        <w:t xml:space="preserve"> es la causa de melioidosis en la población rural del sureste asiático. La melioidosis puede asumir la forma de una infección localizada o de septicemia fulminante. La primera variante por lo común no es letal y muy a menudo se manifiesta como neumonía, pero también puede haber infecciones de piel, partes blandas y esqueleto. En la variante diseminada pueden surgir abscesos de hígado y bazo, y las recaídas son frecuentes.</w:t>
      </w:r>
    </w:p>
    <w:p w14:paraId="68C81B6C" w14:textId="77777777" w:rsidR="00093A32" w:rsidRDefault="00093A32">
      <w:pPr>
        <w:pStyle w:val="BodyText"/>
        <w:spacing w:line="276" w:lineRule="auto"/>
        <w:ind w:firstLine="0"/>
        <w:rPr>
          <w:sz w:val="16"/>
          <w:szCs w:val="16"/>
        </w:rPr>
      </w:pPr>
      <w:r>
        <w:rPr>
          <w:b/>
          <w:bCs/>
        </w:rPr>
        <w:t>C</w:t>
      </w:r>
      <w:r>
        <w:rPr>
          <w:b/>
          <w:bCs/>
          <w:sz w:val="13"/>
          <w:szCs w:val="13"/>
        </w:rPr>
        <w:t>AUSAS</w:t>
      </w:r>
      <w:r>
        <w:rPr>
          <w:b/>
          <w:bCs/>
        </w:rPr>
        <w:t xml:space="preserve">: </w:t>
      </w:r>
      <w:r>
        <w:t xml:space="preserve">Los miembros del género </w:t>
      </w:r>
      <w:r>
        <w:rPr>
          <w:rFonts w:ascii="Times New Roman" w:eastAsia="Times New Roman" w:hAnsi="Times New Roman" w:cs="Times New Roman"/>
          <w:i/>
          <w:iCs/>
          <w:sz w:val="16"/>
          <w:szCs w:val="16"/>
        </w:rPr>
        <w:t>Burkholderia</w:t>
      </w:r>
      <w:r>
        <w:t xml:space="preserve"> son bacilos gramnegativos, que no fermentan la lactosa, que producen catalasa y cuya preferencia nutricional es heterogénea. El complejo de </w:t>
      </w:r>
      <w:r>
        <w:rPr>
          <w:rFonts w:ascii="Times New Roman" w:eastAsia="Times New Roman" w:hAnsi="Times New Roman" w:cs="Times New Roman"/>
          <w:i/>
          <w:iCs/>
          <w:sz w:val="16"/>
          <w:szCs w:val="16"/>
        </w:rPr>
        <w:t>Burkholderia cepacia</w:t>
      </w:r>
      <w:r>
        <w:t xml:space="preserve"> comprende como mínimo siete especies, y cuatro han recibido nombres especiales </w:t>
      </w:r>
      <w:r>
        <w:rPr>
          <w:rFonts w:ascii="Times New Roman" w:eastAsia="Times New Roman" w:hAnsi="Times New Roman" w:cs="Times New Roman"/>
          <w:i/>
          <w:iCs/>
          <w:sz w:val="16"/>
          <w:szCs w:val="16"/>
        </w:rPr>
        <w:t>(Burkholderia multivorans, Burkholderia vietnamiensis, Burkholderia stabilis</w:t>
      </w:r>
      <w:r>
        <w:t xml:space="preserve"> y </w:t>
      </w:r>
      <w:r>
        <w:rPr>
          <w:rFonts w:ascii="Times New Roman" w:eastAsia="Times New Roman" w:hAnsi="Times New Roman" w:cs="Times New Roman"/>
          <w:i/>
          <w:iCs/>
          <w:sz w:val="16"/>
          <w:szCs w:val="16"/>
        </w:rPr>
        <w:t>Burkholderia ambifaria).</w:t>
      </w:r>
    </w:p>
    <w:p w14:paraId="5FD0F54B" w14:textId="77777777" w:rsidR="00093A32" w:rsidRDefault="00093A32">
      <w:pPr>
        <w:pStyle w:val="BodyText"/>
        <w:ind w:firstLine="0"/>
        <w:rPr>
          <w:sz w:val="16"/>
          <w:szCs w:val="16"/>
        </w:rPr>
      </w:pPr>
      <w:r>
        <w:rPr>
          <w:b/>
          <w:bCs/>
        </w:rPr>
        <w:t>A</w:t>
      </w:r>
      <w:r>
        <w:rPr>
          <w:b/>
          <w:bCs/>
          <w:sz w:val="13"/>
          <w:szCs w:val="13"/>
        </w:rPr>
        <w:t>SPECTOS EPIDEMIOLÓGICOS</w:t>
      </w:r>
      <w:r>
        <w:rPr>
          <w:b/>
          <w:bCs/>
        </w:rPr>
        <w:t xml:space="preserve">: </w:t>
      </w:r>
      <w:r>
        <w:t xml:space="preserve">Todas las especies de </w:t>
      </w:r>
      <w:r>
        <w:rPr>
          <w:rFonts w:ascii="Times New Roman" w:eastAsia="Times New Roman" w:hAnsi="Times New Roman" w:cs="Times New Roman"/>
          <w:i/>
          <w:iCs/>
          <w:sz w:val="16"/>
          <w:szCs w:val="16"/>
        </w:rPr>
        <w:t>Burkholderia</w:t>
      </w:r>
      <w:r>
        <w:t xml:space="preserve"> son patógenas para animales o plantas, pero no lo son en los hospedadores humanos inmunocompetentes. Las especies en cuestión son gérmenes transportados por el agua y la tierra que sobreviven largo tiempo en un medio húmedo. Los estudios epidemiológicos de campamentos y de otros eventos sociales al que acuden personas con fibrosis quística, de diferentes áreas geográficas, han demostrado la propagación de persona a persona de </w:t>
      </w:r>
      <w:r>
        <w:rPr>
          <w:rFonts w:ascii="Times New Roman" w:eastAsia="Times New Roman" w:hAnsi="Times New Roman" w:cs="Times New Roman"/>
          <w:i/>
          <w:iCs/>
          <w:sz w:val="16"/>
          <w:szCs w:val="16"/>
        </w:rPr>
        <w:t>B. cepacia.</w:t>
      </w:r>
      <w:r>
        <w:t xml:space="preserve"> No se ha identificado el mecanismo de contagio de dicho germen por parte de sujetos con enfermedad granulomatosa crónica. La propagación nosocomial de tal microorganismo muy a menudo se vincula con la contaminación de soluciones desinfectantes utilizadas para limpiar equipo reutilizable de pacientes, como broncoscopios y transductores tensionales, o para desinfectar la piel. Se ha aislado </w:t>
      </w:r>
      <w:r>
        <w:rPr>
          <w:rFonts w:ascii="Times New Roman" w:eastAsia="Times New Roman" w:hAnsi="Times New Roman" w:cs="Times New Roman"/>
          <w:i/>
          <w:iCs/>
          <w:sz w:val="16"/>
          <w:szCs w:val="16"/>
        </w:rPr>
        <w:t>Burkholderia gladioli</w:t>
      </w:r>
      <w:r>
        <w:t xml:space="preserve"> del esputo de personas con fibrosis quística y pudiera ser tomada erróneamente por </w:t>
      </w:r>
      <w:r>
        <w:rPr>
          <w:rFonts w:ascii="Times New Roman" w:eastAsia="Times New Roman" w:hAnsi="Times New Roman" w:cs="Times New Roman"/>
          <w:i/>
          <w:iCs/>
          <w:sz w:val="16"/>
          <w:szCs w:val="16"/>
        </w:rPr>
        <w:t>B. cepacia.</w:t>
      </w:r>
      <w:r>
        <w:t xml:space="preserve"> Se desconoce la importancia clínica de </w:t>
      </w:r>
      <w:r>
        <w:rPr>
          <w:rFonts w:ascii="Times New Roman" w:eastAsia="Times New Roman" w:hAnsi="Times New Roman" w:cs="Times New Roman"/>
          <w:i/>
          <w:iCs/>
          <w:sz w:val="16"/>
          <w:szCs w:val="16"/>
        </w:rPr>
        <w:t>B. gladioli.</w:t>
      </w:r>
    </w:p>
    <w:p w14:paraId="6E5F3022" w14:textId="77777777" w:rsidR="00093A32" w:rsidRDefault="00093A32">
      <w:pPr>
        <w:pStyle w:val="BodyText"/>
        <w:ind w:firstLine="360"/>
      </w:pPr>
      <w:r>
        <w:rPr>
          <w:rFonts w:ascii="Times New Roman" w:eastAsia="Times New Roman" w:hAnsi="Times New Roman" w:cs="Times New Roman"/>
          <w:i/>
          <w:iCs/>
          <w:sz w:val="16"/>
          <w:szCs w:val="16"/>
        </w:rPr>
        <w:t>Burkholderia pseudomallei</w:t>
      </w:r>
      <w:r>
        <w:t xml:space="preserve"> suele transmitirse en los comienzos de la vida, y entre los seis y 42 meses de vida surgen las máximas cifras de seroconversión. La infección sintomática puede aparecer incluso desde el primer año de edad. Entre los factores de peligro están diabetes mellitus y disfunción renal.</w:t>
      </w:r>
    </w:p>
    <w:p w14:paraId="54C68C26"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cultivo es el medio más adecuado para diagnosticar infección por </w:t>
      </w:r>
      <w:r>
        <w:rPr>
          <w:rFonts w:ascii="Times New Roman" w:eastAsia="Times New Roman" w:hAnsi="Times New Roman" w:cs="Times New Roman"/>
          <w:i/>
          <w:iCs/>
          <w:sz w:val="16"/>
          <w:szCs w:val="16"/>
        </w:rPr>
        <w:t>B. cepacia.</w:t>
      </w:r>
      <w:r>
        <w:t xml:space="preserve"> En la infección pulmonar de la fibrosis quística, se recomienda cultivar el esputo en agar selectivo para aminorar la posibilidad de proliferación excesiva de </w:t>
      </w:r>
      <w:r>
        <w:rPr>
          <w:rFonts w:ascii="Times New Roman" w:eastAsia="Times New Roman" w:hAnsi="Times New Roman" w:cs="Times New Roman"/>
          <w:i/>
          <w:iCs/>
          <w:sz w:val="16"/>
          <w:szCs w:val="16"/>
        </w:rPr>
        <w:t>P. aeruginosa mucoide. Burkholderia cepacia</w:t>
      </w:r>
      <w:r>
        <w:t xml:space="preserve"> y </w:t>
      </w:r>
      <w:r>
        <w:rPr>
          <w:rFonts w:ascii="Times New Roman" w:eastAsia="Times New Roman" w:hAnsi="Times New Roman" w:cs="Times New Roman"/>
          <w:i/>
          <w:iCs/>
          <w:sz w:val="16"/>
          <w:szCs w:val="16"/>
        </w:rPr>
        <w:t>B. gladioli</w:t>
      </w:r>
      <w:r>
        <w:t xml:space="preserve"> se pueden identificar con la reacción en cadena de polimerasa, aunque tal método no se le practica de manera habitual. El diagnóstico de melioidosis se hace al aislar </w:t>
      </w:r>
      <w:r>
        <w:rPr>
          <w:rFonts w:ascii="Times New Roman" w:eastAsia="Times New Roman" w:hAnsi="Times New Roman" w:cs="Times New Roman"/>
          <w:i/>
          <w:iCs/>
          <w:sz w:val="16"/>
          <w:szCs w:val="16"/>
        </w:rPr>
        <w:t>B. pseudomallei</w:t>
      </w:r>
      <w:r>
        <w:t xml:space="preserve"> de la sangre u otros sitios infectados. El método de hemaglutinación indirecta se utiliza muy a menudo en niños de corta edad, y la positividad de tal método permite una predicción más válida de infección en este grupo de edad, que en niños mayores y en adultos. Otros métodos rápidos para el diagnóstico de melioidosis incluyen la prueba de anticuerpos fluorescentes directos para identificar el microorganismo en el esputo, un inmunoanálisis enzimático a base de inmunoglobulina M, un método con anticuerpos monoclonales y las sondas de ácido desoxirribonucleico.</w:t>
      </w:r>
    </w:p>
    <w:p w14:paraId="5FFB7B20" w14:textId="77777777" w:rsidR="00093A32" w:rsidRDefault="00093A32">
      <w:pPr>
        <w:pStyle w:val="BodyText"/>
        <w:ind w:firstLine="0"/>
      </w:pPr>
      <w:r>
        <w:rPr>
          <w:b/>
          <w:bCs/>
        </w:rPr>
        <w:t>T</w:t>
      </w:r>
      <w:r>
        <w:rPr>
          <w:b/>
          <w:bCs/>
          <w:sz w:val="13"/>
          <w:szCs w:val="13"/>
        </w:rPr>
        <w:t>RATAMIENTO</w:t>
      </w:r>
      <w:r>
        <w:rPr>
          <w:b/>
          <w:bCs/>
        </w:rPr>
        <w:t xml:space="preserve">: </w:t>
      </w:r>
      <w:r>
        <w:t xml:space="preserve">El meropenem es el agente más activo contra </w:t>
      </w:r>
      <w:r>
        <w:rPr>
          <w:rFonts w:ascii="Times New Roman" w:eastAsia="Times New Roman" w:hAnsi="Times New Roman" w:cs="Times New Roman"/>
          <w:i/>
          <w:iCs/>
          <w:sz w:val="16"/>
          <w:szCs w:val="16"/>
        </w:rPr>
        <w:t>B. cepacia.</w:t>
      </w:r>
      <w:r>
        <w:t xml:space="preserve"> Casi todos los expertos recomiendan combinaciones sinérgicas de antimicrobianos. </w:t>
      </w:r>
      <w:r>
        <w:rPr>
          <w:rFonts w:ascii="Times New Roman" w:eastAsia="Times New Roman" w:hAnsi="Times New Roman" w:cs="Times New Roman"/>
          <w:i/>
          <w:iCs/>
          <w:sz w:val="16"/>
          <w:szCs w:val="16"/>
        </w:rPr>
        <w:t>Burkholderia cepacia</w:t>
      </w:r>
      <w:r>
        <w:t xml:space="preserve"> es intrínsecamente resistente a aminoglucósidos y a sulfato de polimixina B. Otros agentes con actividad variable contra </w:t>
      </w:r>
      <w:r>
        <w:rPr>
          <w:rFonts w:ascii="Times New Roman" w:eastAsia="Times New Roman" w:hAnsi="Times New Roman" w:cs="Times New Roman"/>
          <w:i/>
          <w:iCs/>
          <w:sz w:val="16"/>
          <w:szCs w:val="16"/>
        </w:rPr>
        <w:t>B. pseudomallei</w:t>
      </w:r>
      <w:r>
        <w:t xml:space="preserve"> son ceftazidima, piperacilina sódica, cloranfenicol, doxiciclina y trimetoprim-sulfametoxazol.</w:t>
      </w:r>
    </w:p>
    <w:p w14:paraId="4DAF54FD" w14:textId="77777777" w:rsidR="00093A32" w:rsidRDefault="00093A32">
      <w:pPr>
        <w:pStyle w:val="BodyText"/>
        <w:spacing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para evitar la transmisión por contacto y por gotículas en sujetos infectados con cepas polirresistentes a fármacos.</w:t>
      </w:r>
    </w:p>
    <w:p w14:paraId="5A5C49FF" w14:textId="77777777" w:rsidR="00093A32" w:rsidRDefault="00093A32">
      <w:pPr>
        <w:pStyle w:val="BodyText"/>
        <w:spacing w:after="100"/>
        <w:ind w:firstLine="0"/>
      </w:pPr>
      <w:r>
        <w:rPr>
          <w:b/>
          <w:bCs/>
        </w:rPr>
        <w:t>M</w:t>
      </w:r>
      <w:r>
        <w:rPr>
          <w:b/>
          <w:bCs/>
          <w:sz w:val="13"/>
          <w:szCs w:val="13"/>
        </w:rPr>
        <w:t>EDIDAS PREVENTIVAS</w:t>
      </w:r>
      <w:r>
        <w:rPr>
          <w:b/>
          <w:bCs/>
        </w:rPr>
        <w:t xml:space="preserve">: </w:t>
      </w:r>
      <w:r>
        <w:t xml:space="preserve">Algunas cepas de </w:t>
      </w:r>
      <w:r>
        <w:rPr>
          <w:rFonts w:ascii="Times New Roman" w:eastAsia="Times New Roman" w:hAnsi="Times New Roman" w:cs="Times New Roman"/>
          <w:i/>
          <w:iCs/>
          <w:sz w:val="16"/>
          <w:szCs w:val="16"/>
        </w:rPr>
        <w:t>B. cepacia</w:t>
      </w:r>
      <w:r>
        <w:t xml:space="preserve"> son muy transmisibles y no se conoce en detalle su virulencia; por tal razón, muchos centros que tienen pacientes de fibrosis quística limitan el contacto entre los pacientes con tal enfermedad infectados por tal microorganismo y los no infectados. Ello incluye a los internados, los atendidos en consulta externa y el entorno social. Por ejemplo, los individuos con fibrosis quística y con </w:t>
      </w:r>
      <w:r>
        <w:rPr>
          <w:rFonts w:ascii="Times New Roman" w:eastAsia="Times New Roman" w:hAnsi="Times New Roman" w:cs="Times New Roman"/>
          <w:i/>
          <w:iCs/>
          <w:sz w:val="16"/>
          <w:szCs w:val="16"/>
        </w:rPr>
        <w:t>B. cepacia</w:t>
      </w:r>
      <w:r>
        <w:t xml:space="preserve"> son atendidos en estancias aisladas y tienen horas clínicas particulares, y ya no se permiten entornos especializados. Es recomendable enseñar a pacientes y familiares todo lo relacionado con la higiene de las manos y la higiene personal apropiada. No existen medidas específicas para evitar la infección por </w:t>
      </w:r>
      <w:r>
        <w:rPr>
          <w:rFonts w:ascii="Times New Roman" w:eastAsia="Times New Roman" w:hAnsi="Times New Roman" w:cs="Times New Roman"/>
          <w:i/>
          <w:iCs/>
          <w:sz w:val="16"/>
          <w:szCs w:val="16"/>
        </w:rPr>
        <w:t xml:space="preserve">B. pseudomallei </w:t>
      </w:r>
      <w:r>
        <w:t>en regiones endémicas.</w:t>
      </w:r>
    </w:p>
    <w:p w14:paraId="218F9E8B" w14:textId="77777777" w:rsidR="00093A32" w:rsidRDefault="00093A32">
      <w:pPr>
        <w:pStyle w:val="Bodytext70"/>
        <w:spacing w:after="0"/>
      </w:pPr>
      <w:r>
        <w:t>Calicivirus</w:t>
      </w:r>
    </w:p>
    <w:p w14:paraId="1DC20B59" w14:textId="77777777" w:rsidR="00093A32" w:rsidRDefault="00093A32">
      <w:pPr>
        <w:pStyle w:val="BodyText"/>
        <w:spacing w:line="264" w:lineRule="auto"/>
        <w:ind w:firstLine="0"/>
      </w:pPr>
      <w:r>
        <w:rPr>
          <w:b/>
          <w:bCs/>
          <w:smallCaps/>
          <w:sz w:val="20"/>
          <w:szCs w:val="20"/>
        </w:rPr>
        <w:t>M</w:t>
      </w:r>
      <w:r>
        <w:rPr>
          <w:b/>
          <w:bCs/>
          <w:smallCaps/>
          <w:sz w:val="16"/>
          <w:szCs w:val="16"/>
        </w:rPr>
        <w:t>anifestaciones clínicas</w:t>
      </w:r>
      <w:r>
        <w:rPr>
          <w:b/>
          <w:bCs/>
          <w:smallCaps/>
          <w:sz w:val="20"/>
          <w:szCs w:val="20"/>
        </w:rPr>
        <w:t>:</w:t>
      </w:r>
      <w:r>
        <w:t xml:space="preserve"> Entre los signos característicos de la infección por tal virus están diarrea y vómitos, que suelen acompañarse de fiebre, cefalea, malestar general, mialgias y cólicos abdominales. Los síntomas duran de un día a dos semanas.</w:t>
      </w:r>
    </w:p>
    <w:p w14:paraId="383A086F" w14:textId="77777777" w:rsidR="00093A32" w:rsidRDefault="00093A32">
      <w:pPr>
        <w:pStyle w:val="BodyText"/>
        <w:ind w:firstLine="0"/>
      </w:pPr>
      <w:r>
        <w:rPr>
          <w:b/>
          <w:bCs/>
        </w:rPr>
        <w:t>C</w:t>
      </w:r>
      <w:r>
        <w:rPr>
          <w:b/>
          <w:bCs/>
          <w:sz w:val="13"/>
          <w:szCs w:val="13"/>
        </w:rPr>
        <w:t>AUSAS</w:t>
      </w:r>
      <w:r>
        <w:rPr>
          <w:b/>
          <w:bCs/>
        </w:rPr>
        <w:t xml:space="preserve">: </w:t>
      </w:r>
      <w:r>
        <w:t>Los calicivirus son virus de RNA sin cubierta. Los dos géneros identificados que causan enfermedad en seres humanos son el similar al Norwalk (norovirus) y el similar a Sapporo.</w:t>
      </w:r>
    </w:p>
    <w:p w14:paraId="25625F85" w14:textId="77777777" w:rsidR="00093A32" w:rsidRDefault="00093A3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Los calicivirus de seres humanos tienen una distribución mundial, y circulan simultáneamente en una misma región muy diversos tipos antigénicos. Pueden ser una causa importante de casos esporádicos de gastroenteritis que obligue a hospitalización, pero sólo hasta fechas recientes se han aplicado métodos diagnósticos sensibles para estudiar el problema. Casi todas las infecciones esporádicas por tal virus han sido detectadas en niños menores de cuatro años de edad. La transmisión es directa, es decir, de persona a persona por la vía fecal-oral o por alimento o agua contaminados, pero a veces es imposible identificar una vía de transmisión. En todos los grupos de edad se han detectado brotes de gastroenteritis; tienden a aparecer en poblaciones cerradas, como serían centros de atención pediátrica y cruceros, y hay un índice alto de ataque. Los brotes con un origen común se han descrito después de ingestión de hielo, crustáceos, ensaladas y galletas dulces, a menudo contaminados por la gente infectada que maneja los alimentos. Puede haber transmisión aerófora, aunque no hay pruebas contundentes al respecto. En algunos brotes se ha dicho que hubo exposición a superficies y material vomitado contaminados. En la mitad de las personas infectadas la excreción dura cinco a siete días después de comenzar los síntomas y puede persistir incluso 13 días. La excreción duradera se observa a veces en hospedadores inmunodeficientes.</w:t>
      </w:r>
    </w:p>
    <w:p w14:paraId="49F738F3" w14:textId="77777777" w:rsidR="00093A32" w:rsidRDefault="00093A32">
      <w:pPr>
        <w:pStyle w:val="BodyText"/>
        <w:ind w:firstLine="360"/>
      </w:pPr>
      <w:r>
        <w:t xml:space="preserve">El </w:t>
      </w:r>
      <w:r>
        <w:rPr>
          <w:b/>
          <w:bCs/>
        </w:rPr>
        <w:t xml:space="preserve">periodo de incubación </w:t>
      </w:r>
      <w:r>
        <w:t>es de 12 a 72 horas.</w:t>
      </w:r>
    </w:p>
    <w:p w14:paraId="2C508EA1" w14:textId="77777777" w:rsidR="00093A32" w:rsidRDefault="00093A32">
      <w:pPr>
        <w:pStyle w:val="BodyText"/>
        <w:ind w:firstLine="0"/>
      </w:pPr>
      <w:r>
        <w:rPr>
          <w:b/>
          <w:bCs/>
        </w:rPr>
        <w:t>M</w:t>
      </w:r>
      <w:r>
        <w:rPr>
          <w:b/>
          <w:bCs/>
          <w:sz w:val="13"/>
          <w:szCs w:val="13"/>
        </w:rPr>
        <w:t>ÉTODOS DIAGNÓSTICOS</w:t>
      </w:r>
      <w:r>
        <w:rPr>
          <w:b/>
          <w:bCs/>
        </w:rPr>
        <w:t xml:space="preserve">: </w:t>
      </w:r>
      <w:r>
        <w:t xml:space="preserve">No se dispone de métodos comerciales de diagnóstico. En algunos laboratorios de investigación y especializados se practican los estudios siguientes: microscopia electrónica para detectar partículas víricas en excrementos; inmunoanálisis enzimático para detectar antígeno vírico en excrementos o anticuerpos en el suero y reacción en cadena de polimerasa-transcriptasa inversa </w:t>
      </w:r>
      <w:r>
        <w:rPr>
          <w:i/>
          <w:iCs/>
        </w:rPr>
        <w:t>(</w:t>
      </w:r>
      <w:r>
        <w:rPr>
          <w:rFonts w:ascii="Times New Roman" w:eastAsia="Times New Roman" w:hAnsi="Times New Roman" w:cs="Times New Roman"/>
          <w:i/>
          <w:iCs/>
          <w:sz w:val="16"/>
          <w:szCs w:val="16"/>
        </w:rPr>
        <w:t>reverse transcriptase-polymerase chain reaction</w:t>
      </w:r>
      <w:r>
        <w:rPr>
          <w:i/>
          <w:iCs/>
        </w:rPr>
        <w:t>,</w:t>
      </w:r>
      <w:r>
        <w:t xml:space="preserve"> RT-PCR) para detectar el RNA del virus en los excrementos. Los métodos más sensibles son RT-PCR y estudios serológicos; la microscopia electrónica es relativamente insensible. En Estados Unidos, en los </w:t>
      </w:r>
      <w:r>
        <w:rPr>
          <w:rFonts w:ascii="Times New Roman" w:eastAsia="Times New Roman" w:hAnsi="Times New Roman" w:cs="Times New Roman"/>
          <w:i/>
          <w:iCs/>
          <w:sz w:val="16"/>
          <w:szCs w:val="16"/>
        </w:rPr>
        <w:t>Centers for Disease Control and Prevention</w:t>
      </w:r>
      <w:r>
        <w:rPr>
          <w:i/>
          <w:iCs/>
        </w:rPr>
        <w:t>,</w:t>
      </w:r>
      <w:r>
        <w:t xml:space="preserve"> se puede obtener apoyo de laboratorio y epidemiológico para el diagnóstico de supuestos brotes causados por calicivirus, y actualmente en los laboratorios de los departamentos sanitarios estatales y locales se practica con frecuencia cada vez mayor el método RT-PCR para detectar virus en los excrementos.</w:t>
      </w:r>
    </w:p>
    <w:p w14:paraId="297C93DA" w14:textId="77777777" w:rsidR="00093A32" w:rsidRDefault="00093A32">
      <w:pPr>
        <w:pStyle w:val="BodyText"/>
        <w:ind w:firstLine="0"/>
      </w:pPr>
      <w:r>
        <w:rPr>
          <w:b/>
          <w:bCs/>
        </w:rPr>
        <w:t>T</w:t>
      </w:r>
      <w:r>
        <w:rPr>
          <w:b/>
          <w:bCs/>
          <w:sz w:val="13"/>
          <w:szCs w:val="13"/>
        </w:rPr>
        <w:t>RATAMIENTO</w:t>
      </w:r>
      <w:r>
        <w:rPr>
          <w:b/>
          <w:bCs/>
        </w:rPr>
        <w:t xml:space="preserve">: </w:t>
      </w:r>
      <w:r>
        <w:t>Las medidas de sostén incluyen una solución de rehidratación oral para reponer líquidos y electrólitos perdidos.</w:t>
      </w:r>
    </w:p>
    <w:p w14:paraId="2B40D21C"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de contacto en el caso de niños en pañales e incontinentes durante todo el tiempo que dure la enfermedad.</w:t>
      </w:r>
    </w:p>
    <w:p w14:paraId="70C953AF" w14:textId="77777777" w:rsidR="00093A32" w:rsidRDefault="00093A32">
      <w:pPr>
        <w:pStyle w:val="BodyText"/>
        <w:spacing w:after="100"/>
        <w:ind w:firstLine="0"/>
      </w:pPr>
      <w:r>
        <w:t xml:space="preserve">y con </w:t>
      </w:r>
      <w:r>
        <w:rPr>
          <w:rFonts w:ascii="Times New Roman" w:eastAsia="Times New Roman" w:hAnsi="Times New Roman" w:cs="Times New Roman"/>
          <w:i/>
          <w:iCs/>
          <w:sz w:val="16"/>
          <w:szCs w:val="16"/>
        </w:rPr>
        <w:t>B. cepacia</w:t>
      </w:r>
      <w:r>
        <w:t xml:space="preserve"> son atendidos en estancias aisladas y tienen horas clínicas particulares, y ya no se permiten entornos especializados. Es recomendable enseñar a pacientes y familiares todo lo relacionado con la higiene de las manos y la higiene personal apropiada. No existen medidas específicas para evitar la infección por </w:t>
      </w:r>
      <w:r>
        <w:rPr>
          <w:rFonts w:ascii="Times New Roman" w:eastAsia="Times New Roman" w:hAnsi="Times New Roman" w:cs="Times New Roman"/>
          <w:i/>
          <w:iCs/>
          <w:sz w:val="16"/>
          <w:szCs w:val="16"/>
        </w:rPr>
        <w:t xml:space="preserve">B. pseudomallei </w:t>
      </w:r>
      <w:r>
        <w:t>en regiones endémicas.</w:t>
      </w:r>
    </w:p>
    <w:p w14:paraId="769C66C5" w14:textId="77777777" w:rsidR="00093A32" w:rsidRDefault="00093A32">
      <w:pPr>
        <w:pStyle w:val="Bodytext70"/>
        <w:spacing w:after="0"/>
      </w:pPr>
      <w:r>
        <w:t>Calicivirus</w:t>
      </w:r>
    </w:p>
    <w:p w14:paraId="691F79B1" w14:textId="77777777" w:rsidR="00093A32" w:rsidRDefault="00093A32">
      <w:pPr>
        <w:pStyle w:val="BodyText"/>
        <w:spacing w:line="264" w:lineRule="auto"/>
        <w:ind w:firstLine="0"/>
      </w:pPr>
      <w:r>
        <w:rPr>
          <w:b/>
          <w:bCs/>
          <w:smallCaps/>
          <w:sz w:val="20"/>
          <w:szCs w:val="20"/>
        </w:rPr>
        <w:t>M</w:t>
      </w:r>
      <w:r>
        <w:rPr>
          <w:b/>
          <w:bCs/>
          <w:smallCaps/>
          <w:sz w:val="16"/>
          <w:szCs w:val="16"/>
        </w:rPr>
        <w:t>anifestaciones clínicas</w:t>
      </w:r>
      <w:r>
        <w:rPr>
          <w:b/>
          <w:bCs/>
          <w:smallCaps/>
          <w:sz w:val="20"/>
          <w:szCs w:val="20"/>
        </w:rPr>
        <w:t>:</w:t>
      </w:r>
      <w:r>
        <w:t xml:space="preserve"> Entre los signos característicos de la infección por tal virus están diarrea y vómitos, que suelen acompañarse de fiebre, cefalea, malestar general, mialgias y cólicos abdominales. Los síntomas duran de un día a dos semanas.</w:t>
      </w:r>
    </w:p>
    <w:p w14:paraId="778C6B51" w14:textId="77777777" w:rsidR="00093A32" w:rsidRDefault="00093A32">
      <w:pPr>
        <w:pStyle w:val="BodyText"/>
        <w:ind w:firstLine="0"/>
      </w:pPr>
      <w:r>
        <w:rPr>
          <w:b/>
          <w:bCs/>
        </w:rPr>
        <w:t>C</w:t>
      </w:r>
      <w:r>
        <w:rPr>
          <w:b/>
          <w:bCs/>
          <w:sz w:val="13"/>
          <w:szCs w:val="13"/>
        </w:rPr>
        <w:t>AUSAS</w:t>
      </w:r>
      <w:r>
        <w:rPr>
          <w:b/>
          <w:bCs/>
        </w:rPr>
        <w:t xml:space="preserve">: </w:t>
      </w:r>
      <w:r>
        <w:t>Los calicivirus son virus de RNA sin cubierta. Los dos géneros identificados que causan enfermedad en seres humanos son el similar al Norwalk (norovirus) y el similar a Sapporo.</w:t>
      </w:r>
    </w:p>
    <w:p w14:paraId="60FDF178" w14:textId="77777777" w:rsidR="00093A32" w:rsidRDefault="00093A3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Los calicivirus de seres humanos tienen una distribución mundial, y circulan simultáneamente en una misma región muy diversos tipos antigénicos. Pueden ser una causa importante de casos esporádicos de gastroenteritis que obligue a hospitalización, pero sólo hasta fechas recientes se han aplicado métodos diagnósticos sensibles para estudiar el problema. Casi todas las infecciones esporádicas por tal virus han sido detectadas en niños menores de cuatro años de edad. La transmisión es directa, es decir, de persona a persona por la vía fecal-oral o por alimento o agua contaminados, pero a veces es imposible identificar una vía de transmisión. En todos los grupos de edad se han detectado brotes de gastroenteritis; tienden a aparecer en poblaciones cerradas, como serían centros de atención pediátrica y cruceros, y hay un índice alto de ataque. Los brotes con un origen común se han descrito después de ingestión de hielo, crustáceos, ensaladas y galletas dulces, a menudo contaminados por la gente infectada que maneja los alimentos. Puede haber transmisión aerófora, aunque no hay pruebas contundentes al respecto. En algunos brotes se ha dicho que hubo exposición a superficies y material vomitado contaminados. En la mitad de las personas infectadas la excreción dura cinco a siete días después de comenzar los síntomas y puede persistir incluso 13 días. La excreción duradera se observa a veces en hospedadores inmunodeficientes.</w:t>
      </w:r>
    </w:p>
    <w:p w14:paraId="092569EE" w14:textId="77777777" w:rsidR="00093A32" w:rsidRDefault="00093A32">
      <w:pPr>
        <w:pStyle w:val="BodyText"/>
        <w:ind w:firstLine="360"/>
      </w:pPr>
      <w:r>
        <w:t xml:space="preserve">El </w:t>
      </w:r>
      <w:r>
        <w:rPr>
          <w:b/>
          <w:bCs/>
        </w:rPr>
        <w:t xml:space="preserve">periodo de incubación </w:t>
      </w:r>
      <w:r>
        <w:t>es de 12 a 72 horas.</w:t>
      </w:r>
    </w:p>
    <w:p w14:paraId="7B5D810F" w14:textId="77777777" w:rsidR="00093A32" w:rsidRDefault="00093A32">
      <w:pPr>
        <w:pStyle w:val="BodyText"/>
        <w:ind w:firstLine="0"/>
      </w:pPr>
      <w:r>
        <w:rPr>
          <w:b/>
          <w:bCs/>
        </w:rPr>
        <w:t>M</w:t>
      </w:r>
      <w:r>
        <w:rPr>
          <w:b/>
          <w:bCs/>
          <w:sz w:val="13"/>
          <w:szCs w:val="13"/>
        </w:rPr>
        <w:t>ÉTODOS DIAGNÓSTICOS</w:t>
      </w:r>
      <w:r>
        <w:rPr>
          <w:b/>
          <w:bCs/>
        </w:rPr>
        <w:t xml:space="preserve">: </w:t>
      </w:r>
      <w:r>
        <w:t xml:space="preserve">No se dispone de métodos comerciales de diagnóstico. En algunos laboratorios de investigación y especializados se practican los estudios siguientes: microscopia electrónica para detectar partículas víricas en excrementos; inmunoanálisis enzimático para detectar antígeno vírico en excrementos o anticuerpos en el suero y reacción en cadena de polimerasa-transcriptasa inversa </w:t>
      </w:r>
      <w:r>
        <w:rPr>
          <w:i/>
          <w:iCs/>
        </w:rPr>
        <w:t>(</w:t>
      </w:r>
      <w:r>
        <w:rPr>
          <w:rFonts w:ascii="Times New Roman" w:eastAsia="Times New Roman" w:hAnsi="Times New Roman" w:cs="Times New Roman"/>
          <w:i/>
          <w:iCs/>
          <w:sz w:val="16"/>
          <w:szCs w:val="16"/>
        </w:rPr>
        <w:t>reverse transcriptase-polymerase chain reaction</w:t>
      </w:r>
      <w:r>
        <w:rPr>
          <w:i/>
          <w:iCs/>
        </w:rPr>
        <w:t>,</w:t>
      </w:r>
      <w:r>
        <w:t xml:space="preserve"> RT-PCR) para detectar el RNA del virus en los excrementos. Los métodos más sensibles son RT-PCR y estudios serológicos; la microscopia electrónica es relativamente insensible. En Estados Unidos, en los </w:t>
      </w:r>
      <w:r>
        <w:rPr>
          <w:rFonts w:ascii="Times New Roman" w:eastAsia="Times New Roman" w:hAnsi="Times New Roman" w:cs="Times New Roman"/>
          <w:i/>
          <w:iCs/>
          <w:sz w:val="16"/>
          <w:szCs w:val="16"/>
        </w:rPr>
        <w:t>Centers for Disease Control and Prevention</w:t>
      </w:r>
      <w:r>
        <w:rPr>
          <w:i/>
          <w:iCs/>
        </w:rPr>
        <w:t>,</w:t>
      </w:r>
      <w:r>
        <w:t xml:space="preserve"> se puede obtener apoyo de laboratorio y epidemiológico para el diagnóstico de supuestos brotes causados por calicivirus, y actualmente en los laboratorios de los departamentos sanitarios estatales y locales se practica con frecuencia cada vez mayor el método RT-PCR para detectar virus en los excrementos.</w:t>
      </w:r>
    </w:p>
    <w:p w14:paraId="4D2D2618" w14:textId="77777777" w:rsidR="00093A32" w:rsidRDefault="00093A32">
      <w:pPr>
        <w:pStyle w:val="BodyText"/>
        <w:ind w:firstLine="0"/>
      </w:pPr>
      <w:r>
        <w:rPr>
          <w:b/>
          <w:bCs/>
        </w:rPr>
        <w:t>T</w:t>
      </w:r>
      <w:r>
        <w:rPr>
          <w:b/>
          <w:bCs/>
          <w:sz w:val="13"/>
          <w:szCs w:val="13"/>
        </w:rPr>
        <w:t>RATAMIENTO</w:t>
      </w:r>
      <w:r>
        <w:rPr>
          <w:b/>
          <w:bCs/>
        </w:rPr>
        <w:t xml:space="preserve">: </w:t>
      </w:r>
      <w:r>
        <w:t>Las medidas de sostén incluyen una solución de rehidratación oral para reponer líquidos y electrólitos perdidos.</w:t>
      </w:r>
    </w:p>
    <w:p w14:paraId="581B341E" w14:textId="77777777" w:rsidR="00093A32" w:rsidRDefault="00093A32">
      <w:pPr>
        <w:pStyle w:val="BodyText"/>
        <w:ind w:firstLine="0"/>
        <w:sectPr w:rsidR="00093A32" w:rsidSect="00093A32">
          <w:headerReference w:type="even" r:id="rId85"/>
          <w:headerReference w:type="default" r:id="rId86"/>
          <w:footerReference w:type="even" r:id="rId87"/>
          <w:footerReference w:type="default" r:id="rId88"/>
          <w:headerReference w:type="first" r:id="rId89"/>
          <w:footerReference w:type="first" r:id="rId90"/>
          <w:footnotePr>
            <w:numFmt w:val="chicago"/>
          </w:footnotePr>
          <w:pgSz w:w="8501" w:h="13022"/>
          <w:pgMar w:top="708" w:right="805" w:bottom="440" w:left="770" w:header="0" w:footer="3" w:gutter="0"/>
          <w:cols w:space="720"/>
          <w:noEndnote/>
          <w:titlePg/>
          <w:docGrid w:linePitch="360"/>
          <w15:footnoteColumns w:val="1"/>
        </w:sectPr>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de contacto en el caso de niños en pañales e incontinentes durante todo el tiempo que dure la enfermedad.</w:t>
      </w:r>
    </w:p>
    <w:p w14:paraId="26AB5517" w14:textId="77777777" w:rsidR="00093A32" w:rsidRDefault="00093A32">
      <w:pPr>
        <w:pStyle w:val="BodyText"/>
        <w:spacing w:after="120"/>
        <w:ind w:firstLine="0"/>
      </w:pPr>
      <w:r>
        <w:rPr>
          <w:b/>
          <w:bCs/>
        </w:rPr>
        <w:t>M</w:t>
      </w:r>
      <w:r>
        <w:rPr>
          <w:b/>
          <w:bCs/>
          <w:sz w:val="13"/>
          <w:szCs w:val="13"/>
        </w:rPr>
        <w:t>EDIDAS PREVENTIVAS</w:t>
      </w:r>
      <w:r>
        <w:rPr>
          <w:b/>
          <w:bCs/>
        </w:rPr>
        <w:t xml:space="preserve">: </w:t>
      </w:r>
      <w:r>
        <w:t>No se cuenta con medidas preventivas específicas. Es posible disminuir la propagación de la infección si se aplican medidas estándar para controlar la diarrea, como enseñar a los cuidadores del niño y a todos los que manejan alimentos lo referente a las medidas para desterrar la infección, conservar la limpieza de superficies y zonas de preparación de alimentos, excluir a los cuidadores o manipuladores de alimentos que estén enfermos, practicar higiene manual adecuada y excluir o agrupar a los niños enfermos en los centros de atención. Si se identifica algún mecanismo de transmisión (como alimento o agua contaminados) durante un brote, podrán ser eficaces algunas intervenciones específicas para interrumpir la transmisión. No se cuenta con vacunas para evitar la infección por calicivirus.</w:t>
      </w:r>
    </w:p>
    <w:p w14:paraId="15EC264E" w14:textId="77777777" w:rsidR="00093A32" w:rsidRDefault="00093A32">
      <w:pPr>
        <w:pStyle w:val="Bodytext70"/>
        <w:spacing w:after="0" w:line="156" w:lineRule="auto"/>
      </w:pPr>
      <w:r>
        <w:rPr>
          <w:i/>
          <w:iCs/>
        </w:rPr>
        <w:t>Campylobacter,</w:t>
      </w:r>
      <w:r>
        <w:t xml:space="preserve"> infecciones</w:t>
      </w:r>
    </w:p>
    <w:p w14:paraId="1F8634BC"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Los síntomas y signos predominantes de las infecciones por </w:t>
      </w:r>
      <w:r>
        <w:rPr>
          <w:rFonts w:ascii="Times New Roman" w:eastAsia="Times New Roman" w:hAnsi="Times New Roman" w:cs="Times New Roman"/>
          <w:i/>
          <w:iCs/>
          <w:sz w:val="16"/>
          <w:szCs w:val="16"/>
        </w:rPr>
        <w:t>Campylobacter</w:t>
      </w:r>
      <w:r>
        <w:t xml:space="preserve"> incluyen diarrea, dolor abdominal, malestar generalizado y fiebre. Los excrementos pueden contener sangre visible y oculta. En neonatos y lactantes de corta edad, quizá la única manifestación de la infección sea la diarrea sanguinolenta sin fiebre. El dolor abdominal a veces remeda al que aparece en la apendicitis. La infección leve dura uno o dos días y se asemeja a la gastroenteritis vírica. Casi todos los pacientes se recuperan en menos de una semana, pero 20% muestran una recaída o enfermedad duradera o grave. La infección grave o persistente puede simular alguna enteropatía inflamatoria aguda. Pocas veces hay bacteriemia, aunque en ocasiones surge septicemia neonatal. Los hospedadores inmunodeficientes pueden tener infecciones prolongadas, recidivantes o extraintestinales, en particular por </w:t>
      </w:r>
      <w:r>
        <w:rPr>
          <w:rFonts w:ascii="Times New Roman" w:eastAsia="Times New Roman" w:hAnsi="Times New Roman" w:cs="Times New Roman"/>
          <w:i/>
          <w:iCs/>
          <w:sz w:val="16"/>
          <w:szCs w:val="16"/>
        </w:rPr>
        <w:t>Campylobacter fetus</w:t>
      </w:r>
      <w:r>
        <w:t xml:space="preserve"> y otras especies “atípicas”. Durante la convalecencia se observan a veces complicaciones inmunorreactivas, como polineuritis idiopática aguda (síndrome de Guillain-Barré); síndrome de Miller Fisher (oftalmoplejía, arreflexia y ataxia), artritis reactiva, síndrome de Reiter (artritis, uretritis y conjuntivitis bilateral) y eritema nudoso.</w:t>
      </w:r>
    </w:p>
    <w:p w14:paraId="7AA1E530" w14:textId="77777777" w:rsidR="00093A32" w:rsidRDefault="00093A32">
      <w:pPr>
        <w:pStyle w:val="BodyText"/>
        <w:ind w:firstLine="0"/>
      </w:pP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Campylobacter</w:t>
      </w:r>
      <w:r>
        <w:t xml:space="preserve"> son bacilos gramnegativos en forma de coma, móviles, que originan gastroenteritis. </w:t>
      </w:r>
      <w:r>
        <w:rPr>
          <w:rFonts w:ascii="Times New Roman" w:eastAsia="Times New Roman" w:hAnsi="Times New Roman" w:cs="Times New Roman"/>
          <w:i/>
          <w:iCs/>
          <w:sz w:val="16"/>
          <w:szCs w:val="16"/>
        </w:rPr>
        <w:t>Campylobacter fetus</w:t>
      </w:r>
      <w:r>
        <w:t xml:space="preserve"> origina sobre todo un cuadro sistémico en neonatos y hospedadores debilitados. Las especies aisladas con mayor frecuencia en sujetos con diarrea son </w:t>
      </w:r>
      <w:r>
        <w:rPr>
          <w:rFonts w:ascii="Times New Roman" w:eastAsia="Times New Roman" w:hAnsi="Times New Roman" w:cs="Times New Roman"/>
          <w:i/>
          <w:iCs/>
          <w:sz w:val="16"/>
          <w:szCs w:val="16"/>
        </w:rPr>
        <w:t>Campylobacter jejuni</w:t>
      </w:r>
      <w:r>
        <w:t xml:space="preserve"> y </w:t>
      </w:r>
      <w:r>
        <w:rPr>
          <w:rFonts w:ascii="Times New Roman" w:eastAsia="Times New Roman" w:hAnsi="Times New Roman" w:cs="Times New Roman"/>
          <w:i/>
          <w:iCs/>
          <w:sz w:val="16"/>
          <w:szCs w:val="16"/>
        </w:rPr>
        <w:t>coli</w:t>
      </w:r>
      <w:r>
        <w:rPr>
          <w:i/>
          <w:iCs/>
        </w:rPr>
        <w:t>.</w:t>
      </w:r>
      <w:r>
        <w:t xml:space="preserve"> Otras especies, que incluyen </w:t>
      </w:r>
      <w:r>
        <w:rPr>
          <w:rFonts w:ascii="Times New Roman" w:eastAsia="Times New Roman" w:hAnsi="Times New Roman" w:cs="Times New Roman"/>
          <w:i/>
          <w:iCs/>
          <w:sz w:val="16"/>
          <w:szCs w:val="16"/>
        </w:rPr>
        <w:t>Campylobacter upsaliensis, Campylobacter lari</w:t>
      </w:r>
      <w:r>
        <w:t xml:space="preserve"> y </w:t>
      </w:r>
      <w:r>
        <w:rPr>
          <w:rFonts w:ascii="Times New Roman" w:eastAsia="Times New Roman" w:hAnsi="Times New Roman" w:cs="Times New Roman"/>
          <w:i/>
          <w:iCs/>
          <w:sz w:val="16"/>
          <w:szCs w:val="16"/>
        </w:rPr>
        <w:t xml:space="preserve">Campylobacter hyointestinalis </w:t>
      </w:r>
      <w:r>
        <w:t>pueden ocasionar un cuadro diarreico o sistémico similar.</w:t>
      </w:r>
    </w:p>
    <w:p w14:paraId="2FE25AEC" w14:textId="77777777" w:rsidR="00093A32" w:rsidRDefault="00093A32">
      <w:pPr>
        <w:pStyle w:val="BodyText"/>
        <w:spacing w:after="60"/>
        <w:ind w:firstLine="0"/>
      </w:pPr>
      <w:r>
        <w:rPr>
          <w:b/>
          <w:bCs/>
        </w:rPr>
        <w:t>A</w:t>
      </w:r>
      <w:r>
        <w:rPr>
          <w:b/>
          <w:bCs/>
          <w:sz w:val="13"/>
          <w:szCs w:val="13"/>
        </w:rPr>
        <w:t>SPECTOS EPIDEMIOLÓGICOS</w:t>
      </w:r>
      <w:r>
        <w:rPr>
          <w:b/>
          <w:bCs/>
        </w:rPr>
        <w:t xml:space="preserve">: </w:t>
      </w:r>
      <w:r>
        <w:t xml:space="preserve">Las vías gastrointestinales de aves y animales domésticos y salvajes son el reservorio de la infección. Se han aislado </w:t>
      </w:r>
      <w:r>
        <w:rPr>
          <w:rFonts w:ascii="Times New Roman" w:eastAsia="Times New Roman" w:hAnsi="Times New Roman" w:cs="Times New Roman"/>
          <w:i/>
          <w:iCs/>
          <w:sz w:val="16"/>
          <w:szCs w:val="16"/>
        </w:rPr>
        <w:t>Campylobacter jejuni</w:t>
      </w:r>
      <w:r>
        <w:t xml:space="preserve"> y </w:t>
      </w:r>
      <w:r>
        <w:rPr>
          <w:rFonts w:ascii="Times New Roman" w:eastAsia="Times New Roman" w:hAnsi="Times New Roman" w:cs="Times New Roman"/>
          <w:i/>
          <w:iCs/>
          <w:sz w:val="16"/>
          <w:szCs w:val="16"/>
        </w:rPr>
        <w:t xml:space="preserve">C. coli </w:t>
      </w:r>
      <w:r>
        <w:t xml:space="preserve">de los excrementos de 30 a 100% de los pollos, pavos y aves acuáticas. Las aves de corral (abiertas en canal) por lo común están contaminadas. Muchos animales de granja y lugares donde se procesa la carne pueden tener el microorganismo, y las mascotas (en particular animales jóvenes), que incluyen perros, gatos, cricetos y pájaros, son fuentes potenciales. </w:t>
      </w:r>
      <w:r>
        <w:rPr>
          <w:rFonts w:ascii="Times New Roman" w:eastAsia="Times New Roman" w:hAnsi="Times New Roman" w:cs="Times New Roman"/>
          <w:i/>
          <w:iCs/>
          <w:sz w:val="16"/>
          <w:szCs w:val="16"/>
        </w:rPr>
        <w:t>C. jejuni</w:t>
      </w:r>
      <w:r>
        <w:t xml:space="preserve"> y </w:t>
      </w:r>
      <w:r>
        <w:rPr>
          <w:rFonts w:ascii="Times New Roman" w:eastAsia="Times New Roman" w:hAnsi="Times New Roman" w:cs="Times New Roman"/>
          <w:i/>
          <w:iCs/>
          <w:sz w:val="16"/>
          <w:szCs w:val="16"/>
        </w:rPr>
        <w:t>C. coli</w:t>
      </w:r>
      <w:r>
        <w:t xml:space="preserve"> se transmiten al ingerir alimentos contaminados, que incluyen leche no pasteurizada y agua no potabilizada, o por contacto directo con material fecal de animales o personas infectados. Los vehículos principales del contagio han sido carne de aves de corral mal cocida, agua no potabilizada y leche no pasteurizada. Se ha corroborado la aparición de brotes en niños de edad escolar que bebieron leche no pasteurizada durante excursiones al campo a granjas lecheras. En ocasiones surge el contagio directo de una persona a otra, particularmente en niños de muy corta edad, y también en contadas ocasiones se han notificado brotes de diarrea en centros de atención pediátrica. También se ha sabido de transmisión directa de una</w:t>
      </w:r>
    </w:p>
    <w:p w14:paraId="19C6EC93" w14:textId="77777777" w:rsidR="00093A32" w:rsidRDefault="00093A32">
      <w:pPr>
        <w:pStyle w:val="BodyText"/>
        <w:spacing w:after="120"/>
        <w:ind w:firstLine="0"/>
      </w:pPr>
      <w:r>
        <w:rPr>
          <w:b/>
          <w:bCs/>
        </w:rPr>
        <w:t>M</w:t>
      </w:r>
      <w:r>
        <w:rPr>
          <w:b/>
          <w:bCs/>
          <w:sz w:val="13"/>
          <w:szCs w:val="13"/>
        </w:rPr>
        <w:t>EDIDAS PREVENTIVAS</w:t>
      </w:r>
      <w:r>
        <w:rPr>
          <w:b/>
          <w:bCs/>
        </w:rPr>
        <w:t xml:space="preserve">: </w:t>
      </w:r>
      <w:r>
        <w:t>No se cuenta con medidas preventivas específicas. Es posible disminuir la propagación de la infección si se aplican medidas estándar para controlar la diarrea, como enseñar a los cuidadores del niño y a todos los que manejan alimentos lo referente a las medidas para desterrar la infección, conservar la limpieza de superficies y zonas de preparación de alimentos, excluir a los cuidadores o manipuladores de alimentos que estén enfermos, practicar higiene manual adecuada y excluir o agrupar a los niños enfermos en los centros de atención. Si se identifica algún mecanismo de transmisión (como alimento o agua contaminados) durante un brote, podrán ser eficaces algunas intervenciones específicas para interrumpir la transmisión. No se cuenta con vacunas para evitar la infección por calicivirus.</w:t>
      </w:r>
    </w:p>
    <w:p w14:paraId="7F6E78E6" w14:textId="77777777" w:rsidR="00093A32" w:rsidRDefault="00093A32">
      <w:pPr>
        <w:pStyle w:val="Bodytext70"/>
        <w:spacing w:after="0" w:line="156" w:lineRule="auto"/>
      </w:pPr>
      <w:r>
        <w:rPr>
          <w:i/>
          <w:iCs/>
        </w:rPr>
        <w:t>Campylobacter,</w:t>
      </w:r>
      <w:r>
        <w:t xml:space="preserve"> infecciones</w:t>
      </w:r>
    </w:p>
    <w:p w14:paraId="4C2103EB"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Los síntomas y signos predominantes de las infecciones por </w:t>
      </w:r>
      <w:r>
        <w:rPr>
          <w:rFonts w:ascii="Times New Roman" w:eastAsia="Times New Roman" w:hAnsi="Times New Roman" w:cs="Times New Roman"/>
          <w:i/>
          <w:iCs/>
          <w:sz w:val="16"/>
          <w:szCs w:val="16"/>
        </w:rPr>
        <w:t>Campylobacter</w:t>
      </w:r>
      <w:r>
        <w:t xml:space="preserve"> incluyen diarrea, dolor abdominal, malestar generalizado y fiebre. Los excrementos pueden contener sangre visible y oculta. En neonatos y lactantes de corta edad, quizá la única manifestación de la infección sea la diarrea sanguinolenta sin fiebre. El dolor abdominal a veces remeda al que aparece en la apendicitis. La infección leve dura uno o dos días y se asemeja a la gastroenteritis vírica. Casi todos los pacientes se recuperan en menos de una semana, pero 20% muestran una recaída o enfermedad duradera o grave. La infección grave o persistente puede simular alguna enteropatía inflamatoria aguda. Pocas veces hay bacteriemia, aunque en ocasiones surge septicemia neonatal. Los hospedadores inmunodeficientes pueden tener infecciones prolongadas, recidivantes o extraintestinales, en particular por </w:t>
      </w:r>
      <w:r>
        <w:rPr>
          <w:rFonts w:ascii="Times New Roman" w:eastAsia="Times New Roman" w:hAnsi="Times New Roman" w:cs="Times New Roman"/>
          <w:i/>
          <w:iCs/>
          <w:sz w:val="16"/>
          <w:szCs w:val="16"/>
        </w:rPr>
        <w:t>Campylobacter fetus</w:t>
      </w:r>
      <w:r>
        <w:t xml:space="preserve"> y otras especies “atípicas”. Durante la convalecencia se observan a veces complicaciones inmunorreactivas, como polineuritis idiopática aguda (síndrome de Guillain-Barré); síndrome de Miller Fisher (oftalmoplejía, arreflexia y ataxia), artritis reactiva, síndrome de Reiter (artritis, uretritis y conjuntivitis bilateral) y eritema nudoso.</w:t>
      </w:r>
    </w:p>
    <w:p w14:paraId="29A02BA9" w14:textId="77777777" w:rsidR="00093A32" w:rsidRDefault="00093A32">
      <w:pPr>
        <w:pStyle w:val="BodyText"/>
        <w:ind w:firstLine="0"/>
      </w:pP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Campylobacter</w:t>
      </w:r>
      <w:r>
        <w:t xml:space="preserve"> son bacilos gramnegativos en forma de coma, móviles, que originan gastroenteritis. </w:t>
      </w:r>
      <w:r>
        <w:rPr>
          <w:rFonts w:ascii="Times New Roman" w:eastAsia="Times New Roman" w:hAnsi="Times New Roman" w:cs="Times New Roman"/>
          <w:i/>
          <w:iCs/>
          <w:sz w:val="16"/>
          <w:szCs w:val="16"/>
        </w:rPr>
        <w:t>Campylobacter fetus</w:t>
      </w:r>
      <w:r>
        <w:t xml:space="preserve"> origina sobre todo un cuadro sistémico en neonatos y hospedadores debilitados. Las especies aisladas con mayor frecuencia en sujetos con diarrea son </w:t>
      </w:r>
      <w:r>
        <w:rPr>
          <w:rFonts w:ascii="Times New Roman" w:eastAsia="Times New Roman" w:hAnsi="Times New Roman" w:cs="Times New Roman"/>
          <w:i/>
          <w:iCs/>
          <w:sz w:val="16"/>
          <w:szCs w:val="16"/>
        </w:rPr>
        <w:t>Campylobacter jejuni</w:t>
      </w:r>
      <w:r>
        <w:t xml:space="preserve"> y </w:t>
      </w:r>
      <w:r>
        <w:rPr>
          <w:rFonts w:ascii="Times New Roman" w:eastAsia="Times New Roman" w:hAnsi="Times New Roman" w:cs="Times New Roman"/>
          <w:i/>
          <w:iCs/>
          <w:sz w:val="16"/>
          <w:szCs w:val="16"/>
        </w:rPr>
        <w:t>coli</w:t>
      </w:r>
      <w:r>
        <w:rPr>
          <w:i/>
          <w:iCs/>
        </w:rPr>
        <w:t>.</w:t>
      </w:r>
      <w:r>
        <w:t xml:space="preserve"> Otras especies, que incluyen </w:t>
      </w:r>
      <w:r>
        <w:rPr>
          <w:rFonts w:ascii="Times New Roman" w:eastAsia="Times New Roman" w:hAnsi="Times New Roman" w:cs="Times New Roman"/>
          <w:i/>
          <w:iCs/>
          <w:sz w:val="16"/>
          <w:szCs w:val="16"/>
        </w:rPr>
        <w:t>Campylobacter upsaliensis, Campylobacter lari</w:t>
      </w:r>
      <w:r>
        <w:t xml:space="preserve"> y </w:t>
      </w:r>
      <w:r>
        <w:rPr>
          <w:rFonts w:ascii="Times New Roman" w:eastAsia="Times New Roman" w:hAnsi="Times New Roman" w:cs="Times New Roman"/>
          <w:i/>
          <w:iCs/>
          <w:sz w:val="16"/>
          <w:szCs w:val="16"/>
        </w:rPr>
        <w:t xml:space="preserve">Campylobacter hyointestinalis </w:t>
      </w:r>
      <w:r>
        <w:t>pueden ocasionar un cuadro diarreico o sistémico similar.</w:t>
      </w:r>
    </w:p>
    <w:p w14:paraId="00B7AB58" w14:textId="77777777" w:rsidR="00093A32" w:rsidRDefault="00093A32">
      <w:pPr>
        <w:pStyle w:val="BodyText"/>
        <w:ind w:firstLine="0"/>
        <w:sectPr w:rsidR="00093A32" w:rsidSect="00093A32">
          <w:headerReference w:type="even" r:id="rId91"/>
          <w:headerReference w:type="default" r:id="rId92"/>
          <w:footerReference w:type="even" r:id="rId93"/>
          <w:footerReference w:type="default" r:id="rId94"/>
          <w:footnotePr>
            <w:numFmt w:val="chicago"/>
          </w:footnotePr>
          <w:type w:val="continuous"/>
          <w:pgSz w:w="8501" w:h="13022"/>
          <w:pgMar w:top="708" w:right="805" w:bottom="440" w:left="770" w:header="0" w:footer="12" w:gutter="0"/>
          <w:cols w:space="720"/>
          <w:noEndnote/>
          <w:docGrid w:linePitch="360"/>
          <w15:footnoteColumns w:val="1"/>
        </w:sectPr>
      </w:pPr>
      <w:r>
        <w:rPr>
          <w:b/>
          <w:bCs/>
        </w:rPr>
        <w:t>A</w:t>
      </w:r>
      <w:r>
        <w:rPr>
          <w:b/>
          <w:bCs/>
          <w:sz w:val="13"/>
          <w:szCs w:val="13"/>
        </w:rPr>
        <w:t>SPECTOS EPIDEMIOLÓGICOS</w:t>
      </w:r>
      <w:r>
        <w:rPr>
          <w:b/>
          <w:bCs/>
        </w:rPr>
        <w:t xml:space="preserve">: </w:t>
      </w:r>
      <w:r>
        <w:t xml:space="preserve">Las vías gastrointestinales de aves y animales domésticos y salvajes son el reservorio de la infección. Se han aislado </w:t>
      </w:r>
      <w:r>
        <w:rPr>
          <w:rFonts w:ascii="Times New Roman" w:eastAsia="Times New Roman" w:hAnsi="Times New Roman" w:cs="Times New Roman"/>
          <w:i/>
          <w:iCs/>
          <w:sz w:val="16"/>
          <w:szCs w:val="16"/>
        </w:rPr>
        <w:t>Campylobacter jejuni</w:t>
      </w:r>
      <w:r>
        <w:t xml:space="preserve"> y </w:t>
      </w:r>
      <w:r>
        <w:rPr>
          <w:rFonts w:ascii="Times New Roman" w:eastAsia="Times New Roman" w:hAnsi="Times New Roman" w:cs="Times New Roman"/>
          <w:i/>
          <w:iCs/>
          <w:sz w:val="16"/>
          <w:szCs w:val="16"/>
        </w:rPr>
        <w:t xml:space="preserve">C. coli </w:t>
      </w:r>
      <w:r>
        <w:t xml:space="preserve">de los excrementos de 30 a 100% de los pollos, pavos y aves acuáticas. Las aves de corral (abiertas en canal) por lo común están contaminadas. Muchos animales de granja y lugares donde se procesa la carne pueden tener el microorganismo, y las mascotas (en particular animales jóvenes), que incluyen perros, gatos, cricetos y pájaros, son fuentes potenciales. </w:t>
      </w:r>
      <w:r>
        <w:rPr>
          <w:rFonts w:ascii="Times New Roman" w:eastAsia="Times New Roman" w:hAnsi="Times New Roman" w:cs="Times New Roman"/>
          <w:i/>
          <w:iCs/>
          <w:sz w:val="16"/>
          <w:szCs w:val="16"/>
        </w:rPr>
        <w:t>C. jejuni</w:t>
      </w:r>
      <w:r>
        <w:t xml:space="preserve"> y </w:t>
      </w:r>
      <w:r>
        <w:rPr>
          <w:rFonts w:ascii="Times New Roman" w:eastAsia="Times New Roman" w:hAnsi="Times New Roman" w:cs="Times New Roman"/>
          <w:i/>
          <w:iCs/>
          <w:sz w:val="16"/>
          <w:szCs w:val="16"/>
        </w:rPr>
        <w:t>C. coli</w:t>
      </w:r>
      <w:r>
        <w:t xml:space="preserve"> se transmiten al ingerir alimentos contaminados, que incluyen leche no pasteurizada y agua no potabilizada, o por contacto directo con material fecal de animales o personas infectados. Los vehículos principales del contagio han sido carne de aves de corral mal cocida, agua no potabilizada y leche no pasteurizada. Se ha corroborado la aparición de brotes en niños de edad escolar que bebieron leche no pasteurizada durante excursiones al campo a granjas lecheras. En ocasiones surge el contagio directo de una persona a otra, particularmente en niños de muy corta edad, y también en contadas ocasiones se han notificado brotes de diarrea en centros de atención pediátrica. También se ha sabido de transmisión directa de una </w:t>
      </w:r>
    </w:p>
    <w:p w14:paraId="2135043F" w14:textId="77777777" w:rsidR="00093A32" w:rsidRDefault="00093A32">
      <w:pPr>
        <w:pStyle w:val="BodyText"/>
        <w:ind w:firstLine="0"/>
        <w:rPr>
          <w:sz w:val="16"/>
          <w:szCs w:val="16"/>
        </w:rPr>
      </w:pPr>
      <w:r>
        <w:t xml:space="preserve">persona a otra en el caso de neonatos de madres infectadas, y ha originado brotes en las salas de cuna. En la infección en etapa perinatal, </w:t>
      </w:r>
      <w:r>
        <w:rPr>
          <w:rFonts w:ascii="Times New Roman" w:eastAsia="Times New Roman" w:hAnsi="Times New Roman" w:cs="Times New Roman"/>
          <w:i/>
          <w:iCs/>
          <w:sz w:val="16"/>
          <w:szCs w:val="16"/>
        </w:rPr>
        <w:t>C. jejuni</w:t>
      </w:r>
      <w:r>
        <w:t xml:space="preserve"> y </w:t>
      </w:r>
      <w:r>
        <w:rPr>
          <w:rFonts w:ascii="Times New Roman" w:eastAsia="Times New Roman" w:hAnsi="Times New Roman" w:cs="Times New Roman"/>
          <w:i/>
          <w:iCs/>
          <w:sz w:val="16"/>
          <w:szCs w:val="16"/>
        </w:rPr>
        <w:t>C. coli</w:t>
      </w:r>
      <w:r>
        <w:t xml:space="preserve"> por lo común han causado gastroenteritis neonatal, en tanto que </w:t>
      </w:r>
      <w:r>
        <w:rPr>
          <w:rFonts w:ascii="Times New Roman" w:eastAsia="Times New Roman" w:hAnsi="Times New Roman" w:cs="Times New Roman"/>
          <w:i/>
          <w:iCs/>
          <w:sz w:val="16"/>
          <w:szCs w:val="16"/>
        </w:rPr>
        <w:t>C. fetus</w:t>
      </w:r>
      <w:r>
        <w:t xml:space="preserve"> a veces origina septicemia o meningitis en neonatos. La enteritis puede afectar a personas de cualquier edad. Pocas veces hay capacidad de transmisión, pero alcanza su punto máximo durante la fase aguda de la enfermedad. La excreción de los microorganismos por lo regular es breve y dura de manera típica dos a tres semanas, sin tratamiento. Los principales microorganismos detectados por la </w:t>
      </w:r>
      <w:r>
        <w:rPr>
          <w:rFonts w:ascii="Times New Roman" w:eastAsia="Times New Roman" w:hAnsi="Times New Roman" w:cs="Times New Roman"/>
          <w:i/>
          <w:iCs/>
          <w:sz w:val="16"/>
          <w:szCs w:val="16"/>
        </w:rPr>
        <w:t xml:space="preserve">Foodborne Diseases Active Surveillance Network </w:t>
      </w:r>
      <w:r>
        <w:t xml:space="preserve">(FoodNet)* son </w:t>
      </w:r>
      <w:r>
        <w:rPr>
          <w:rFonts w:ascii="Times New Roman" w:eastAsia="Times New Roman" w:hAnsi="Times New Roman" w:cs="Times New Roman"/>
          <w:i/>
          <w:iCs/>
          <w:sz w:val="16"/>
          <w:szCs w:val="16"/>
        </w:rPr>
        <w:t>Campylobacter jejuni</w:t>
      </w:r>
      <w:r>
        <w:t xml:space="preserve"> y </w:t>
      </w:r>
      <w:r>
        <w:rPr>
          <w:rFonts w:ascii="Times New Roman" w:eastAsia="Times New Roman" w:hAnsi="Times New Roman" w:cs="Times New Roman"/>
          <w:i/>
          <w:iCs/>
          <w:sz w:val="16"/>
          <w:szCs w:val="16"/>
        </w:rPr>
        <w:t>C. coli.</w:t>
      </w:r>
    </w:p>
    <w:p w14:paraId="09F09DFD" w14:textId="77777777" w:rsidR="00093A32" w:rsidRDefault="00093A32">
      <w:pPr>
        <w:pStyle w:val="BodyText"/>
        <w:spacing w:line="271" w:lineRule="auto"/>
        <w:ind w:firstLine="360"/>
      </w:pPr>
      <w:r>
        <w:t xml:space="preserve">El </w:t>
      </w:r>
      <w:r>
        <w:rPr>
          <w:b/>
          <w:bCs/>
        </w:rPr>
        <w:t xml:space="preserve">periodo de incubación </w:t>
      </w:r>
      <w:r>
        <w:t xml:space="preserve">suele ser de uno a siete días, aunque puede ser más largo. </w:t>
      </w:r>
      <w:r>
        <w:rPr>
          <w:b/>
          <w:bCs/>
        </w:rPr>
        <w:t>M</w:t>
      </w:r>
      <w:r>
        <w:rPr>
          <w:b/>
          <w:bCs/>
          <w:sz w:val="13"/>
          <w:szCs w:val="13"/>
        </w:rPr>
        <w:t>ÉTODOS DIAGNÓSTICOS</w:t>
      </w:r>
      <w:r>
        <w:rPr>
          <w:b/>
          <w:bCs/>
        </w:rPr>
        <w:t xml:space="preserve">: </w:t>
      </w:r>
      <w:r>
        <w:t xml:space="preserve">Es posible plantear un diagnóstico presuncional rápido, en los laboratorios expertos en el examen de frotis de excrementos, por medio de técnicas de microscopia en campo oscuro o con tinción de Gram, si bien la sensibilidad de ellas es pequeña. Se puede cultivar </w:t>
      </w:r>
      <w:r>
        <w:rPr>
          <w:rFonts w:ascii="Times New Roman" w:eastAsia="Times New Roman" w:hAnsi="Times New Roman" w:cs="Times New Roman"/>
          <w:i/>
          <w:iCs/>
          <w:sz w:val="16"/>
          <w:szCs w:val="16"/>
        </w:rPr>
        <w:t>Campylobacter jejuni</w:t>
      </w:r>
      <w:r>
        <w:t xml:space="preserve"> y </w:t>
      </w:r>
      <w:r>
        <w:rPr>
          <w:rFonts w:ascii="Times New Roman" w:eastAsia="Times New Roman" w:hAnsi="Times New Roman" w:cs="Times New Roman"/>
          <w:i/>
          <w:iCs/>
          <w:sz w:val="16"/>
          <w:szCs w:val="16"/>
        </w:rPr>
        <w:t>C. coli</w:t>
      </w:r>
      <w:r>
        <w:t xml:space="preserve"> de las heces, y especies de </w:t>
      </w:r>
      <w:r>
        <w:rPr>
          <w:rFonts w:ascii="Times New Roman" w:eastAsia="Times New Roman" w:hAnsi="Times New Roman" w:cs="Times New Roman"/>
          <w:i/>
          <w:iCs/>
          <w:sz w:val="16"/>
          <w:szCs w:val="16"/>
        </w:rPr>
        <w:t>Campylobacter</w:t>
      </w:r>
      <w:r>
        <w:t xml:space="preserve">, incluidas </w:t>
      </w:r>
      <w:r>
        <w:rPr>
          <w:rFonts w:ascii="Times New Roman" w:eastAsia="Times New Roman" w:hAnsi="Times New Roman" w:cs="Times New Roman"/>
          <w:i/>
          <w:iCs/>
          <w:sz w:val="16"/>
          <w:szCs w:val="16"/>
        </w:rPr>
        <w:t>C. fetus,</w:t>
      </w:r>
      <w:r>
        <w:t xml:space="preserve"> de la sangre. La identificación de </w:t>
      </w:r>
      <w:r>
        <w:rPr>
          <w:rFonts w:ascii="Times New Roman" w:eastAsia="Times New Roman" w:hAnsi="Times New Roman" w:cs="Times New Roman"/>
          <w:i/>
          <w:iCs/>
          <w:sz w:val="16"/>
          <w:szCs w:val="16"/>
        </w:rPr>
        <w:t>C. jejuni</w:t>
      </w:r>
      <w:r>
        <w:t xml:space="preserve"> y </w:t>
      </w:r>
      <w:r>
        <w:rPr>
          <w:rFonts w:ascii="Times New Roman" w:eastAsia="Times New Roman" w:hAnsi="Times New Roman" w:cs="Times New Roman"/>
          <w:i/>
          <w:iCs/>
          <w:sz w:val="16"/>
          <w:szCs w:val="16"/>
        </w:rPr>
        <w:t>C. coli</w:t>
      </w:r>
      <w:r>
        <w:t xml:space="preserve"> en muestras de excremento, en el laboratorio, obliga a usar medios selectivos, un entorno microaerófilo y temperatura de incubación de 42°C. Salvo que el laboratorio utilice un método de filtración además del medio de crecimiento que contenga antimicrobianos para suprimir la flora del colon, no se detectarán muchas especies de </w:t>
      </w:r>
      <w:r>
        <w:rPr>
          <w:rFonts w:ascii="Times New Roman" w:eastAsia="Times New Roman" w:hAnsi="Times New Roman" w:cs="Times New Roman"/>
          <w:i/>
          <w:iCs/>
          <w:sz w:val="16"/>
          <w:szCs w:val="16"/>
        </w:rPr>
        <w:t>Campylobacter</w:t>
      </w:r>
      <w:r>
        <w:t xml:space="preserve">, salvo </w:t>
      </w:r>
      <w:r>
        <w:rPr>
          <w:rFonts w:ascii="Times New Roman" w:eastAsia="Times New Roman" w:hAnsi="Times New Roman" w:cs="Times New Roman"/>
          <w:i/>
          <w:iCs/>
          <w:sz w:val="16"/>
          <w:szCs w:val="16"/>
        </w:rPr>
        <w:t>C. jejuni</w:t>
      </w:r>
      <w:r>
        <w:t xml:space="preserve"> y </w:t>
      </w:r>
      <w:r>
        <w:rPr>
          <w:rFonts w:ascii="Times New Roman" w:eastAsia="Times New Roman" w:hAnsi="Times New Roman" w:cs="Times New Roman"/>
          <w:i/>
          <w:iCs/>
          <w:sz w:val="16"/>
          <w:szCs w:val="16"/>
        </w:rPr>
        <w:t>C. coli.</w:t>
      </w:r>
      <w:r>
        <w:t xml:space="preserve"> Es posible no aislar </w:t>
      </w:r>
      <w:r>
        <w:rPr>
          <w:rFonts w:ascii="Times New Roman" w:eastAsia="Times New Roman" w:hAnsi="Times New Roman" w:cs="Times New Roman"/>
          <w:i/>
          <w:iCs/>
          <w:sz w:val="16"/>
          <w:szCs w:val="16"/>
        </w:rPr>
        <w:t xml:space="preserve">Campylobacter upsaliensis, C. hyointestinalis </w:t>
      </w:r>
      <w:r>
        <w:t xml:space="preserve">y </w:t>
      </w:r>
      <w:r>
        <w:rPr>
          <w:rFonts w:ascii="Times New Roman" w:eastAsia="Times New Roman" w:hAnsi="Times New Roman" w:cs="Times New Roman"/>
          <w:i/>
          <w:iCs/>
          <w:sz w:val="16"/>
          <w:szCs w:val="16"/>
        </w:rPr>
        <w:t>C. fetus</w:t>
      </w:r>
      <w:r>
        <w:t xml:space="preserve"> por la susceptibilidad de tales cepas en los medios selectivos que tienen antimicrobianos. Las especies de </w:t>
      </w:r>
      <w:r>
        <w:rPr>
          <w:rFonts w:ascii="Times New Roman" w:eastAsia="Times New Roman" w:hAnsi="Times New Roman" w:cs="Times New Roman"/>
          <w:i/>
          <w:iCs/>
          <w:sz w:val="16"/>
          <w:szCs w:val="16"/>
        </w:rPr>
        <w:t>Campylobacter</w:t>
      </w:r>
      <w:r>
        <w:t xml:space="preserve"> se detectan en muestras de excremento por medio de algún inmunoanálisis enzimático o reacción en cadena de polimerasa, pero no se practican de manera generalizada. </w:t>
      </w:r>
      <w:r>
        <w:rPr>
          <w:b/>
          <w:bCs/>
        </w:rPr>
        <w:t>T</w:t>
      </w:r>
      <w:r>
        <w:rPr>
          <w:b/>
          <w:bCs/>
          <w:sz w:val="13"/>
          <w:szCs w:val="13"/>
        </w:rPr>
        <w:t>RATAMIENTO</w:t>
      </w:r>
      <w:r>
        <w:rPr>
          <w:b/>
          <w:bCs/>
        </w:rPr>
        <w:t xml:space="preserve">: </w:t>
      </w:r>
      <w:r>
        <w:t xml:space="preserve">La eritromicina y la azitromicina hidratada acortan la enfermedad y evitan la recaída si se administran tempranamente en la infección de vías gastrointestinales. La administración de cualquiera de las dos por lo regular permite erradicar el microorganismo de los excrementos, en término de dos a tres días. Otro agente al que cabe recurrir es la doxiciclina para niños de ocho años o mayores. Una fluoroquinolona como la ciprofloxacina es eficaz, pero en Estados Unidos, la Food and Drug Administration no ha aprobado el uso de quinolonas para personas menores de 18 años (véase “Antimicrobianos y fármacos similares”, sección 4). Si se usan los antimicrobianos para tratar la gastroenteritis, se recomienda que la administración dure cinco a siete días. Los antimicrobianos para tratar la bacteriemia deben ser escogidos con base en las pruebas de susceptibilidad a antimicrobianos; las especies de </w:t>
      </w:r>
      <w:r>
        <w:rPr>
          <w:rFonts w:ascii="Times New Roman" w:eastAsia="Times New Roman" w:hAnsi="Times New Roman" w:cs="Times New Roman"/>
          <w:i/>
          <w:iCs/>
          <w:sz w:val="16"/>
          <w:szCs w:val="16"/>
        </w:rPr>
        <w:t xml:space="preserve">Campylobacter </w:t>
      </w:r>
      <w:r>
        <w:t xml:space="preserve">casi siempre son susceptibles a los aminoglucósidos, meropenem e imipenem. </w:t>
      </w:r>
      <w:r>
        <w:rPr>
          <w:b/>
          <w:bCs/>
        </w:rPr>
        <w:t>A</w:t>
      </w:r>
      <w:r>
        <w:rPr>
          <w:b/>
          <w:bCs/>
          <w:sz w:val="13"/>
          <w:szCs w:val="13"/>
        </w:rPr>
        <w:t>ISLAMIENTO DEL PACIENTE HOSPITALIZADO</w:t>
      </w:r>
      <w:r>
        <w:rPr>
          <w:b/>
          <w:bCs/>
        </w:rPr>
        <w:t xml:space="preserve">: </w:t>
      </w:r>
      <w:r>
        <w:t>Además de las precauciones estándar se recomienda seguir precauciones para evitar la transmisión por contacto en niños con pañales e incontinentes durante el tiempo que dure la enfermedad.</w:t>
      </w:r>
    </w:p>
    <w:p w14:paraId="6EE99B42" w14:textId="77777777" w:rsidR="00093A32" w:rsidRDefault="00093A32">
      <w:pPr>
        <w:pStyle w:val="Other0"/>
        <w:spacing w:line="257" w:lineRule="auto"/>
        <w:ind w:firstLine="0"/>
        <w:rPr>
          <w:sz w:val="16"/>
          <w:szCs w:val="16"/>
        </w:rPr>
      </w:pPr>
      <w:r>
        <w:rPr>
          <w:b/>
          <w:bCs/>
          <w:smallCaps/>
          <w:sz w:val="20"/>
          <w:szCs w:val="20"/>
        </w:rPr>
        <w:t>M</w:t>
      </w:r>
      <w:r>
        <w:rPr>
          <w:b/>
          <w:bCs/>
          <w:smallCaps/>
          <w:sz w:val="16"/>
          <w:szCs w:val="16"/>
        </w:rPr>
        <w:t>edidas de control</w:t>
      </w:r>
    </w:p>
    <w:p w14:paraId="12F618D8" w14:textId="77777777" w:rsidR="00093A32" w:rsidRDefault="00093A32">
      <w:pPr>
        <w:pStyle w:val="BodyText"/>
        <w:spacing w:after="500"/>
        <w:ind w:left="360" w:hanging="360"/>
      </w:pPr>
      <w:r>
        <w:t>• Es muy importante lavarse las manos en forma meticulosa después de manipular carne cruda de aves de corral, lavar perfectamente con agua y jabón los tablones para picar y los utensilios después de estar en contacto con la carne mencionada, evitar el contacto de frutas y verduras con el jugo de la carne cruda de las aves y cocer muy bien la carne.</w:t>
      </w:r>
    </w:p>
    <w:p w14:paraId="0623DAE2" w14:textId="77777777" w:rsidR="00093A32" w:rsidRDefault="00093A32">
      <w:pPr>
        <w:pStyle w:val="Bodytext20"/>
        <w:pBdr>
          <w:top w:val="single" w:sz="4" w:space="0" w:color="auto"/>
        </w:pBdr>
        <w:spacing w:after="240" w:line="240" w:lineRule="auto"/>
        <w:ind w:firstLine="140"/>
        <w:rPr>
          <w:sz w:val="15"/>
          <w:szCs w:val="15"/>
        </w:rPr>
      </w:pPr>
      <w:hyperlink r:id="rId95" w:history="1">
        <w:r>
          <w:rPr>
            <w:sz w:val="15"/>
            <w:szCs w:val="15"/>
          </w:rPr>
          <w:t>www.cdc.gov/foodnet</w:t>
        </w:r>
      </w:hyperlink>
      <w:r>
        <w:rPr>
          <w:sz w:val="15"/>
          <w:szCs w:val="15"/>
        </w:rPr>
        <w:t>.</w:t>
      </w:r>
    </w:p>
    <w:p w14:paraId="2890BD5C" w14:textId="77777777" w:rsidR="00093A32" w:rsidRDefault="00093A32">
      <w:pPr>
        <w:pStyle w:val="BodyText"/>
        <w:numPr>
          <w:ilvl w:val="0"/>
          <w:numId w:val="57"/>
        </w:numPr>
        <w:tabs>
          <w:tab w:val="left" w:pos="338"/>
        </w:tabs>
        <w:ind w:left="360" w:hanging="360"/>
      </w:pPr>
      <w:bookmarkStart w:id="15" w:name="bookmark621"/>
      <w:bookmarkEnd w:id="15"/>
      <w:r>
        <w:t>Seguir normas estrictas de higiene manual después de estar en contacto con excrementos de perros y gatos, en particular los de cachorritos de perros y gatos con diarrea.</w:t>
      </w:r>
    </w:p>
    <w:p w14:paraId="53BD412C" w14:textId="77777777" w:rsidR="00093A32" w:rsidRDefault="00093A32">
      <w:pPr>
        <w:pStyle w:val="BodyText"/>
        <w:numPr>
          <w:ilvl w:val="0"/>
          <w:numId w:val="57"/>
        </w:numPr>
        <w:tabs>
          <w:tab w:val="left" w:pos="338"/>
        </w:tabs>
        <w:ind w:firstLine="0"/>
      </w:pPr>
      <w:bookmarkStart w:id="16" w:name="bookmark622"/>
      <w:bookmarkEnd w:id="16"/>
      <w:r>
        <w:t>Un aspecto importante es pasteurizar la leche y clorar el agua potable.</w:t>
      </w:r>
    </w:p>
    <w:p w14:paraId="1E7A0B27" w14:textId="77777777" w:rsidR="00093A32" w:rsidRDefault="00093A32">
      <w:pPr>
        <w:pStyle w:val="BodyText"/>
        <w:numPr>
          <w:ilvl w:val="0"/>
          <w:numId w:val="57"/>
        </w:numPr>
        <w:tabs>
          <w:tab w:val="left" w:pos="338"/>
        </w:tabs>
        <w:ind w:left="360" w:hanging="360"/>
      </w:pPr>
      <w:bookmarkStart w:id="17" w:name="bookmark623"/>
      <w:bookmarkEnd w:id="17"/>
      <w:r>
        <w:t>Es indispensable alejar a toda persona sintomática, de tareas de manipulación de alimentos, atención de pacientes en hospitales y cuidado de personas en instituciones de atención a largo plazo y pediátricas.</w:t>
      </w:r>
    </w:p>
    <w:p w14:paraId="4B0AACA9" w14:textId="77777777" w:rsidR="00093A32" w:rsidRDefault="00093A32">
      <w:pPr>
        <w:pStyle w:val="BodyText"/>
        <w:numPr>
          <w:ilvl w:val="0"/>
          <w:numId w:val="57"/>
        </w:numPr>
        <w:tabs>
          <w:tab w:val="left" w:pos="338"/>
        </w:tabs>
        <w:ind w:left="360" w:hanging="360"/>
      </w:pPr>
      <w:bookmarkStart w:id="18" w:name="bookmark624"/>
      <w:bookmarkEnd w:id="18"/>
      <w:r>
        <w:t>No es necesario excluir de sus labores a individuos infectados que manejan alimentos y empleados de hospital si están asintomáticos, y también si cumplen las medidas de higiene personal, incluida la de las manos.</w:t>
      </w:r>
    </w:p>
    <w:p w14:paraId="738EB2E5" w14:textId="77777777" w:rsidR="00093A32" w:rsidRDefault="00093A32">
      <w:pPr>
        <w:pStyle w:val="BodyText"/>
        <w:numPr>
          <w:ilvl w:val="0"/>
          <w:numId w:val="57"/>
        </w:numPr>
        <w:tabs>
          <w:tab w:val="left" w:pos="338"/>
        </w:tabs>
        <w:ind w:left="360" w:hanging="360"/>
      </w:pPr>
      <w:bookmarkStart w:id="19" w:name="bookmark625"/>
      <w:bookmarkEnd w:id="19"/>
      <w:r>
        <w:t xml:space="preserve">Pocas veces surgen brotes en centros de atención de niños. En estos casos se recomienda seguir las medidas generales para controlar la transmisión intestinal en dichos centros de atención (véase “Niños en el sistema asistencial extrahogareño”, sección 2). Es importante excluir del centro de atención a lactantes y niños en pañales que presenten la infección sintomática por </w:t>
      </w:r>
      <w:r>
        <w:rPr>
          <w:rFonts w:ascii="Times New Roman" w:eastAsia="Times New Roman" w:hAnsi="Times New Roman" w:cs="Times New Roman"/>
          <w:i/>
          <w:iCs/>
          <w:sz w:val="16"/>
          <w:szCs w:val="16"/>
        </w:rPr>
        <w:t>C. jejuni,</w:t>
      </w:r>
      <w:r>
        <w:t xml:space="preserve"> o bien atenderlos en un área separada hasta que no tengan diarrea. El uso de eritromicina o azitromicina puede frenar todavía más la posibilidad de transmisión.</w:t>
      </w:r>
    </w:p>
    <w:p w14:paraId="447203C9" w14:textId="77777777" w:rsidR="00093A32" w:rsidRDefault="00093A32">
      <w:pPr>
        <w:pStyle w:val="BodyText"/>
        <w:numPr>
          <w:ilvl w:val="0"/>
          <w:numId w:val="57"/>
        </w:numPr>
        <w:tabs>
          <w:tab w:val="left" w:pos="338"/>
        </w:tabs>
        <w:spacing w:after="100"/>
        <w:ind w:firstLine="0"/>
      </w:pPr>
      <w:bookmarkStart w:id="20" w:name="bookmark626"/>
      <w:bookmarkEnd w:id="20"/>
      <w:r>
        <w:t>No se recomienda hacer cultivos de excremento en niños asintomáticos expuestos.</w:t>
      </w:r>
    </w:p>
    <w:p w14:paraId="650814F4" w14:textId="77777777" w:rsidR="00093A32" w:rsidRDefault="00093A32">
      <w:pPr>
        <w:pStyle w:val="Bodytext70"/>
        <w:spacing w:after="0"/>
      </w:pPr>
      <w:r>
        <w:t>Candidiasis</w:t>
      </w:r>
    </w:p>
    <w:p w14:paraId="0218B3CE"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(Moliniasis, algodoncillo)</w:t>
      </w:r>
    </w:p>
    <w:p w14:paraId="08B68D2D" w14:textId="77777777" w:rsidR="00093A32" w:rsidRDefault="00093A32">
      <w:pPr>
        <w:pStyle w:val="BodyText"/>
        <w:ind w:firstLine="0"/>
      </w:pPr>
      <w:r>
        <w:rPr>
          <w:b/>
          <w:bCs/>
        </w:rPr>
        <w:t>M</w:t>
      </w:r>
      <w:r>
        <w:rPr>
          <w:b/>
          <w:bCs/>
          <w:sz w:val="13"/>
          <w:szCs w:val="13"/>
        </w:rPr>
        <w:t>ANIFESTACIONES CLÍNICAS</w:t>
      </w:r>
      <w:r>
        <w:rPr>
          <w:b/>
          <w:bCs/>
        </w:rPr>
        <w:t xml:space="preserve">: </w:t>
      </w:r>
      <w:r>
        <w:t>La infección mucocutánea origina candidiasis de la boca (algodoncillo) o de la vagina; lesiones intertriginosas de los pliegues glúteos, el cuello, las ingles y las axilas, paroniquia y oniquia. La candidiasis mucocutánea crónica puede acompañar a enfermedades endocrinas o cuadros de inmunodeficiencia, en particular los que afectan los linfocitos T. La candidiasis de la boca puede ser el signo inicial del ataque por virus de inmunodeficiencia humana (VIH). La candidiasis de esófago y laringe a veces surge en personas inmunodeficientes. La forma diseminada o invasora se observa en neonatos de bajísimo peso y en hospedadores inmunodeficientes o debilitados, en los que puede afectar prácticamente a cualquier órgano o sitio anatómico y llevar a la muerte en muy breve plazo. La presencia de las típicas lesiones de retina, si bien poco comunes en los neonatos de bajísimo peso y en otros sujetos inmunodeficientes, puede ser un signo útil en el diagnóstico. La candidemia a veces aparece con enfermedades sistémicas, o sin ellas, en personas que tienen catéteres a permanencia en vasos, o personas que reciben por largo tiempo soluciones intravenosas en venoclisis, en particular la alimentación y los lípidos parenterales. La candiduria aparece a veces en personas que tienen a permanencia sondas en vejiga o alguna enfermedad diseminada.</w:t>
      </w:r>
    </w:p>
    <w:p w14:paraId="5E52B8B0" w14:textId="77777777" w:rsidR="00093A32" w:rsidRDefault="00093A32">
      <w:pPr>
        <w:pStyle w:val="BodyText"/>
        <w:spacing w:line="276" w:lineRule="auto"/>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Candida albicans</w:t>
      </w:r>
      <w:r>
        <w:t xml:space="preserve"> es el germen que causa gran parte de las infecciones (50 a 60%). Otras especies de </w:t>
      </w:r>
      <w:r>
        <w:rPr>
          <w:rFonts w:ascii="Times New Roman" w:eastAsia="Times New Roman" w:hAnsi="Times New Roman" w:cs="Times New Roman"/>
          <w:i/>
          <w:iCs/>
          <w:sz w:val="16"/>
          <w:szCs w:val="16"/>
        </w:rPr>
        <w:t>Candida</w:t>
      </w:r>
      <w:r>
        <w:t xml:space="preserve"> que también causan infecciones graves en hospedadores inmunodeficientes son: </w:t>
      </w:r>
      <w:r>
        <w:rPr>
          <w:rFonts w:ascii="Times New Roman" w:eastAsia="Times New Roman" w:hAnsi="Times New Roman" w:cs="Times New Roman"/>
          <w:i/>
          <w:iCs/>
          <w:sz w:val="16"/>
          <w:szCs w:val="16"/>
        </w:rPr>
        <w:t>C. tropicalis, C. parapsilosis, C. glabrata, C. krusei, C. guilliermondii, C. lusitaniae</w:t>
      </w:r>
      <w:r>
        <w:t xml:space="preserve"> y </w:t>
      </w:r>
      <w:r>
        <w:rPr>
          <w:rFonts w:ascii="Times New Roman" w:eastAsia="Times New Roman" w:hAnsi="Times New Roman" w:cs="Times New Roman"/>
          <w:i/>
          <w:iCs/>
          <w:sz w:val="16"/>
          <w:szCs w:val="16"/>
        </w:rPr>
        <w:t>C. dubliniensis. Candida parapsilosis</w:t>
      </w:r>
      <w:r>
        <w:t xml:space="preserve"> es causa frecuente de candidiasis sistémica en neonatos de bajísimo peso.</w:t>
      </w:r>
    </w:p>
    <w:p w14:paraId="26841165" w14:textId="77777777" w:rsidR="00093A32" w:rsidRDefault="00093A32">
      <w:pPr>
        <w:pStyle w:val="BodyText"/>
        <w:spacing w:after="60" w:line="266"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rPr>
          <w:rFonts w:ascii="Times New Roman" w:eastAsia="Times New Roman" w:hAnsi="Times New Roman" w:cs="Times New Roman"/>
          <w:i/>
          <w:iCs/>
          <w:sz w:val="16"/>
          <w:szCs w:val="16"/>
        </w:rPr>
        <w:t>Candida albicans</w:t>
      </w:r>
      <w:r>
        <w:t xml:space="preserve"> es un microorganismo de muy amplia distribución. A semejanza de otras especies de </w:t>
      </w:r>
      <w:r>
        <w:rPr>
          <w:rFonts w:ascii="Times New Roman" w:eastAsia="Times New Roman" w:hAnsi="Times New Roman" w:cs="Times New Roman"/>
          <w:i/>
          <w:iCs/>
          <w:sz w:val="16"/>
          <w:szCs w:val="16"/>
        </w:rPr>
        <w:t>Candida</w:t>
      </w:r>
      <w:r>
        <w:t xml:space="preserve">, </w:t>
      </w:r>
      <w:r>
        <w:rPr>
          <w:rFonts w:ascii="Times New Roman" w:eastAsia="Times New Roman" w:hAnsi="Times New Roman" w:cs="Times New Roman"/>
          <w:i/>
          <w:iCs/>
          <w:sz w:val="16"/>
          <w:szCs w:val="16"/>
        </w:rPr>
        <w:t>C. albicans</w:t>
      </w:r>
      <w:r>
        <w:t xml:space="preserve"> aparece en la piel o en la boca, vías intestinales y vagina de personas inmunocompetentes. En ocasiones el embarazo se acompaña de candidiasis vulvovaginal y el neonato puede contagiarse de Candida in utero, durante su paso por el conducto del parto o en etapa posnatal. La infección mucocutánea leve es frecuente en producto sanos. Sólo en raras ocasiones hay</w:t>
      </w:r>
    </w:p>
    <w:p w14:paraId="339C159A" w14:textId="77777777" w:rsidR="00093A32" w:rsidRDefault="00093A32">
      <w:pPr>
        <w:pStyle w:val="BodyText"/>
        <w:numPr>
          <w:ilvl w:val="0"/>
          <w:numId w:val="57"/>
        </w:numPr>
        <w:tabs>
          <w:tab w:val="left" w:pos="338"/>
        </w:tabs>
        <w:ind w:left="360" w:hanging="360"/>
      </w:pPr>
      <w:bookmarkStart w:id="21" w:name="bookmark627"/>
      <w:bookmarkEnd w:id="21"/>
      <w:r>
        <w:t>Seguir normas estrictas de higiene manual después de estar en contacto con excrementos de perros y gatos, en particular los de cachorritos de perros y gatos con diarrea.</w:t>
      </w:r>
    </w:p>
    <w:p w14:paraId="05F57A7C" w14:textId="77777777" w:rsidR="00093A32" w:rsidRDefault="00093A32">
      <w:pPr>
        <w:pStyle w:val="BodyText"/>
        <w:numPr>
          <w:ilvl w:val="0"/>
          <w:numId w:val="57"/>
        </w:numPr>
        <w:tabs>
          <w:tab w:val="left" w:pos="338"/>
        </w:tabs>
        <w:ind w:firstLine="0"/>
      </w:pPr>
      <w:bookmarkStart w:id="22" w:name="bookmark628"/>
      <w:bookmarkEnd w:id="22"/>
      <w:r>
        <w:t>Un aspecto importante es pasteurizar la leche y clorar el agua potable.</w:t>
      </w:r>
    </w:p>
    <w:p w14:paraId="356889BD" w14:textId="77777777" w:rsidR="00093A32" w:rsidRDefault="00093A32">
      <w:pPr>
        <w:pStyle w:val="BodyText"/>
        <w:numPr>
          <w:ilvl w:val="0"/>
          <w:numId w:val="57"/>
        </w:numPr>
        <w:tabs>
          <w:tab w:val="left" w:pos="338"/>
        </w:tabs>
        <w:ind w:left="360" w:hanging="360"/>
      </w:pPr>
      <w:bookmarkStart w:id="23" w:name="bookmark629"/>
      <w:bookmarkEnd w:id="23"/>
      <w:r>
        <w:t>Es indispensable alejar a toda persona sintomática, de tareas de manipulación de alimentos, atención de pacientes en hospitales y cuidado de personas en instituciones de atención a largo plazo y pediátricas.</w:t>
      </w:r>
    </w:p>
    <w:p w14:paraId="0678F553" w14:textId="77777777" w:rsidR="00093A32" w:rsidRDefault="00093A32">
      <w:pPr>
        <w:pStyle w:val="BodyText"/>
        <w:numPr>
          <w:ilvl w:val="0"/>
          <w:numId w:val="57"/>
        </w:numPr>
        <w:tabs>
          <w:tab w:val="left" w:pos="338"/>
        </w:tabs>
        <w:ind w:left="360" w:hanging="360"/>
      </w:pPr>
      <w:bookmarkStart w:id="24" w:name="bookmark630"/>
      <w:bookmarkEnd w:id="24"/>
      <w:r>
        <w:t>No es necesario excluir de sus labores a individuos infectados que manejan alimentos y empleados de hospital si están asintomáticos, y también si cumplen las medidas de higiene personal, incluida la de las manos.</w:t>
      </w:r>
    </w:p>
    <w:p w14:paraId="69682693" w14:textId="77777777" w:rsidR="00093A32" w:rsidRDefault="00093A32">
      <w:pPr>
        <w:pStyle w:val="BodyText"/>
        <w:numPr>
          <w:ilvl w:val="0"/>
          <w:numId w:val="57"/>
        </w:numPr>
        <w:tabs>
          <w:tab w:val="left" w:pos="338"/>
        </w:tabs>
        <w:ind w:left="360" w:hanging="360"/>
      </w:pPr>
      <w:bookmarkStart w:id="25" w:name="bookmark631"/>
      <w:bookmarkEnd w:id="25"/>
      <w:r>
        <w:t xml:space="preserve">Pocas veces surgen brotes en centros de atención de niños. En estos casos se recomienda seguir las medidas generales para controlar la transmisión intestinal en dichos centros de atención (véase “Niños en el sistema asistencial extrahogareño”, sección 2). Es importante excluir del centro de atención a lactantes y niños en pañales que presenten la infección sintomática por </w:t>
      </w:r>
      <w:r>
        <w:rPr>
          <w:rFonts w:ascii="Times New Roman" w:eastAsia="Times New Roman" w:hAnsi="Times New Roman" w:cs="Times New Roman"/>
          <w:i/>
          <w:iCs/>
          <w:sz w:val="16"/>
          <w:szCs w:val="16"/>
        </w:rPr>
        <w:t>C. jejuni,</w:t>
      </w:r>
      <w:r>
        <w:t xml:space="preserve"> o bien atenderlos en un área separada hasta que no tengan diarrea. El uso de eritromicina o azitromicina puede frenar todavía más la posibilidad de transmisión.</w:t>
      </w:r>
    </w:p>
    <w:p w14:paraId="5B9CC2CC" w14:textId="77777777" w:rsidR="00093A32" w:rsidRDefault="00093A32">
      <w:pPr>
        <w:pStyle w:val="BodyText"/>
        <w:numPr>
          <w:ilvl w:val="0"/>
          <w:numId w:val="57"/>
        </w:numPr>
        <w:tabs>
          <w:tab w:val="left" w:pos="338"/>
        </w:tabs>
        <w:spacing w:after="100"/>
        <w:ind w:firstLine="0"/>
      </w:pPr>
      <w:bookmarkStart w:id="26" w:name="bookmark632"/>
      <w:bookmarkEnd w:id="26"/>
      <w:r>
        <w:t>No se recomienda hacer cultivos de excremento en niños asintomáticos expuestos.</w:t>
      </w:r>
    </w:p>
    <w:p w14:paraId="27E9ED71" w14:textId="77777777" w:rsidR="00093A32" w:rsidRDefault="00093A32">
      <w:pPr>
        <w:pStyle w:val="Bodytext70"/>
        <w:spacing w:after="0"/>
      </w:pPr>
      <w:r>
        <w:t>Candidiasis</w:t>
      </w:r>
    </w:p>
    <w:p w14:paraId="5446E004"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(Moliniasis, algodoncillo)</w:t>
      </w:r>
    </w:p>
    <w:p w14:paraId="3E0CDCBC" w14:textId="77777777" w:rsidR="00093A32" w:rsidRDefault="00093A32">
      <w:pPr>
        <w:pStyle w:val="BodyText"/>
        <w:ind w:firstLine="0"/>
      </w:pPr>
      <w:r>
        <w:rPr>
          <w:b/>
          <w:bCs/>
        </w:rPr>
        <w:t>M</w:t>
      </w:r>
      <w:r>
        <w:rPr>
          <w:b/>
          <w:bCs/>
          <w:sz w:val="13"/>
          <w:szCs w:val="13"/>
        </w:rPr>
        <w:t>ANIFESTACIONES CLÍNICAS</w:t>
      </w:r>
      <w:r>
        <w:rPr>
          <w:b/>
          <w:bCs/>
        </w:rPr>
        <w:t xml:space="preserve">: </w:t>
      </w:r>
      <w:r>
        <w:t>La infección mucocutánea origina candidiasis de la boca (algodoncillo) o de la vagina; lesiones intertriginosas de los pliegues glúteos, el cuello, las ingles y las axilas, paroniquia y oniquia. La candidiasis mucocutánea crónica puede acompañar a enfermedades endocrinas o cuadros de inmunodeficiencia, en particular los que afectan los linfocitos T. La candidiasis de la boca puede ser el signo inicial del ataque por virus de inmunodeficiencia humana (VIH). La candidiasis de esófago y laringe a veces surge en personas inmunodeficientes. La forma diseminada o invasora se observa en neonatos de bajísimo peso y en hospedadores inmunodeficientes o debilitados, en los que puede afectar prácticamente a cualquier órgano o sitio anatómico y llevar a la muerte en muy breve plazo. La presencia de las típicas lesiones de retina, si bien poco comunes en los neonatos de bajísimo peso y en otros sujetos inmunodeficientes, puede ser un signo útil en el diagnóstico. La candidemia a veces aparece con enfermedades sistémicas, o sin ellas, en personas que tienen catéteres a permanencia en vasos, o personas que reciben por largo tiempo soluciones intravenosas en venoclisis, en particular la alimentación y los lípidos parenterales. La candiduria aparece a veces en personas que tienen a permanencia sondas en vejiga o alguna enfermedad diseminada.</w:t>
      </w:r>
    </w:p>
    <w:p w14:paraId="0E7CE5A0" w14:textId="77777777" w:rsidR="00093A32" w:rsidRDefault="00093A32">
      <w:pPr>
        <w:pStyle w:val="BodyText"/>
        <w:spacing w:line="276" w:lineRule="auto"/>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Candida albicans</w:t>
      </w:r>
      <w:r>
        <w:t xml:space="preserve"> es el germen que causa gran parte de las infecciones (50 a 60%). Otras especies de </w:t>
      </w:r>
      <w:r>
        <w:rPr>
          <w:rFonts w:ascii="Times New Roman" w:eastAsia="Times New Roman" w:hAnsi="Times New Roman" w:cs="Times New Roman"/>
          <w:i/>
          <w:iCs/>
          <w:sz w:val="16"/>
          <w:szCs w:val="16"/>
        </w:rPr>
        <w:t>Candida</w:t>
      </w:r>
      <w:r>
        <w:t xml:space="preserve"> que también causan infecciones graves en hospedadores inmunodeficientes son: </w:t>
      </w:r>
      <w:r>
        <w:rPr>
          <w:rFonts w:ascii="Times New Roman" w:eastAsia="Times New Roman" w:hAnsi="Times New Roman" w:cs="Times New Roman"/>
          <w:i/>
          <w:iCs/>
          <w:sz w:val="16"/>
          <w:szCs w:val="16"/>
        </w:rPr>
        <w:t>C. tropicalis, C. parapsilosis, C. glabrata, C. krusei, C. guilliermondii, C. lusitaniae</w:t>
      </w:r>
      <w:r>
        <w:t xml:space="preserve"> y </w:t>
      </w:r>
      <w:r>
        <w:rPr>
          <w:rFonts w:ascii="Times New Roman" w:eastAsia="Times New Roman" w:hAnsi="Times New Roman" w:cs="Times New Roman"/>
          <w:i/>
          <w:iCs/>
          <w:sz w:val="16"/>
          <w:szCs w:val="16"/>
        </w:rPr>
        <w:t>C. dubliniensis. Candida parapsilosis</w:t>
      </w:r>
      <w:r>
        <w:t xml:space="preserve"> es causa frecuente de candidiasis sistémica en neonatos de bajísimo peso.</w:t>
      </w:r>
    </w:p>
    <w:p w14:paraId="6881EFFB" w14:textId="77777777" w:rsidR="00093A32" w:rsidRDefault="00093A32">
      <w:pPr>
        <w:pStyle w:val="BodyText"/>
        <w:spacing w:line="266" w:lineRule="auto"/>
        <w:ind w:firstLine="0"/>
        <w:sectPr w:rsidR="00093A32" w:rsidSect="00093A32">
          <w:headerReference w:type="even" r:id="rId96"/>
          <w:headerReference w:type="default" r:id="rId97"/>
          <w:footerReference w:type="even" r:id="rId98"/>
          <w:footerReference w:type="default" r:id="rId99"/>
          <w:headerReference w:type="first" r:id="rId100"/>
          <w:footerReference w:type="first" r:id="rId101"/>
          <w:footnotePr>
            <w:numFmt w:val="chicago"/>
          </w:footnotePr>
          <w:pgSz w:w="8501" w:h="13022"/>
          <w:pgMar w:top="708" w:right="805" w:bottom="440" w:left="770" w:header="0" w:footer="3" w:gutter="0"/>
          <w:cols w:space="720"/>
          <w:noEndnote/>
          <w:titlePg/>
          <w:docGrid w:linePitch="360"/>
          <w15:footnoteColumns w:val="1"/>
        </w:sectPr>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rPr>
          <w:rFonts w:ascii="Times New Roman" w:eastAsia="Times New Roman" w:hAnsi="Times New Roman" w:cs="Times New Roman"/>
          <w:i/>
          <w:iCs/>
          <w:sz w:val="16"/>
          <w:szCs w:val="16"/>
        </w:rPr>
        <w:t>Candida albicans</w:t>
      </w:r>
      <w:r>
        <w:t xml:space="preserve"> es un microorganismo de muy amplia distribución. A semejanza de otras especies de </w:t>
      </w:r>
      <w:r>
        <w:rPr>
          <w:rFonts w:ascii="Times New Roman" w:eastAsia="Times New Roman" w:hAnsi="Times New Roman" w:cs="Times New Roman"/>
          <w:i/>
          <w:iCs/>
          <w:sz w:val="16"/>
          <w:szCs w:val="16"/>
        </w:rPr>
        <w:t>Candida</w:t>
      </w:r>
      <w:r>
        <w:t xml:space="preserve">, </w:t>
      </w:r>
      <w:r>
        <w:rPr>
          <w:rFonts w:ascii="Times New Roman" w:eastAsia="Times New Roman" w:hAnsi="Times New Roman" w:cs="Times New Roman"/>
          <w:i/>
          <w:iCs/>
          <w:sz w:val="16"/>
          <w:szCs w:val="16"/>
        </w:rPr>
        <w:t>C. albicans</w:t>
      </w:r>
      <w:r>
        <w:t xml:space="preserve"> aparece en la piel o en la boca, vías intestinales y vagina de personas inmunocompetentes. En ocasiones el embarazo se acompaña de candidiasis vulvovaginal y el neonato puede contagiarse de Candida in utero, durante su paso por el conducto del parto o en etapa posnatal. La infección mucocutánea leve es frecuente en producto sanos. Sólo en raras ocasiones hay </w:t>
      </w:r>
    </w:p>
    <w:p w14:paraId="5BE06D9D" w14:textId="77777777" w:rsidR="00093A32" w:rsidRDefault="00093A32">
      <w:pPr>
        <w:pStyle w:val="BodyText"/>
        <w:spacing w:line="266" w:lineRule="auto"/>
        <w:ind w:firstLine="0"/>
      </w:pPr>
      <w:r>
        <w:t>una transmisión directa de persona a persona. La enfermedad invasora surge casi exclusivamente en individuos con deficiencia inmunitaria, y la infección por lo regular aparece desde sitios de colonización endógenos. Están expuestas a gran peligro de una infección invasora las personas infectadas por VIH o que tienen inmunodeficiencia de otro origen, como premadurez extrema, neutropenia, diabetes mellitus o corticoterapia o administración de citotóxicos. También están expuestos a un mayor riesgo los individuos con defectos de neutrófilos, como los que tienen enfermedad granulomatosa crónica o deficiencia de mieloperoxidasa. Muestran una mayor susceptibilidad a la infección los pacientes que reciben hiperalimentación intravenosa o antimicrobianos de amplio espectro.</w:t>
      </w:r>
    </w:p>
    <w:p w14:paraId="4BD9FC6C" w14:textId="77777777" w:rsidR="00093A32" w:rsidRDefault="00093A32">
      <w:pPr>
        <w:pStyle w:val="BodyText"/>
        <w:ind w:firstLine="360"/>
      </w:pPr>
      <w:r>
        <w:t xml:space="preserve">Se desconoce el </w:t>
      </w:r>
      <w:r>
        <w:rPr>
          <w:b/>
          <w:bCs/>
        </w:rPr>
        <w:t>periodo de incubación</w:t>
      </w:r>
      <w:r>
        <w:t>.</w:t>
      </w:r>
    </w:p>
    <w:p w14:paraId="04B593A7" w14:textId="77777777" w:rsidR="00093A32" w:rsidRDefault="00093A32">
      <w:pPr>
        <w:pStyle w:val="BodyText"/>
        <w:ind w:firstLine="0"/>
      </w:pPr>
      <w:r>
        <w:rPr>
          <w:b/>
          <w:bCs/>
        </w:rPr>
        <w:t>M</w:t>
      </w:r>
      <w:r>
        <w:rPr>
          <w:b/>
          <w:bCs/>
          <w:sz w:val="13"/>
          <w:szCs w:val="13"/>
        </w:rPr>
        <w:t>ÉTODOS DIAGNÓSTICOS</w:t>
      </w:r>
      <w:r>
        <w:rPr>
          <w:b/>
          <w:bCs/>
        </w:rPr>
        <w:t xml:space="preserve">: </w:t>
      </w:r>
      <w:r>
        <w:t xml:space="preserve">Es posible plantear sobre bases clínicas el diagnóstico presuncional de candidiasis mucocutánea o algodoncillo, pero otros microorganismos o traumatismos también pueden ocasionar lesiones clínicamente compatibles. En tejido infectado por </w:t>
      </w:r>
      <w:r>
        <w:rPr>
          <w:rFonts w:ascii="Times New Roman" w:eastAsia="Times New Roman" w:hAnsi="Times New Roman" w:cs="Times New Roman"/>
          <w:i/>
          <w:iCs/>
          <w:sz w:val="16"/>
          <w:szCs w:val="16"/>
        </w:rPr>
        <w:t>C. albicans</w:t>
      </w:r>
      <w:r>
        <w:t xml:space="preserve"> se identifican células de levaduras y seudohifas, las cuales se detectan en el estudio microscópico de material de raspado, teñido con tinción de Gram o en suspensión en hidróxido de potasio de 10 a 20%. La endoscopia ayuda al diagnóstico de esofagitis. Se necesita el estudio oftalmológico para identificar las típicas lesiones retinianas. Las lesiones en el encéfalo, los riñones, el hígado o el bazo se pueden detectar por ultrasonografía o tomografía computadorizada; sin embargo, en los estudios en cuestión quizá se manifiesten sólo en etapa tardía de la evolución.</w:t>
      </w:r>
    </w:p>
    <w:p w14:paraId="44EE2E08" w14:textId="77777777" w:rsidR="00093A32" w:rsidRDefault="00093A32">
      <w:pPr>
        <w:pStyle w:val="BodyText"/>
        <w:spacing w:after="220" w:line="276" w:lineRule="auto"/>
        <w:ind w:firstLine="360"/>
      </w:pPr>
      <w:r>
        <w:t xml:space="preserve">Para el diagnóstico definitivo de candidiasis invasora se necesita aislar el microorganismo en un líquido corporal o tejido típicamente estéril (como sangre, líquido cefalorraquídeo, médula ósea o algún fragmento para biopsia) o demostrar la presencia del mismo en biopsia tisular. Sin embargo, el hecho de no detectar especies de </w:t>
      </w:r>
      <w:r>
        <w:rPr>
          <w:rFonts w:ascii="Times New Roman" w:eastAsia="Times New Roman" w:hAnsi="Times New Roman" w:cs="Times New Roman"/>
          <w:i/>
          <w:iCs/>
          <w:sz w:val="16"/>
          <w:szCs w:val="16"/>
        </w:rPr>
        <w:t>Candida</w:t>
      </w:r>
      <w:r>
        <w:t xml:space="preserve"> en los cultivos no descarta que exista alguna infección invasora en hospedadores inmunodeficientes. La identificación del microorganismo se facilita si se utilizan sistemas de cultivo de sangre que permitan la centrifugación bifásica o por lisis. Se puede hacer la identificación presuncional de alguna especie de </w:t>
      </w:r>
      <w:r>
        <w:rPr>
          <w:rFonts w:ascii="Times New Roman" w:eastAsia="Times New Roman" w:hAnsi="Times New Roman" w:cs="Times New Roman"/>
          <w:i/>
          <w:iCs/>
          <w:sz w:val="16"/>
          <w:szCs w:val="16"/>
        </w:rPr>
        <w:t>C. albicans</w:t>
      </w:r>
      <w:r>
        <w:t xml:space="preserve"> al demostrar la formación de estructuras tubulares.</w:t>
      </w:r>
    </w:p>
    <w:p w14:paraId="0068C3E0"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4E2F091E" w14:textId="77777777" w:rsidR="00093A32" w:rsidRDefault="00093A32">
      <w:pPr>
        <w:pStyle w:val="BodyText"/>
        <w:spacing w:line="298" w:lineRule="auto"/>
        <w:ind w:firstLine="0"/>
      </w:pPr>
      <w:r>
        <w:rPr>
          <w:rFonts w:ascii="Arial" w:eastAsia="Arial" w:hAnsi="Arial" w:cs="Arial"/>
          <w:b/>
          <w:bCs/>
          <w:i/>
          <w:iCs/>
          <w:sz w:val="15"/>
          <w:szCs w:val="15"/>
        </w:rPr>
        <w:t>Infecciones de mucosas y de piel.</w:t>
      </w:r>
      <w:r>
        <w:t xml:space="preserve"> La candidiasis de la boca en hospedadores inmunocompetentes se trata con una suspensión oral de nistatina o trociscos de clotrimazol.</w:t>
      </w:r>
    </w:p>
    <w:p w14:paraId="7D7DAC32" w14:textId="77777777" w:rsidR="00093A32" w:rsidRDefault="00093A32">
      <w:pPr>
        <w:pStyle w:val="BodyText"/>
        <w:ind w:firstLine="360"/>
      </w:pPr>
      <w:r>
        <w:t>El fluconazol o el itraconazol pueden ser beneficiosos en sujetos inmunodeficientes con candidiasis bucofaríngea. Los índices de cura con el primero son mayores que con la nistatina, pero las cifras de recaídas son similares. No se han definido la inocuidad ni la eficacia del fluconazol en niños menores de seis meses de vida, ni del itraconazol en niños de cualquier edad; ambos fármacos se han administrado en forma inocua en un número escaso de pacientes de tales edades.</w:t>
      </w:r>
    </w:p>
    <w:p w14:paraId="594402C2" w14:textId="77777777" w:rsidR="00093A32" w:rsidRDefault="00093A32">
      <w:pPr>
        <w:pStyle w:val="BodyText"/>
        <w:ind w:firstLine="360"/>
      </w:pPr>
      <w:r>
        <w:t xml:space="preserve">La esofagitis de poca intensidad causada por especies de </w:t>
      </w:r>
      <w:r>
        <w:rPr>
          <w:rFonts w:ascii="Times New Roman" w:eastAsia="Times New Roman" w:hAnsi="Times New Roman" w:cs="Times New Roman"/>
          <w:i/>
          <w:iCs/>
          <w:sz w:val="16"/>
          <w:szCs w:val="16"/>
        </w:rPr>
        <w:t>Candida</w:t>
      </w:r>
      <w:r>
        <w:t xml:space="preserve"> se trata con dosis altas de nistatina ingerible; la enfermedad más grave se puede combatir con fluconazol o itraconazol durante un mínimo de 21 días, o durante 14 días, como mínimo, después que han mostrado resolución los signos clínicos. Otra posibilidad es recurrir a anfotericina B intravenosa en dosis bajas (0.3 mg/kg de peso al día; dosis máxima, 1.5 mg/kg cada 24 h) durante cinco a siete días, cuando menos. La duración del tratamiento depende de la gravedad de la enfermedad y de factores del paciente, como edad y grado de inmunodeficiencia.</w:t>
      </w:r>
    </w:p>
    <w:p w14:paraId="212AAB6A" w14:textId="77777777" w:rsidR="00093A32" w:rsidRDefault="00093A32">
      <w:pPr>
        <w:pStyle w:val="BodyText"/>
        <w:ind w:firstLine="360"/>
      </w:pPr>
      <w:r>
        <w:t>Las infecciones cutáneas se tratan con la aplicación de nistatina, nitrato de miconazol, clotrimazol, clorhidrato de naftifina, ketoconazol, nitrato de econazol o ciclopirox olamina (véase “Productos tópicos contra micosis superficiales”, sección 4). La nistatina por lo común es eficaz y es la menos cara de tales medicamentos.</w:t>
      </w:r>
    </w:p>
    <w:p w14:paraId="7CFEBA4D" w14:textId="77777777" w:rsidR="00093A32" w:rsidRDefault="00093A32">
      <w:pPr>
        <w:pStyle w:val="BodyText"/>
        <w:ind w:firstLine="360"/>
      </w:pPr>
      <w:r>
        <w:t>La candidiasis vulvovaginal se trata eficazmente con muchos preparados tópicos, como los de clotrimazol, miconazol, nitrato de butoconazol, terconazol y tioconazol. Dichos productos azólicos tópicos son más eficaces que la nistatina. Los agentes ingeribles de esa categoría también son eficaces y hay que pensar en su uso en caso de situaciones repetitivas o refractarias (véase “Dosis recomendadas de antimicóticos parenterales e ingeribles”, sección 4).</w:t>
      </w:r>
    </w:p>
    <w:p w14:paraId="533E1009" w14:textId="77777777" w:rsidR="00093A32" w:rsidRDefault="00093A32">
      <w:pPr>
        <w:pStyle w:val="BodyText"/>
        <w:ind w:firstLine="360"/>
      </w:pPr>
      <w:r>
        <w:t>Para el caso de la candidiasis mucocutánea crónica son eficaces fluconazol e itraconazol. En casos graves cabe recurrir por vía intravenosa a la anfotericina B en dosis bajas (0.3 mg/kg de peso al día; dosis máxima, 1.5 mg/kg cada 24 h). Las recidivas son frecuentes con cualquiera de los agentes mencionados una vez terminado el tratamiento; es rara la infección invasora.</w:t>
      </w:r>
    </w:p>
    <w:p w14:paraId="0EFA110C" w14:textId="77777777" w:rsidR="00093A32" w:rsidRDefault="00093A32">
      <w:pPr>
        <w:pStyle w:val="BodyText"/>
        <w:ind w:firstLine="360"/>
      </w:pPr>
      <w:r>
        <w:t xml:space="preserve">La queratomicosis se trata con colirios de anfotericina B (1 mg/ml de agua estéril). Los sujetos con cistitis atribuible a </w:t>
      </w:r>
      <w:r>
        <w:rPr>
          <w:rFonts w:ascii="Times New Roman" w:eastAsia="Times New Roman" w:hAnsi="Times New Roman" w:cs="Times New Roman"/>
          <w:i/>
          <w:iCs/>
          <w:sz w:val="16"/>
          <w:szCs w:val="16"/>
        </w:rPr>
        <w:t>Candida</w:t>
      </w:r>
      <w:r>
        <w:t xml:space="preserve"> pueden ser tratados adecuadamente con ciclos breves (tres a cinco días) de dosis bajas de anfotericina B por vía intravenosa (0.3 mg/kg al día; dosis máxima, 1.5 mg/kg cada 24 h), o con fluconazol, o con lavados repetidos de la vejiga con una solución de anfotericina B (50 pg/ml de agua estéril).</w:t>
      </w:r>
    </w:p>
    <w:p w14:paraId="2A6CC2CA" w14:textId="77777777" w:rsidR="00093A32" w:rsidRDefault="00093A32">
      <w:pPr>
        <w:pStyle w:val="BodyText"/>
        <w:spacing w:line="276" w:lineRule="auto"/>
        <w:ind w:firstLine="360"/>
      </w:pPr>
      <w:r>
        <w:rPr>
          <w:rFonts w:ascii="Arial" w:eastAsia="Arial" w:hAnsi="Arial" w:cs="Arial"/>
          <w:b/>
          <w:bCs/>
          <w:i/>
          <w:iCs/>
          <w:sz w:val="15"/>
          <w:szCs w:val="15"/>
        </w:rPr>
        <w:t>Infecciones sistémicas.</w:t>
      </w:r>
      <w:r>
        <w:t xml:space="preserve"> La anfotericina B es el medicamento más indicado para tratar sujetos con candidiasis invasora (véase “Fármacos contra micosis invasoras y otras de gravedad en niños”, sección 4). La duración del tratamiento variará con la respuesta clínica y la presencia o ausencia de neutropenia. Los niños expuestos a gran peligro de complicaciones y muerte deben ser tratados por lapsos duraderos o hasta que hayan cedido todos los signos y los síntomas de la infección. En personas con candidiasis hepatosplénica, se necesita que transcurran semanas o meses para que haya resolución de las lesiones. Los individuos sin cuadros de inmunodeficiencia pueden ser tratados adecuadamente con un ciclo terapéutico que dure siete a 10 días. También pueden utilizarse ciclos breves en el caso de infecciones que surgen por la presencia de un catéter intravenoso, siempre y cuando se extraiga inmediatamente el tubo y no haya manifestaciones de enfermedad sistémica (como serían positividad en cultivos de sangre después de extraer el catéter). Cabe utilizar preparados liposómicos de anfotericina B si se observa nefrotoxicidad notable o ineficacia clínica con la presentación regular de dicho antibiótico. Sin embargo, es importante no usar tal presentación como fármaco de primera línea.</w:t>
      </w:r>
    </w:p>
    <w:p w14:paraId="29799986" w14:textId="77777777" w:rsidR="00093A32" w:rsidRDefault="00093A32">
      <w:pPr>
        <w:pStyle w:val="BodyText"/>
        <w:spacing w:line="276" w:lineRule="auto"/>
        <w:ind w:firstLine="360"/>
      </w:pPr>
      <w:r>
        <w:t xml:space="preserve">Si el sujeto puede ingerir fármacos, es posible combinar flucitosina (100 a 150 mg/kg al día en cuatro fracciones, con una dosis máxima de 150 mg/kg de peso cada 24 h) junto con anfotericina B contra la infección por </w:t>
      </w:r>
      <w:r>
        <w:rPr>
          <w:rFonts w:ascii="Times New Roman" w:eastAsia="Times New Roman" w:hAnsi="Times New Roman" w:cs="Times New Roman"/>
          <w:i/>
          <w:iCs/>
          <w:sz w:val="16"/>
          <w:szCs w:val="16"/>
        </w:rPr>
        <w:t>C. albicans</w:t>
      </w:r>
      <w:r>
        <w:t xml:space="preserve"> que afecta el sistema nervioso central. Los estudios in vitro y clínicos sugieren que la flucitosina y la anfotericina B pueden actuar de manera sinérgica contra muchas de las cepas de </w:t>
      </w:r>
      <w:r>
        <w:rPr>
          <w:rFonts w:ascii="Times New Roman" w:eastAsia="Times New Roman" w:hAnsi="Times New Roman" w:cs="Times New Roman"/>
          <w:i/>
          <w:iCs/>
          <w:sz w:val="16"/>
          <w:szCs w:val="16"/>
        </w:rPr>
        <w:t>C. albicans.</w:t>
      </w:r>
      <w:r>
        <w:t xml:space="preserve"> La dosis de flucitosina debe reducirse en pacientes con insuficiencia renal. Conviene conservar las concentraciones plasmáticas máximas de flucitosina entre 40 y 60 pg/ml; las concentraciones mayores de esas cifras predisponen a la aparición de efectos tóxicos. Entre los efectos adversos de la flucitosina, más frecuentes en individuos hiperazoémicos, están erupción, disfunción hepática y renal, diarrea, hemorragia de vías gastrointestinales, colitis ulcerosa y supresión de médula ósea que depende de la dosis.</w:t>
      </w:r>
    </w:p>
    <w:p w14:paraId="390370DD" w14:textId="77777777" w:rsidR="00093A32" w:rsidRDefault="00093A32">
      <w:pPr>
        <w:pStyle w:val="BodyText"/>
        <w:ind w:firstLine="360"/>
        <w:sectPr w:rsidR="00093A32" w:rsidSect="00093A32">
          <w:headerReference w:type="even" r:id="rId102"/>
          <w:headerReference w:type="default" r:id="rId103"/>
          <w:footerReference w:type="even" r:id="rId104"/>
          <w:footerReference w:type="default" r:id="rId105"/>
          <w:headerReference w:type="first" r:id="rId106"/>
          <w:footerReference w:type="first" r:id="rId107"/>
          <w:footnotePr>
            <w:numFmt w:val="chicago"/>
          </w:footnotePr>
          <w:pgSz w:w="8501" w:h="13022"/>
          <w:pgMar w:top="708" w:right="805" w:bottom="440" w:left="770" w:header="0" w:footer="3" w:gutter="0"/>
          <w:cols w:space="720"/>
          <w:noEndnote/>
          <w:titlePg/>
          <w:docGrid w:linePitch="360"/>
          <w15:footnoteColumns w:val="1"/>
        </w:sectPr>
      </w:pPr>
      <w:r>
        <w:t xml:space="preserve">La anfotericina B sigue siendo el fármaco más indicado, pero puede administrarse fluconazol satisfactoriamente para combatir la candidiasis diseminada. Los adultos no </w:t>
      </w:r>
    </w:p>
    <w:p w14:paraId="540D9731" w14:textId="77777777" w:rsidR="00093A32" w:rsidRDefault="00093A32">
      <w:pPr>
        <w:pStyle w:val="BodyText"/>
        <w:ind w:firstLine="0"/>
      </w:pPr>
      <w:r>
        <w:t>neutropénicos con candidemia reaccionan en forma igualmente satisfactoria a fluconazol o anfotericina B. Las notificaciones publicadas sobre adultos y algunos informes ocasionales de prematuros indican que cuando menos en el caso de un preparado de anfotericina B en liposomas, la disminución de la nefrotoxicidad pudiera atribuirse a la incapacidad del fármaco para penetrar en los riñones. Por todo lo comentado, el agente mencionado ha sido ineficaz en personas con infección renal o sistémica.</w:t>
      </w:r>
    </w:p>
    <w:p w14:paraId="286E0287" w14:textId="77777777" w:rsidR="00093A32" w:rsidRDefault="00093A32">
      <w:pPr>
        <w:pStyle w:val="BodyText"/>
        <w:spacing w:line="276" w:lineRule="auto"/>
        <w:ind w:firstLine="360"/>
      </w:pPr>
      <w:r>
        <w:rPr>
          <w:rFonts w:ascii="Arial" w:eastAsia="Arial" w:hAnsi="Arial" w:cs="Arial"/>
          <w:b/>
          <w:bCs/>
          <w:i/>
          <w:iCs/>
          <w:sz w:val="15"/>
          <w:szCs w:val="15"/>
        </w:rPr>
        <w:t>Quimioprofilaxia.</w:t>
      </w:r>
      <w:r>
        <w:t xml:space="preserve"> La quimioprofilaxia de infecciones por </w:t>
      </w:r>
      <w:r>
        <w:rPr>
          <w:rFonts w:ascii="Times New Roman" w:eastAsia="Times New Roman" w:hAnsi="Times New Roman" w:cs="Times New Roman"/>
          <w:i/>
          <w:iCs/>
          <w:sz w:val="16"/>
          <w:szCs w:val="16"/>
        </w:rPr>
        <w:t>Candida</w:t>
      </w:r>
      <w:r>
        <w:t xml:space="preserve"> en sujetos inmunodeficientes, a base de nistatina y fluconazol ingeribles, se ha valorado y los resultados han sido variables. Un estudio comparativo con asignación aleatoria y prospectivo, hecho recientemente en neonatos que pesaron menos de 1 000 g, demostró la inocuidad y eficacia del fluconazol por vía endovenosa durante seis semanas, como forma para evitar la colonización por </w:t>
      </w:r>
      <w:r>
        <w:rPr>
          <w:rFonts w:ascii="Times New Roman" w:eastAsia="Times New Roman" w:hAnsi="Times New Roman" w:cs="Times New Roman"/>
          <w:i/>
          <w:iCs/>
          <w:sz w:val="16"/>
          <w:szCs w:val="16"/>
        </w:rPr>
        <w:t>Candida</w:t>
      </w:r>
      <w:r>
        <w:t xml:space="preserve"> y la infección sistémica. Se necesitan más estudios, pero algunos expertos recomiendan dicho régimen con base en el plan posológico estudiado. El fluconazol disminuye el peligro de candidiasis de las mucosas (como serían la bucofaringe y el esófago) en personas con enfermedad avanzada por VIH. Sin embargo, en individuos no infectados por VIH que reciben fluconazol con fin profiláctico se ha señalado una mayor incidencia de infecciones por </w:t>
      </w:r>
      <w:r>
        <w:rPr>
          <w:rFonts w:ascii="Times New Roman" w:eastAsia="Times New Roman" w:hAnsi="Times New Roman" w:cs="Times New Roman"/>
          <w:i/>
          <w:iCs/>
          <w:sz w:val="16"/>
          <w:szCs w:val="16"/>
        </w:rPr>
        <w:t>C. krusei</w:t>
      </w:r>
      <w:r>
        <w:t xml:space="preserve"> resistentes a dicho producto. Los adultos a quienes se hará un trasplante de médula tienen un número significativamente menor de infecciones por </w:t>
      </w:r>
      <w:r>
        <w:rPr>
          <w:rFonts w:ascii="Times New Roman" w:eastAsia="Times New Roman" w:hAnsi="Times New Roman" w:cs="Times New Roman"/>
          <w:i/>
          <w:iCs/>
          <w:sz w:val="16"/>
          <w:szCs w:val="16"/>
        </w:rPr>
        <w:t>Candida</w:t>
      </w:r>
      <w:r>
        <w:t xml:space="preserve"> si reciben fluconazol, pero en este sentido no se han hecho estudios en niños. No se recomienda emprender sistemáticamente la profilaxia en niños inmunodeficientes, incluidos los que tienen infección por virus de inmunodeficiencia humana. </w:t>
      </w: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1F63B2B6"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 administración duradera de antimicrobianos de amplio espectro y de corticosteroides a individuos susceptibles estimula la proliferación de gérmenes infecciosos invasores y con ello predispone al ataque por </w:t>
      </w:r>
      <w:r>
        <w:rPr>
          <w:rFonts w:ascii="Times New Roman" w:eastAsia="Times New Roman" w:hAnsi="Times New Roman" w:cs="Times New Roman"/>
          <w:i/>
          <w:iCs/>
          <w:sz w:val="16"/>
          <w:szCs w:val="16"/>
        </w:rPr>
        <w:t>Candida.</w:t>
      </w:r>
      <w:r>
        <w:t xml:space="preserve"> Se recomienda en todo sujeto que necesite por tiempo prolongado alimentación intravenosa el cuidado meticuloso de los sitios en que está el catéter en el interior de vasos.</w:t>
      </w:r>
    </w:p>
    <w:p w14:paraId="4ECBB666" w14:textId="77777777" w:rsidR="00093A32" w:rsidRDefault="00093A32">
      <w:pPr>
        <w:pStyle w:val="Bodytext70"/>
        <w:spacing w:after="0"/>
      </w:pPr>
      <w:r>
        <w:t>Carbunco</w:t>
      </w:r>
    </w:p>
    <w:p w14:paraId="78214F6D"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carbunco, según la vía de infección, puede surgir en tres formas: cutáneo, por inhalación y gastrointestinal. El </w:t>
      </w:r>
      <w:r>
        <w:rPr>
          <w:b/>
          <w:bCs/>
        </w:rPr>
        <w:t xml:space="preserve">carbunco cutáneo </w:t>
      </w:r>
      <w:r>
        <w:t xml:space="preserve">comienza en la forma de una pápula o una vesícula pruriginosa que se agranda y ulcera en cuestión de uno o dos días, con la formación ulterior de una escara negra central. La lesión por lo común no duele aunque está rodeada por edema, hiperemia y hay linfadenopatía regional. Los pacientes pueden tener también fiebre, malestar general y cefalea. El </w:t>
      </w:r>
      <w:r>
        <w:rPr>
          <w:b/>
          <w:bCs/>
        </w:rPr>
        <w:t xml:space="preserve">carbunco por inhalación </w:t>
      </w:r>
      <w:r>
        <w:t xml:space="preserve">es la forma más letal del trastorno. Hay un pródromo que comprende fiebre, escalofríos, tos no productiva, dolor retrosternal, cefalea, mialgias y malestar generalizado, pero los signos clínicos más característicos aparecen dos a cinco días después e incluyen linfadenitis mediastínica hemorrágica, derrame pleural hemorrágico, bacteriemia y toxemia que originan disnea e hipoxia profundas y choque séptico. El ensanchamiento de los contornos del mediastino constituye el signo clásico en las radiografías de tórax, pero puede ser sutil en los comienzos. La forma de ataque de </w:t>
      </w:r>
      <w:r>
        <w:rPr>
          <w:b/>
          <w:bCs/>
        </w:rPr>
        <w:t xml:space="preserve">vías gastrointestinales </w:t>
      </w:r>
      <w:r>
        <w:t>puede aparecer en dos síndromes clínicos que son el intestinal y el bucofaríngeo. Los sujetos con la primera forma muestran síntomas de náuseas, anorexia, vómitos y fiebre, cuadro que evoluciona hasta el dolor abdominal intenso, ascitis masiva, hematemesis y diarrea sanguinolenta. plazo el virus. Además, pueden mostrar infección crónica los ratones de laboratorio y los cricetos dorados “colonizados” y ser el punto de partida de la infección de seres humanos. Los seres humanos son infectados por recibir en aerosol o por ingerir polvo o alimento contaminado con el virus de orina, excrementos, sangre o secreciones nasofaríngeas de los roedores infectados. La enfermedad ataca con mayor frecuencia a adultos jóvenes. No se han señalado casos de contagio directo, es decir de una persona a otra, salvo el caso transplacentario del virus.</w:t>
      </w:r>
    </w:p>
    <w:p w14:paraId="30F109C6" w14:textId="77777777" w:rsidR="00093A32" w:rsidRDefault="00093A32">
      <w:pPr>
        <w:pStyle w:val="BodyText"/>
        <w:ind w:firstLine="360"/>
      </w:pPr>
      <w:r>
        <w:t xml:space="preserve">El </w:t>
      </w:r>
      <w:r>
        <w:rPr>
          <w:b/>
          <w:bCs/>
        </w:rPr>
        <w:t xml:space="preserve">periodo de incubación </w:t>
      </w:r>
      <w:r>
        <w:t xml:space="preserve">suele ser de seis a 13 días y a veces llega a tres semanas. </w:t>
      </w:r>
      <w:r>
        <w:rPr>
          <w:b/>
          <w:bCs/>
        </w:rPr>
        <w:t>M</w:t>
      </w:r>
      <w:r>
        <w:rPr>
          <w:b/>
          <w:bCs/>
          <w:sz w:val="13"/>
          <w:szCs w:val="13"/>
        </w:rPr>
        <w:t>ÉTODOS DIAGNÓSTICOS</w:t>
      </w:r>
      <w:r>
        <w:rPr>
          <w:b/>
          <w:bCs/>
        </w:rPr>
        <w:t xml:space="preserve">: </w:t>
      </w:r>
      <w:r>
        <w:t xml:space="preserve">En niños con ataque del sistema nervioso central, la pleocitosis a base de mononucleares casi siempre rebasa los miles de células en el líquido cefalorraquídeo (LCR). También se observa hipoglucorraquia. El virus de la coriomeningitis linfocítica se aísla de sangre, LCR, orina y en raras ocasiones, secreciones nasofaríngeas. Habrá que estudiar las muestras de suero de fase aguda y de convalecencia en busca de incrementos en los títulos de anticuerpos por métodos de inmunofluorescencia o inmunoanálisis enzimático para demostrar la presencia de anticuerpos del tipo de la inmunoglobulina M específicos contra el virus o muestras de suero y de LCR que constituye una estrategia útil. La infección de los ratones atrapados en el interior o la cercanía de casas se identifica a veces al demostrar anticuerpos séricos o el antígeno vírico en frotis de hígado, por impresión. </w:t>
      </w:r>
      <w:r>
        <w:rPr>
          <w:b/>
          <w:bCs/>
          <w:smallCaps/>
          <w:sz w:val="20"/>
          <w:szCs w:val="20"/>
        </w:rPr>
        <w:t>T</w:t>
      </w:r>
      <w:r>
        <w:rPr>
          <w:b/>
          <w:bCs/>
          <w:smallCaps/>
          <w:sz w:val="16"/>
          <w:szCs w:val="16"/>
        </w:rPr>
        <w:t>ratamiento</w:t>
      </w:r>
      <w:r>
        <w:rPr>
          <w:b/>
          <w:bCs/>
          <w:smallCaps/>
          <w:sz w:val="20"/>
          <w:szCs w:val="20"/>
        </w:rPr>
        <w:t>:</w:t>
      </w:r>
      <w:r>
        <w:t xml:space="preserve"> De sostén.</w:t>
      </w:r>
    </w:p>
    <w:p w14:paraId="2A10D077"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cumplir las precauciones estándar.</w:t>
      </w:r>
    </w:p>
    <w:p w14:paraId="621A2F68" w14:textId="77777777" w:rsidR="00093A32" w:rsidRDefault="00093A32">
      <w:pPr>
        <w:pStyle w:val="BodyText"/>
        <w:spacing w:after="120"/>
        <w:ind w:firstLine="0"/>
      </w:pPr>
      <w:r>
        <w:rPr>
          <w:b/>
          <w:bCs/>
        </w:rPr>
        <w:t>M</w:t>
      </w:r>
      <w:r>
        <w:rPr>
          <w:b/>
          <w:bCs/>
          <w:sz w:val="13"/>
          <w:szCs w:val="13"/>
        </w:rPr>
        <w:t>EDIDAS PREVENTIVAS</w:t>
      </w:r>
      <w:r>
        <w:rPr>
          <w:b/>
          <w:bCs/>
        </w:rPr>
        <w:t xml:space="preserve">: </w:t>
      </w:r>
      <w:r>
        <w:t>La infección puede desterrarse si se evita la infectación por roedores en áreas de albergue de animales y almacenamiento de alimentos. Los roedores hospedadores excretan por largo tiempo el virus, y por ello se harán intentos de vigilar en busca de infección a las colonias de ratones y cricetos de laboratorio y de criaderos que los venden como mascotas,. Hay que considerar como punto de partida posible de la infección a los roedores que sirven de mascotas o a los ratones salvajes cerca del hogar del paciente. Es importante que las embarazadas no se expongan a los roedores ni a sus excretas en aerosol.</w:t>
      </w:r>
    </w:p>
    <w:p w14:paraId="2199A23E" w14:textId="77777777" w:rsidR="00093A32" w:rsidRDefault="00093A32">
      <w:pPr>
        <w:pStyle w:val="Bodytext70"/>
        <w:spacing w:after="0" w:line="214" w:lineRule="auto"/>
      </w:pPr>
      <w:r>
        <w:rPr>
          <w:shd w:val="clear" w:color="auto" w:fill="FFFFFF"/>
        </w:rPr>
        <w:t>Linforreticulosis (enfermedad por arañazo de gato)</w:t>
      </w:r>
    </w:p>
    <w:p w14:paraId="1DF1E8DC" w14:textId="77777777" w:rsidR="00093A32" w:rsidRDefault="00093A32">
      <w:pPr>
        <w:pStyle w:val="Bodytext80"/>
        <w:spacing w:line="214" w:lineRule="auto"/>
        <w:rPr>
          <w:sz w:val="15"/>
          <w:szCs w:val="15"/>
        </w:rPr>
      </w:pPr>
      <w:r>
        <w:rPr>
          <w:b/>
          <w:bCs/>
          <w:i/>
          <w:iCs/>
          <w:sz w:val="15"/>
          <w:szCs w:val="15"/>
        </w:rPr>
        <w:t>(Bartonella henselae)</w:t>
      </w:r>
    </w:p>
    <w:p w14:paraId="647F0C92" w14:textId="77777777" w:rsidR="00093A32" w:rsidRDefault="00093A32">
      <w:pPr>
        <w:pStyle w:val="BodyText"/>
        <w:spacing w:after="60"/>
        <w:ind w:firstLine="0"/>
        <w:sectPr w:rsidR="00093A32" w:rsidSect="00093A32">
          <w:headerReference w:type="even" r:id="rId108"/>
          <w:headerReference w:type="default" r:id="rId109"/>
          <w:footerReference w:type="even" r:id="rId110"/>
          <w:footerReference w:type="default" r:id="rId111"/>
          <w:headerReference w:type="first" r:id="rId112"/>
          <w:footerReference w:type="first" r:id="rId113"/>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La manifestación predominante de la linforreticulosis benigna </w:t>
      </w:r>
      <w:r>
        <w:rPr>
          <w:i/>
          <w:iCs/>
        </w:rPr>
        <w:t>(</w:t>
      </w:r>
      <w:r>
        <w:rPr>
          <w:rFonts w:ascii="Times New Roman" w:eastAsia="Times New Roman" w:hAnsi="Times New Roman" w:cs="Times New Roman"/>
          <w:i/>
          <w:iCs/>
          <w:sz w:val="16"/>
          <w:szCs w:val="16"/>
        </w:rPr>
        <w:t>cat-scratch disease</w:t>
      </w:r>
      <w:r>
        <w:rPr>
          <w:i/>
          <w:iCs/>
        </w:rPr>
        <w:t>,</w:t>
      </w:r>
      <w:r>
        <w:t xml:space="preserve"> CSD) de una persona inmunocompetente es la linfadenopatía regional. En cerca de 30% de los enfermos se observan fiebre y síntomas sistémicos leves. En el sitio supuesto de inoculación bacteriana con frecuencia hay una pápula cutánea una a dos semanas antes de que surja la linfadenopatía. Esta última incluye ganglios que reciben drenaje del sitio de la inoculación, típicamente ganglios axilares, pero también puede haber ataque de ganglios cervicales, epitrocleares e inguinales. En forma típica la piel que está sobre los ganglios afectados es dolorosa al tacto, caliente, eritematosa e indurada. En 25 a 30% de personas con CSD los ganglios afectados muestran supuración espontánea. En ocasiones, la infección puede originar el síndrome oculoganglionar de Parinaud, en el cual la inoculación de la conjuntiva origina una adenopatía ipsolateral preauricular o submandibular. Entre las manifestaciones menos frecuentes de CSD están encefalitis, meningitis aséptica, fiebre de origen desconocido, neurorretinitis, lesiones osteolíticas, hepatitis, granulomas de hígado y bazo, neumonía, púrpura trombocitopénica y eritema nudoso.</w:t>
      </w:r>
    </w:p>
    <w:p w14:paraId="79123645"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Bartonella henselae,</w:t>
      </w:r>
      <w:r>
        <w:t xml:space="preserve"> el microorganismo causal de CSD, es un bacilo trofo específico, de proliferación lenta y gramnegativo que ha sido identificado como agente causal de la angiomatosis bacilar y la peliosis hepatitis de origen bacilar. Las dos manifestaciones recién señaladas de la infección surgen principalmente en personas con infección por el virus de inmunodeficiencia humana. </w:t>
      </w:r>
      <w:r>
        <w:rPr>
          <w:rFonts w:ascii="Times New Roman" w:eastAsia="Times New Roman" w:hAnsi="Times New Roman" w:cs="Times New Roman"/>
          <w:i/>
          <w:iCs/>
          <w:sz w:val="16"/>
          <w:szCs w:val="16"/>
        </w:rPr>
        <w:t>Bartonella henselae</w:t>
      </w:r>
      <w:r>
        <w:t xml:space="preserve"> tiene gran cercanía taxonómica con </w:t>
      </w:r>
      <w:r>
        <w:rPr>
          <w:rFonts w:ascii="Times New Roman" w:eastAsia="Times New Roman" w:hAnsi="Times New Roman" w:cs="Times New Roman"/>
          <w:i/>
          <w:iCs/>
          <w:sz w:val="16"/>
          <w:szCs w:val="16"/>
        </w:rPr>
        <w:t>Bartonella quintana</w:t>
      </w:r>
      <w:r>
        <w:rPr>
          <w:i/>
          <w:iCs/>
        </w:rPr>
        <w:t>,</w:t>
      </w:r>
      <w:r>
        <w:t xml:space="preserve"> el agente de la fiebre de las trincheras y causa también de angiomatosis bacilar.</w:t>
      </w:r>
    </w:p>
    <w:p w14:paraId="4AB8F139" w14:textId="77777777" w:rsidR="00093A32" w:rsidRDefault="00093A32">
      <w:pPr>
        <w:pStyle w:val="BodyText"/>
        <w:ind w:firstLine="360"/>
      </w:pPr>
      <w:r>
        <w:rPr>
          <w:b/>
          <w:bCs/>
        </w:rPr>
        <w:t>A</w:t>
      </w:r>
      <w:r>
        <w:rPr>
          <w:b/>
          <w:bCs/>
          <w:sz w:val="13"/>
          <w:szCs w:val="13"/>
        </w:rPr>
        <w:t>SPECTOS EPIDEMIOLÓGICOS</w:t>
      </w:r>
      <w:r>
        <w:rPr>
          <w:b/>
          <w:bCs/>
        </w:rPr>
        <w:t xml:space="preserve">: </w:t>
      </w:r>
      <w:r>
        <w:t xml:space="preserve">La linforreticulosis benigna, o enfermedad por arañazo de gato, es una infección frecuente, aunque se desconoce su incidencia real. Casi siempre afecta a personas menores de 20 años de vida. Los gatos son el reservorio común de la enfermedad de los seres humanos, y a menudo se vincula la bacteriemia en dichos felinos con casos de CSD en seres humanos. Más de 90% de individuos con CSD tienen el antecedente de contacto reciente con gatos al parecer sanos, a menudo gatitos. No hay pruebas de transmisión directa, es decir de una persona a otra. La infección ocurre con mayor frecuencia en el otoño y el invierno. Las pulgas de los gatos </w:t>
      </w:r>
      <w:r>
        <w:rPr>
          <w:rFonts w:ascii="Times New Roman" w:eastAsia="Times New Roman" w:hAnsi="Times New Roman" w:cs="Times New Roman"/>
          <w:i/>
          <w:iCs/>
          <w:sz w:val="16"/>
          <w:szCs w:val="16"/>
        </w:rPr>
        <w:t>(Ctenocephalides felis)</w:t>
      </w:r>
      <w:r>
        <w:t xml:space="preserve"> transmiten </w:t>
      </w:r>
      <w:r>
        <w:rPr>
          <w:rFonts w:ascii="Times New Roman" w:eastAsia="Times New Roman" w:hAnsi="Times New Roman" w:cs="Times New Roman"/>
          <w:i/>
          <w:iCs/>
          <w:sz w:val="16"/>
          <w:szCs w:val="16"/>
        </w:rPr>
        <w:t>B. henselae</w:t>
      </w:r>
      <w:r>
        <w:t xml:space="preserve"> entre los gatos.</w:t>
      </w:r>
    </w:p>
    <w:p w14:paraId="340AF0CC" w14:textId="77777777" w:rsidR="00093A32" w:rsidRDefault="00093A32">
      <w:pPr>
        <w:pStyle w:val="BodyText"/>
        <w:ind w:firstLine="360"/>
      </w:pPr>
      <w:r>
        <w:t xml:space="preserve">El </w:t>
      </w:r>
      <w:r>
        <w:rPr>
          <w:b/>
          <w:bCs/>
        </w:rPr>
        <w:t xml:space="preserve">periodo de incubación </w:t>
      </w:r>
      <w:r>
        <w:t>desde el momento del arañazo hasta la aparición de la lesión cutánea primaria es de siete a 12 días; el lapso que media desde la aparición de la lesión primaria hasta la de la linfadenopatía es de cinco a 50 días (mediana, 12 días).</w:t>
      </w:r>
    </w:p>
    <w:p w14:paraId="22C49AD4" w14:textId="77777777" w:rsidR="00093A32" w:rsidRDefault="00093A32">
      <w:pPr>
        <w:pStyle w:val="BodyText"/>
        <w:ind w:firstLine="0"/>
      </w:pPr>
      <w:r>
        <w:rPr>
          <w:b/>
          <w:bCs/>
        </w:rPr>
        <w:t>M</w:t>
      </w:r>
      <w:r>
        <w:rPr>
          <w:b/>
          <w:bCs/>
          <w:sz w:val="13"/>
          <w:szCs w:val="13"/>
        </w:rPr>
        <w:t>ÉTODOS DIAGNÓSTICOS</w:t>
      </w:r>
      <w:r>
        <w:rPr>
          <w:b/>
          <w:bCs/>
        </w:rPr>
        <w:t xml:space="preserve">: </w:t>
      </w:r>
      <w:r>
        <w:t xml:space="preserve">Para el diagnóstico de CSD es útil la inmunofluorescencia indirecta con anticuerpos </w:t>
      </w:r>
      <w:r>
        <w:rPr>
          <w:rFonts w:ascii="Times New Roman" w:eastAsia="Times New Roman" w:hAnsi="Times New Roman" w:cs="Times New Roman"/>
          <w:i/>
          <w:iCs/>
          <w:sz w:val="16"/>
          <w:szCs w:val="16"/>
        </w:rPr>
        <w:t>(indirect immunofluorescence antibody, IFA)</w:t>
      </w:r>
      <w:r>
        <w:t xml:space="preserve"> para detectar anticuerpos séricos a los antígenos de especies de </w:t>
      </w:r>
      <w:r>
        <w:rPr>
          <w:rFonts w:ascii="Times New Roman" w:eastAsia="Times New Roman" w:hAnsi="Times New Roman" w:cs="Times New Roman"/>
          <w:i/>
          <w:iCs/>
          <w:sz w:val="16"/>
          <w:szCs w:val="16"/>
        </w:rPr>
        <w:t>Bartonella.</w:t>
      </w:r>
      <w:r>
        <w:t xml:space="preserve"> En Estados Unidos tal método es practicado en los </w:t>
      </w:r>
      <w:r>
        <w:rPr>
          <w:rFonts w:ascii="Times New Roman" w:eastAsia="Times New Roman" w:hAnsi="Times New Roman" w:cs="Times New Roman"/>
          <w:i/>
          <w:iCs/>
          <w:sz w:val="16"/>
          <w:szCs w:val="16"/>
        </w:rPr>
        <w:t>Centers for Disease Control and Prevention.</w:t>
      </w:r>
      <w:r>
        <w:t xml:space="preserve"> Los resultados de dicho método practicado en laboratorios comerciales no son fiables. Se han creado inmunoanálisis enzimáticos para detectar anticuerpos a </w:t>
      </w:r>
      <w:r>
        <w:rPr>
          <w:rFonts w:ascii="Times New Roman" w:eastAsia="Times New Roman" w:hAnsi="Times New Roman" w:cs="Times New Roman"/>
          <w:i/>
          <w:iCs/>
          <w:sz w:val="16"/>
          <w:szCs w:val="16"/>
        </w:rPr>
        <w:t>B. henselae</w:t>
      </w:r>
      <w:r>
        <w:t xml:space="preserve">, pero no son más sensibles ni específicos que el método IFA. En algunos laboratorios comerciales se practica la reacción en cadena de polimerasa. Si se cuenta con muestras de tejido (como ganglios linfáticos) a veces se identifican los bacilos con tinción argéntica de Whartin- Starry; sin embargo, el método en cuestión no es específico para </w:t>
      </w:r>
      <w:r>
        <w:rPr>
          <w:rFonts w:ascii="Times New Roman" w:eastAsia="Times New Roman" w:hAnsi="Times New Roman" w:cs="Times New Roman"/>
          <w:i/>
          <w:iCs/>
          <w:sz w:val="16"/>
          <w:szCs w:val="16"/>
        </w:rPr>
        <w:t>B. henselae</w:t>
      </w:r>
      <w:r>
        <w:t xml:space="preserve">. Los cambios histológicos incipientes en los fragmentos de ganglios consisten en infiltración linfocítica con formación de un granuloma epitelioide. Los cambios ulteriores incluyen infiltración por polimorfonucleares, con granulomas que terminan por mostrar necrosis y asemejarse a las de los sujetos con tularemia, brucelosis e infecciones por micobacterias. No se recomienda utilizar la reacción cutánea con antígeno de </w:t>
      </w:r>
      <w:r>
        <w:rPr>
          <w:rFonts w:ascii="Times New Roman" w:eastAsia="Times New Roman" w:hAnsi="Times New Roman" w:cs="Times New Roman"/>
          <w:i/>
          <w:iCs/>
          <w:sz w:val="16"/>
          <w:szCs w:val="16"/>
        </w:rPr>
        <w:t xml:space="preserve">Bartonella </w:t>
      </w:r>
      <w:r>
        <w:t>preparado del pus aspirado de ganglios supurados obtenidos de individuos con CSD aparente.</w:t>
      </w:r>
    </w:p>
    <w:p w14:paraId="6B746CE3" w14:textId="77777777" w:rsidR="00093A32" w:rsidRDefault="00093A32">
      <w:pPr>
        <w:pStyle w:val="BodyText"/>
        <w:ind w:firstLine="360"/>
      </w:pPr>
      <w:r>
        <w:rPr>
          <w:b/>
          <w:bCs/>
        </w:rPr>
        <w:t>T</w:t>
      </w:r>
      <w:r>
        <w:rPr>
          <w:b/>
          <w:bCs/>
          <w:sz w:val="13"/>
          <w:szCs w:val="13"/>
        </w:rPr>
        <w:t>RATAMIENTO</w:t>
      </w:r>
      <w:r>
        <w:rPr>
          <w:b/>
          <w:bCs/>
        </w:rPr>
        <w:t xml:space="preserve">: </w:t>
      </w:r>
      <w:r>
        <w:t>Se orienta más bien a los síntomas porque la enfermedad cede por sí sola y muestra resolución espontánea en cuestión de dos a cuatro meses. Los ganglios dolorosos y supurados pueden ser tratados con aspiración con aguja para aliviar los síntomas; es mejor no hacer corte ni drenaje de ellos, y por lo regular no se necesita su extirpación quirúrgica.</w:t>
      </w:r>
    </w:p>
    <w:p w14:paraId="6C82314E" w14:textId="77777777" w:rsidR="00093A32" w:rsidRDefault="00093A32">
      <w:pPr>
        <w:pStyle w:val="BodyText"/>
        <w:ind w:firstLine="360"/>
      </w:pPr>
      <w:r>
        <w:t>La administración de antimicrobianos puede acelerar la recuperación de individuos con el cuadro agudo o muy grave de CSD sistémica, particularmente en personas con ataque de hígado o bazo, y se recomienda uniformemente para las personas inmunodeficientes. Los señalamientos sugieren que algunos antimicrobianos ingeribles (trimetoprim-sulfametoxazol, rifampicina, azitromicina dihidratada y ciprofloxacina) y sulfato de gentamicina parenteral son eficaces para tratar CSD; se desconoce el lapso óptimo del tratamiento. La doxiciclina y la eritromicina o la azitromicina son eficaces para tratar la angiomatosis o la peliosis bacilares; la terapia debe practicarse durante varios meses para evitar recaídas en personas inmunodeficientes.</w:t>
      </w:r>
    </w:p>
    <w:p w14:paraId="59AA6C74"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estos casos se recomienda seguir las precauciones estándar.</w:t>
      </w:r>
    </w:p>
    <w:p w14:paraId="7A0F865D" w14:textId="77777777" w:rsidR="00093A32" w:rsidRDefault="00093A32">
      <w:pPr>
        <w:pStyle w:val="BodyText"/>
        <w:spacing w:after="100"/>
        <w:ind w:firstLine="0"/>
        <w:rPr>
          <w:sz w:val="16"/>
          <w:szCs w:val="16"/>
        </w:rPr>
      </w:pPr>
      <w:r>
        <w:rPr>
          <w:b/>
          <w:bCs/>
        </w:rPr>
        <w:t>M</w:t>
      </w:r>
      <w:r>
        <w:rPr>
          <w:b/>
          <w:bCs/>
          <w:sz w:val="13"/>
          <w:szCs w:val="13"/>
        </w:rPr>
        <w:t xml:space="preserve">EDIDAS </w:t>
      </w:r>
      <w:r>
        <w:rPr>
          <w:b/>
          <w:bCs/>
          <w:smallCaps/>
          <w:sz w:val="16"/>
          <w:szCs w:val="16"/>
        </w:rPr>
        <w:t>preventivas</w:t>
      </w:r>
      <w:r>
        <w:rPr>
          <w:b/>
          <w:bCs/>
          <w:smallCaps/>
          <w:sz w:val="20"/>
          <w:szCs w:val="20"/>
        </w:rPr>
        <w:t>:</w:t>
      </w:r>
      <w:r>
        <w:t xml:space="preserve"> Es importante que los niños no jueguen activamente con gatos y gatitos para reducir al mínimo la posibilidad de rasguños y mordeduras. Los sujetos inmunodeficientes evitarán el contacto con los gatos que rasguñen o muerdan; cuando adquieran un nuevo animal, evitarán el contacto con los que tengan menos de un año de vida. Es importante lavar inmediatamente los sitios de arañazos o mordeduras de gato. El cuidado de los animales debe incluir medidas para erradicar pulgas. No se recomienda someter a los gatos a pruebas para detectar la infección por </w:t>
      </w:r>
      <w:r>
        <w:rPr>
          <w:rFonts w:ascii="Times New Roman" w:eastAsia="Times New Roman" w:hAnsi="Times New Roman" w:cs="Times New Roman"/>
          <w:i/>
          <w:iCs/>
          <w:sz w:val="16"/>
          <w:szCs w:val="16"/>
        </w:rPr>
        <w:t>Bartonella.</w:t>
      </w:r>
    </w:p>
    <w:p w14:paraId="40A29106" w14:textId="77777777" w:rsidR="00093A32" w:rsidRDefault="00093A32">
      <w:pPr>
        <w:pStyle w:val="Bodytext70"/>
        <w:spacing w:after="0"/>
      </w:pPr>
      <w:r>
        <w:rPr>
          <w:i/>
          <w:iCs/>
        </w:rPr>
        <w:t>Listeria monocytogenes</w:t>
      </w:r>
      <w:r>
        <w:rPr>
          <w:i/>
          <w:iCs/>
          <w:w w:val="100"/>
        </w:rPr>
        <w:t>,</w:t>
      </w:r>
      <w:r>
        <w:t xml:space="preserve"> infecciones</w:t>
      </w:r>
    </w:p>
    <w:p w14:paraId="37A27B1B"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(Listeriosis)</w:t>
      </w:r>
    </w:p>
    <w:p w14:paraId="6F59922C"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Las infecciones por el microorganismo mencionado son relativamente poco comunes. Las infecciones en niños se subdividen en maternas, neonatales o infantiles con cuadros predisponentes coexistentes o sin ellos. La infección materna se acompaña de un cuadro similar a influenza, fiebre, malestar general, cefalea, síntomas de vías gastrointestinales y dorsalgia. La forma neonatal incluye síndromes de comienzo temprano y comienzo tardío, similares a los de las infecciones por el estreptococo de grupo B. En la variante de comienzo temprano es frecuente observar premadurez, neumonía y septicemia. En promedio, 65% de las mujeres presentan un pródromo sintomático antes del diagnóstico de listeriosis en el feto o neonato. Se observan a veces amnionitis durante la primera fase del parto, líquido amniótico de color parduzco o infección perinatal asintomática. En la infección neonatal grave surgen eritemas con pequeños nódulos pálidos que en el estudio histopatológico incluyen granulomas, y por ello se le ha llamado a tal variante “granulomatosis infantiséptica”. La infección tardía surge después de la primera semana de vida y por lo común culmina en meningitis. La infección aparece más bien en el periodo neonatal y hay niños con merma de la inmunidad mediada por células que es resultado de cuadros inmunodeficientes o tratamiento de este tipo, nefropatía o hepatopatía o infección con virus de inmunodeficiencia humana. En infecciones de niños casi todos los menores tienen meningitis y prácticamente la mitad muestran algún cuadro predisponente. </w:t>
      </w:r>
      <w:r>
        <w:rPr>
          <w:rFonts w:ascii="Times New Roman" w:eastAsia="Times New Roman" w:hAnsi="Times New Roman" w:cs="Times New Roman"/>
          <w:i/>
          <w:iCs/>
          <w:sz w:val="16"/>
          <w:szCs w:val="16"/>
        </w:rPr>
        <w:t>Listeria monocytogenes</w:t>
      </w:r>
      <w:r>
        <w:t xml:space="preserve"> rara vez causa encefalitis difusa. Se ha sabido de brotes causados con alimentos contaminados y cuyo cuadro clínico se caracterizó por fiebre y diarrea. La enfermedad grave en adultos, incluidas embarazadas, que provino del consumo de alimentos contaminados, destaca el hecho de que los niños de mayor edad y los adultos pueden tener enfermedad sistémica y morir.</w:t>
      </w:r>
    </w:p>
    <w:p w14:paraId="5A499A3E"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Listeria monocytogenes</w:t>
      </w:r>
      <w:r>
        <w:t xml:space="preserve"> es un bacilo grampositivo, móvil, no esporógeno y aerobio que produce una zona angosta de hemólisis en el agar-sangre.</w:t>
      </w:r>
    </w:p>
    <w:p w14:paraId="54AF2AE4" w14:textId="77777777" w:rsidR="00093A32" w:rsidRDefault="00093A32">
      <w:pPr>
        <w:pStyle w:val="BodyText"/>
        <w:spacing w:after="60"/>
        <w:ind w:firstLine="0"/>
        <w:sectPr w:rsidR="00093A32" w:rsidSect="00093A32">
          <w:headerReference w:type="even" r:id="rId114"/>
          <w:headerReference w:type="default" r:id="rId115"/>
          <w:footerReference w:type="even" r:id="rId116"/>
          <w:footerReference w:type="default" r:id="rId117"/>
          <w:headerReference w:type="first" r:id="rId118"/>
          <w:footerReference w:type="first" r:id="rId119"/>
          <w:footnotePr>
            <w:numFmt w:val="chicago"/>
          </w:footnotePr>
          <w:pgSz w:w="8501" w:h="13022"/>
          <w:pgMar w:top="708" w:right="805" w:bottom="440" w:left="770" w:header="0" w:footer="3" w:gutter="0"/>
          <w:cols w:space="720"/>
          <w:noEndnote/>
          <w:titlePg/>
          <w:docGrid w:linePitch="360"/>
          <w15:footnoteColumns w:val="1"/>
        </w:sectPr>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Listeria monocytogenes</w:t>
      </w:r>
      <w:r>
        <w:t xml:space="preserve"> está distribuida ampliamente en el entorno. La transmisión por los alimentos origina brotes e infecciones esporádicas. Se ha dicho que los alimentos que pueden causar el trastorno incluyen leche no pasteurizada; quesos blandos; carnes preparadas como salchichas, embutidos y paté; carne de aves mal cocida y verduras crudas no lavadas. El estado de portador fecal y vaginal asintomático en embarazadas puede ocasionar trastornos neonatales esporádicos por la vía transplacentaria o vías ascendentes de infección o por exposición durante la</w:t>
      </w:r>
    </w:p>
    <w:p w14:paraId="5F0D5C05" w14:textId="77777777" w:rsidR="00093A32" w:rsidRDefault="00093A32">
      <w:pPr>
        <w:pStyle w:val="BodyText"/>
        <w:ind w:firstLine="360"/>
      </w:pPr>
      <w:r>
        <w:t xml:space="preserve">Medidas preventivas: Bio Thrax (llamada anteriormente vacuna adsorbida contra el carbunco [fabricada por BioPort Corp, Lansing, MI]) es la única vacuna para seres humanos que se puede usar para evitar el carbunco, y ha sido autorizada en Estados Unidos. Se la prepara de un filtrado de cultivo acelular. La vacunación comprende seis inyecciones subcutáneas en la semana cero, dos y cuatro y a los seis, 12 y 18 meses, seguida por dosis de refuerzo anuales. En la actualidad se recomienda aplicar la vacuna a personas en peligro de estar expuestas repetidamente a esporas de </w:t>
      </w:r>
      <w:r>
        <w:rPr>
          <w:rFonts w:ascii="Times New Roman" w:eastAsia="Times New Roman" w:hAnsi="Times New Roman" w:cs="Times New Roman"/>
          <w:i/>
          <w:iCs/>
          <w:sz w:val="16"/>
          <w:szCs w:val="16"/>
        </w:rPr>
        <w:t xml:space="preserve">B. anthracis, </w:t>
      </w:r>
      <w:r>
        <w:t>incluidos trabajadores escogidos de laboratorio y personal militar.</w:t>
      </w:r>
      <w:r>
        <w:footnoteReference w:id="4"/>
      </w:r>
      <w:r>
        <w:t xml:space="preserve"> La vacuna es eficaz para evitar que surja el carbunco cutáneo en adultos. No se ha valorado en seres humanos la protección que brinda contra la enfermedad por inhalación, pero los estudios en primates no humanos ha indicado que tal vacuna es eficaz. Las reacciones adversas comprenden principalmente reacciones en el sitio de la inyección y rara vez hay síntomas generalizados, que incluyen fiebre, escalofríos, mialgias e hipersensibilidad. No se dispone de datos de la eficacia o la inocuidad de la vacuna en niños. En Estados Unidos no se ha aprobado su uso en menores ni en embarazadas. La vacuna contra el carbunco no ha sido aprobada para usar después de la exposición, para evitar el carbunco.</w:t>
      </w:r>
    </w:p>
    <w:p w14:paraId="1E901AF0" w14:textId="77777777" w:rsidR="00093A32" w:rsidRDefault="00093A32">
      <w:pPr>
        <w:pStyle w:val="BodyText"/>
        <w:spacing w:after="100" w:line="271" w:lineRule="auto"/>
        <w:ind w:firstLine="360"/>
      </w:pPr>
      <w:r>
        <w:t xml:space="preserve">Con base en los escasos datos publicados, la forma mejor de evitar el carbunco por inhalación después de exposición a las esporas de </w:t>
      </w:r>
      <w:r>
        <w:rPr>
          <w:rFonts w:ascii="Times New Roman" w:eastAsia="Times New Roman" w:hAnsi="Times New Roman" w:cs="Times New Roman"/>
          <w:i/>
          <w:iCs/>
          <w:sz w:val="16"/>
          <w:szCs w:val="16"/>
        </w:rPr>
        <w:t>B. anthracis</w:t>
      </w:r>
      <w:r>
        <w:t xml:space="preserve"> es la terapia prolongada con antimicrobianos junto con un régimen de tres dosis de vacuna contra el carbunco (a las semanas cero, dos y cuatro). Sin embargo, dado que no se ha aprobado BioThrax para la profilaxia después de exposición o como régimen de tres dosis o en niños, el programa mencionado se realizará sólo después de una solicitud para obtener un nuevo fármaco en investigación </w:t>
      </w:r>
      <w:r>
        <w:rPr>
          <w:i/>
          <w:iCs/>
        </w:rPr>
        <w:t>(</w:t>
      </w:r>
      <w:r>
        <w:rPr>
          <w:rFonts w:ascii="Times New Roman" w:eastAsia="Times New Roman" w:hAnsi="Times New Roman" w:cs="Times New Roman"/>
          <w:i/>
          <w:iCs/>
          <w:sz w:val="16"/>
          <w:szCs w:val="16"/>
        </w:rPr>
        <w:t>investigational new drug</w:t>
      </w:r>
      <w:r>
        <w:rPr>
          <w:i/>
          <w:iCs/>
        </w:rPr>
        <w:t>,</w:t>
      </w:r>
      <w:r>
        <w:t xml:space="preserve"> IND) como parte de una intervención de emergencia en sanidad. En caso de que no se disponga de datos de la susceptibilidad de la cepa supuestamente patógena de </w:t>
      </w:r>
      <w:r>
        <w:rPr>
          <w:rFonts w:ascii="Times New Roman" w:eastAsia="Times New Roman" w:hAnsi="Times New Roman" w:cs="Times New Roman"/>
          <w:i/>
          <w:iCs/>
          <w:sz w:val="16"/>
          <w:szCs w:val="16"/>
        </w:rPr>
        <w:t>B. anthracis</w:t>
      </w:r>
      <w:r>
        <w:t xml:space="preserve"> a los antimicrobianos, se recomienda la profilaxia inicial de adultos o niños después de exposición, con ciprofloxacina o doxiciclina. No se recomiendan como fármacos de primera línea las fluoroquinolonas y las tetraciclinas en niños, por sus efectos adversos, pero tales aspectos negativos pudieran ser rebasados por la necesidad de tratar inicialmente a embarazadas y niños expuestos a </w:t>
      </w:r>
      <w:r>
        <w:rPr>
          <w:rFonts w:ascii="Times New Roman" w:eastAsia="Times New Roman" w:hAnsi="Times New Roman" w:cs="Times New Roman"/>
          <w:i/>
          <w:iCs/>
          <w:sz w:val="16"/>
          <w:szCs w:val="16"/>
        </w:rPr>
        <w:t>B. anthracis</w:t>
      </w:r>
      <w:r>
        <w:t xml:space="preserve"> después de un ataque bioterrorista. Tan pronto se haya confirmado la susceptibilidad del microorganismo a la penicilina, habrá que cambiar la profilaxia en niños para usar 80 mg de amoxicilina ingerible/kg de peso al día, en fracciones cada 8 h (que no rebase 500 mg tres veces al día). </w:t>
      </w:r>
      <w:r>
        <w:rPr>
          <w:rFonts w:ascii="Times New Roman" w:eastAsia="Times New Roman" w:hAnsi="Times New Roman" w:cs="Times New Roman"/>
          <w:i/>
          <w:iCs/>
          <w:sz w:val="16"/>
          <w:szCs w:val="16"/>
        </w:rPr>
        <w:t>Bacillus anthracis</w:t>
      </w:r>
      <w:r>
        <w:t xml:space="preserve"> no es susceptible a las cefalosporinas ni al trimetoprim-sulfametoxazol, y por consiguiente, no deben utilizarse para profilaxia.</w:t>
      </w:r>
    </w:p>
    <w:p w14:paraId="19662AFA" w14:textId="77777777" w:rsidR="00093A32" w:rsidRDefault="00093A32">
      <w:pPr>
        <w:pStyle w:val="Bodytext70"/>
        <w:spacing w:after="0"/>
      </w:pPr>
      <w:r>
        <w:t>Chancroide</w:t>
      </w:r>
    </w:p>
    <w:p w14:paraId="7F8B7EBA" w14:textId="77777777" w:rsidR="00093A32" w:rsidRDefault="00093A32">
      <w:pPr>
        <w:pStyle w:val="BodyText"/>
        <w:ind w:firstLine="0"/>
      </w:pPr>
      <w:r>
        <w:rPr>
          <w:b/>
          <w:bCs/>
        </w:rPr>
        <w:t>M</w:t>
      </w:r>
      <w:r>
        <w:rPr>
          <w:b/>
          <w:bCs/>
          <w:sz w:val="13"/>
          <w:szCs w:val="13"/>
        </w:rPr>
        <w:t>ANIFESTACIONES CLÍNICAS</w:t>
      </w:r>
      <w:r>
        <w:rPr>
          <w:b/>
          <w:bCs/>
        </w:rPr>
        <w:t xml:space="preserve">: </w:t>
      </w:r>
      <w:r>
        <w:t>El chancroide es una enfermedad ulcerosa aguda que afecta los genitales. Surge en primer lugar una úlcera en la forma de una pápula eritematosa dolorosa que se torna pustulosa y muestra erosión en el curso de unos días, y así se forma una lesión moderadamente superficial y perfectamente demarcada con un borde serpiginoso. Su base es friable y puede estar cubierta de un exudado gris o amarillo, necrótico y purulento. Puede haber una o varias úlceras. A diferencia del chancro sifilítico, que es indoloro, la úlcera del chancroide suele ser dolorosa, en forma espontánea y al tacto, y sin induración. Junto con la úlcera puede haber inflamación dolorosa de un ganglio inguinal en el mismo lado (bubo) que suele supurar y mostrar fluctuación.</w:t>
      </w:r>
    </w:p>
    <w:p w14:paraId="25899178" w14:textId="77777777" w:rsidR="00093A32" w:rsidRDefault="00093A32">
      <w:pPr>
        <w:pStyle w:val="BodyText"/>
        <w:ind w:firstLine="360"/>
      </w:pPr>
      <w:r>
        <w:t>En casi todos los varones el chancroide asume la forma inicial de una úlcera en genitales o de una zona dolorosa al tacto en la ingle. En muchas mujeres no hay síntomas, pero según el sitio de la úlcera, puede haber manifestaciones menos evidentes, como disuria, dispareunia, secreción vaginal, dolor al defecar o rectorragia. Pocas veces hay síntomas generalizados.</w:t>
      </w:r>
    </w:p>
    <w:p w14:paraId="299E71A7" w14:textId="77777777" w:rsidR="00093A32" w:rsidRDefault="00093A32">
      <w:pPr>
        <w:pStyle w:val="BodyText"/>
        <w:ind w:firstLine="0"/>
      </w:pPr>
      <w:r>
        <w:rPr>
          <w:b/>
          <w:bCs/>
        </w:rPr>
        <w:t>C</w:t>
      </w:r>
      <w:r>
        <w:rPr>
          <w:b/>
          <w:bCs/>
          <w:sz w:val="13"/>
          <w:szCs w:val="13"/>
        </w:rPr>
        <w:t>AUSA</w:t>
      </w:r>
      <w:r>
        <w:rPr>
          <w:b/>
          <w:bCs/>
        </w:rPr>
        <w:t xml:space="preserve">: </w:t>
      </w:r>
      <w:r>
        <w:t xml:space="preserve">El chancroide es causado por </w:t>
      </w:r>
      <w:r>
        <w:rPr>
          <w:rFonts w:ascii="Times New Roman" w:eastAsia="Times New Roman" w:hAnsi="Times New Roman" w:cs="Times New Roman"/>
          <w:i/>
          <w:iCs/>
          <w:sz w:val="16"/>
          <w:szCs w:val="16"/>
        </w:rPr>
        <w:t>Haemophilus ducreyi,</w:t>
      </w:r>
      <w:r>
        <w:t xml:space="preserve"> un cocobacilo gramnegativo. </w:t>
      </w:r>
      <w:r>
        <w:rPr>
          <w:b/>
          <w:bCs/>
        </w:rPr>
        <w:t>A</w:t>
      </w:r>
      <w:r>
        <w:rPr>
          <w:b/>
          <w:bCs/>
          <w:sz w:val="13"/>
          <w:szCs w:val="13"/>
        </w:rPr>
        <w:t>SPECTOS EPIDEMIOLÓGICOS</w:t>
      </w:r>
      <w:r>
        <w:rPr>
          <w:b/>
          <w:bCs/>
        </w:rPr>
        <w:t xml:space="preserve">: </w:t>
      </w:r>
      <w:r>
        <w:t xml:space="preserve">El chancroide es una enfermedad de transmisión sexual, íntimamente vinculada con la pobreza, la prostitución urbana y el consumo de drogas ilícitas. Es endémica en muchas zonas de Estados Unidos y también surge en la forma de brotes aislados. Incluso en 10% de los pacientes coexiste con sífilis o ataque por el virus del herpes simple </w:t>
      </w:r>
      <w:r>
        <w:rPr>
          <w:i/>
          <w:iCs/>
        </w:rPr>
        <w:t>(</w:t>
      </w:r>
      <w:r>
        <w:rPr>
          <w:rFonts w:ascii="Times New Roman" w:eastAsia="Times New Roman" w:hAnsi="Times New Roman" w:cs="Times New Roman"/>
          <w:i/>
          <w:iCs/>
          <w:sz w:val="16"/>
          <w:szCs w:val="16"/>
        </w:rPr>
        <w:t>herpes simplex virus</w:t>
      </w:r>
      <w:r>
        <w:rPr>
          <w:i/>
          <w:iCs/>
        </w:rPr>
        <w:t>,</w:t>
      </w:r>
      <w:r>
        <w:t xml:space="preserve"> HSV). El chancroide es un cofactor perfectamente definido para transmisión del virus de inmunodeficiencia humana (VIH). Se sabe que el contacto sexual es el único mecanismo de transmisión, razón por la cual la identificación de un chancroide en lactantes y niños de corta edad constituye una prueba sólida de abuso sexual.</w:t>
      </w:r>
    </w:p>
    <w:p w14:paraId="3E7ACAF7" w14:textId="77777777" w:rsidR="00093A32" w:rsidRDefault="00093A32">
      <w:pPr>
        <w:pStyle w:val="BodyText"/>
        <w:ind w:firstLine="360"/>
      </w:pPr>
      <w:r>
        <w:t xml:space="preserve">El </w:t>
      </w:r>
      <w:r>
        <w:rPr>
          <w:b/>
          <w:bCs/>
        </w:rPr>
        <w:t xml:space="preserve">periodo de incubación </w:t>
      </w:r>
      <w:r>
        <w:t>va de tres a 10 días.</w:t>
      </w:r>
    </w:p>
    <w:p w14:paraId="07C94185"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por lo común se hace con base en los signos clínicos y la exclusión de otras infecciones que se acompañan de úlceras en genitales, como la sífilis, la infección por HSV o el linfogranuloma venéreo. El estudio directo del material clínico por medio de tinción de Gram puede sugerir decididamente el diagnóstico si se identifica gran número de cocobacilos gramnegativos. La confirmación se hace al identificar o recuperar </w:t>
      </w:r>
      <w:r>
        <w:rPr>
          <w:rFonts w:ascii="Times New Roman" w:eastAsia="Times New Roman" w:hAnsi="Times New Roman" w:cs="Times New Roman"/>
          <w:i/>
          <w:iCs/>
          <w:sz w:val="16"/>
          <w:szCs w:val="16"/>
        </w:rPr>
        <w:t>H. ducreyi</w:t>
      </w:r>
      <w:r>
        <w:t xml:space="preserve"> en una úlcera genital o en el líquido de aspiración de ganglios linfáticos. Sin embargo, para el aislamiento se necesitan medios de cultivo y un entorno especiales; si se sospecha chancroide hay que transmitir dicho dato al laboratorio. El material purulento obtenido de los bubones intactos casi siempre es estéril. Por medio de las tinciones de anticuerpos monoclonales fluorescentes y las reacciones en cadena de polimerasa se puede hacer un diagnóstico más específico, pero no se le practica en casi ninguno de los laboratorios comerciales.</w:t>
      </w:r>
    </w:p>
    <w:p w14:paraId="4EE35259" w14:textId="77777777" w:rsidR="00093A32" w:rsidRDefault="00093A32">
      <w:pPr>
        <w:pStyle w:val="BodyText"/>
        <w:ind w:firstLine="0"/>
      </w:pPr>
      <w:r>
        <w:rPr>
          <w:b/>
          <w:bCs/>
        </w:rPr>
        <w:t>T</w:t>
      </w:r>
      <w:r>
        <w:rPr>
          <w:b/>
          <w:bCs/>
          <w:sz w:val="13"/>
          <w:szCs w:val="13"/>
        </w:rPr>
        <w:t>RATAMIENTO</w:t>
      </w:r>
      <w:r>
        <w:rPr>
          <w:b/>
          <w:bCs/>
        </w:rPr>
        <w:t xml:space="preserve">: </w:t>
      </w:r>
      <w:r>
        <w:t>Los regímenes recomendados comprenden azitromicina dihidratada en una sola dosis, ceftriaxona sódica en una sola dosis, eritromicina base durante siete días o ciprofloxacina durante tres días (véase cuadro 4-3). No se ha aprobado el uso de ciprofloxacina para personas menores de 18 años y no se le administrará en embarazadas o mujeres que amamantan (véase “Antimicrobianos y fármacos similares”, sección 4). Los individuos con infección por VIH necesitan a veces tratamiento más prolongado.</w:t>
      </w:r>
    </w:p>
    <w:p w14:paraId="01DB01AB" w14:textId="77777777" w:rsidR="00093A32" w:rsidRDefault="00093A32">
      <w:pPr>
        <w:pStyle w:val="BodyText"/>
        <w:ind w:firstLine="360"/>
      </w:pPr>
      <w:r>
        <w:t>La mejoría clínica ocurre en término de siete días de comenzar el tratamiento satisfactorio, y la curación es completa en unas dos semanas. A menudo la adenitis cede con mucha lentitud y puede obligar a la aspiración con aguja o la incisión quirúrgica. Habrá que revisar de nuevo a los pacientes tres a siete días después de comenzar el tratamiento para corroborar que están en fase de curación. Si no se ha producido la curación, el diagnóstico quizá no sea el exacto y se necesiten más pruebas. Puede haber recidivas; sin embargo, por lo regular es eficaz la repetición del régimen original.</w:t>
      </w:r>
    </w:p>
    <w:p w14:paraId="49DBAEB9" w14:textId="77777777" w:rsidR="00093A32" w:rsidRDefault="00093A32">
      <w:pPr>
        <w:pStyle w:val="BodyText"/>
        <w:spacing w:line="283" w:lineRule="auto"/>
        <w:ind w:firstLine="360"/>
        <w:sectPr w:rsidR="00093A32" w:rsidSect="00093A32">
          <w:headerReference w:type="even" r:id="rId120"/>
          <w:headerReference w:type="default" r:id="rId121"/>
          <w:footerReference w:type="even" r:id="rId122"/>
          <w:footerReference w:type="default" r:id="rId123"/>
          <w:headerReference w:type="first" r:id="rId124"/>
          <w:footerReference w:type="first" r:id="rId125"/>
          <w:footnotePr>
            <w:numFmt w:val="chicago"/>
          </w:footnotePr>
          <w:pgSz w:w="8501" w:h="13022"/>
          <w:pgMar w:top="708" w:right="805" w:bottom="440" w:left="770" w:header="0" w:footer="3" w:gutter="0"/>
          <w:cols w:space="720"/>
          <w:noEndnote/>
          <w:titlePg/>
          <w:docGrid w:linePitch="360"/>
          <w15:footnoteColumns w:val="1"/>
        </w:sectPr>
      </w:pPr>
      <w:r>
        <w:t xml:space="preserve">Es importante valorar a los pacientes en busca de otras enfermedades de transmisión sexual como sífilis, hepatitis por virus B, infección por </w:t>
      </w:r>
      <w:r>
        <w:rPr>
          <w:rFonts w:ascii="Times New Roman" w:eastAsia="Times New Roman" w:hAnsi="Times New Roman" w:cs="Times New Roman"/>
          <w:i/>
          <w:iCs/>
          <w:sz w:val="16"/>
          <w:szCs w:val="16"/>
        </w:rPr>
        <w:t>Chlamydia trachomatis,</w:t>
      </w:r>
      <w:r>
        <w:t xml:space="preserve"> gonorrea e infección por VIH, para la fecha del diagnóstico. El chancroide </w:t>
      </w:r>
    </w:p>
    <w:p w14:paraId="0BCAD27E" w14:textId="77777777" w:rsidR="00093A32" w:rsidRDefault="00093A32">
      <w:pPr>
        <w:pStyle w:val="BodyText"/>
        <w:spacing w:line="283" w:lineRule="auto"/>
        <w:ind w:firstLine="0"/>
      </w:pPr>
      <w:r>
        <w:t>es un factor de peligro de infección por VIH y también un elemento que estimula la transmisión de dicho virus; por tal razón si los primeros estudios en busca de dicho virus o de sífilis arrojan resultados negativos, habrá que repetirlos tres meses después de corroborado el diagnóstico de chancroide. Es importante examinar y tratar a toda persona que ha tenido contacto sexual con sujetos con chancroide, en término de 10 días anteriores al comienzo de los síntomas, incluso si para ese momento no han aparecido manifestaciones clínicas.</w:t>
      </w:r>
    </w:p>
    <w:p w14:paraId="7EF9E9BC" w14:textId="77777777" w:rsidR="00093A32" w:rsidRDefault="00093A32">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Entre las medidas importantes de este tipo están la revisión y el tratamiento de los compañeros sexuales de pacientes de chancroide. Se ha utilizado cada vez más la “notificación del compañero” para identificar a un reservorio de casos de chancroide durante brotes, por lo común entre prostitutas. El proceso anterior puede culminar en la erradicación de epidemias. El empleo habitual del condón puede disminuir la transmisión.</w:t>
      </w:r>
    </w:p>
    <w:p w14:paraId="5488D9D1" w14:textId="77777777" w:rsidR="00093A32" w:rsidRDefault="00093A32">
      <w:pPr>
        <w:pStyle w:val="Bodytext70"/>
        <w:spacing w:after="0"/>
      </w:pPr>
      <w:r>
        <w:t>Choque tóxico, síndrome</w:t>
      </w:r>
    </w:p>
    <w:p w14:paraId="2118FEF8" w14:textId="77777777" w:rsidR="00093A32" w:rsidRDefault="00093A32">
      <w:pPr>
        <w:pStyle w:val="BodyText"/>
        <w:ind w:firstLine="0"/>
      </w:pPr>
      <w:r>
        <w:t xml:space="preserve">Manifestaciones clínicas: El síndrome de choque tóxico </w:t>
      </w:r>
      <w:r>
        <w:rPr>
          <w:i/>
          <w:iCs/>
        </w:rPr>
        <w:t>(</w:t>
      </w:r>
      <w:r>
        <w:rPr>
          <w:rFonts w:ascii="Times New Roman" w:eastAsia="Times New Roman" w:hAnsi="Times New Roman" w:cs="Times New Roman"/>
          <w:i/>
          <w:iCs/>
          <w:sz w:val="16"/>
          <w:szCs w:val="16"/>
        </w:rPr>
        <w:t>toxic shock syndrome</w:t>
      </w:r>
      <w:r>
        <w:rPr>
          <w:i/>
          <w:iCs/>
        </w:rPr>
        <w:t>,</w:t>
      </w:r>
      <w:r>
        <w:t xml:space="preserve"> TSS) puede ser causado por </w:t>
      </w:r>
      <w:r>
        <w:rPr>
          <w:rFonts w:ascii="Times New Roman" w:eastAsia="Times New Roman" w:hAnsi="Times New Roman" w:cs="Times New Roman"/>
          <w:i/>
          <w:iCs/>
          <w:sz w:val="16"/>
          <w:szCs w:val="16"/>
        </w:rPr>
        <w:t>Staphylococcus aureus</w:t>
      </w:r>
      <w:r>
        <w:t xml:space="preserve"> o </w:t>
      </w:r>
      <w:r>
        <w:rPr>
          <w:rFonts w:ascii="Times New Roman" w:eastAsia="Times New Roman" w:hAnsi="Times New Roman" w:cs="Times New Roman"/>
          <w:i/>
          <w:iCs/>
          <w:sz w:val="16"/>
          <w:szCs w:val="16"/>
        </w:rPr>
        <w:t>Streptococcus pyogenes</w:t>
      </w:r>
      <w:r>
        <w:t xml:space="preserve"> (estreptococos del grupo A) toxígenos. Los dos microorganismos ocasionan un cuadro agudo caracterizado por fiebre, hipotensión de comienzo rápido, insuficiencia renal acelerada y ataque de múltiples órganos y sistemas (cuadros 3-4 y 3-5). En el caso de TSS mediada por </w:t>
      </w:r>
      <w:r>
        <w:rPr>
          <w:rFonts w:ascii="Times New Roman" w:eastAsia="Times New Roman" w:hAnsi="Times New Roman" w:cs="Times New Roman"/>
          <w:i/>
          <w:iCs/>
          <w:sz w:val="16"/>
          <w:szCs w:val="16"/>
        </w:rPr>
        <w:t xml:space="preserve">S. aureus, </w:t>
      </w:r>
      <w:r>
        <w:t xml:space="preserve">por lo común hay diarrea acuosa y profusa, vómitos, eritrodermia generalizada, hiperemia conjuntival y mialgias intensas aunque tales signos no son tan frecuentes en el síndrome mediado por </w:t>
      </w:r>
      <w:r>
        <w:rPr>
          <w:rFonts w:ascii="Times New Roman" w:eastAsia="Times New Roman" w:hAnsi="Times New Roman" w:cs="Times New Roman"/>
          <w:i/>
          <w:iCs/>
          <w:sz w:val="16"/>
          <w:szCs w:val="16"/>
        </w:rPr>
        <w:t>S. pyogenes.</w:t>
      </w:r>
      <w:r>
        <w:t xml:space="preserve"> En el caso de TSS mediado por </w:t>
      </w:r>
      <w:r>
        <w:rPr>
          <w:rFonts w:ascii="Times New Roman" w:eastAsia="Times New Roman" w:hAnsi="Times New Roman" w:cs="Times New Roman"/>
          <w:i/>
          <w:iCs/>
          <w:sz w:val="16"/>
          <w:szCs w:val="16"/>
        </w:rPr>
        <w:t>S. pyogenes,</w:t>
      </w:r>
      <w:r>
        <w:t xml:space="preserve"> son comunes los signos de infección local de partes blandas (celulitis, abscesos, miositis o fasciítis necrosante) que se acompañan de dolor cada vez más intenso, situación que no se observa en el síndrome mediado por </w:t>
      </w:r>
      <w:r>
        <w:rPr>
          <w:rFonts w:ascii="Times New Roman" w:eastAsia="Times New Roman" w:hAnsi="Times New Roman" w:cs="Times New Roman"/>
          <w:i/>
          <w:iCs/>
          <w:sz w:val="16"/>
          <w:szCs w:val="16"/>
        </w:rPr>
        <w:t>S. aureus.</w:t>
      </w:r>
      <w:r>
        <w:t xml:space="preserve"> La presencia de un cuerpo extraño en el sitio de la infección es frecuente en el síndrome mediado por </w:t>
      </w:r>
      <w:r>
        <w:rPr>
          <w:rFonts w:ascii="Times New Roman" w:eastAsia="Times New Roman" w:hAnsi="Times New Roman" w:cs="Times New Roman"/>
          <w:i/>
          <w:iCs/>
          <w:sz w:val="16"/>
          <w:szCs w:val="16"/>
        </w:rPr>
        <w:t>S. aureus</w:t>
      </w:r>
      <w:r>
        <w:t xml:space="preserve"> y no en el causado por </w:t>
      </w:r>
      <w:r>
        <w:rPr>
          <w:rFonts w:ascii="Times New Roman" w:eastAsia="Times New Roman" w:hAnsi="Times New Roman" w:cs="Times New Roman"/>
          <w:i/>
          <w:iCs/>
          <w:sz w:val="16"/>
          <w:szCs w:val="16"/>
        </w:rPr>
        <w:t>S. pyogenes.</w:t>
      </w:r>
      <w:r>
        <w:t xml:space="preserve"> Las dos formas de TSS pueden surgir sin un foco fácilmente identificable de infección. Ambas formas del síndrome pueden vincularse con infecciones invasoras como neumonía, osteomielitis, bacteriemia y artrosis o endocarditis. Las personas con el síndrome mediado por </w:t>
      </w:r>
      <w:r>
        <w:rPr>
          <w:rFonts w:ascii="Times New Roman" w:eastAsia="Times New Roman" w:hAnsi="Times New Roman" w:cs="Times New Roman"/>
          <w:i/>
          <w:iCs/>
          <w:sz w:val="16"/>
          <w:szCs w:val="16"/>
        </w:rPr>
        <w:t>S. aureus,</w:t>
      </w:r>
      <w:r>
        <w:t xml:space="preserve"> en particular si son mujeres en menstruación, están en peligro de un episodio recurrente del mismo. No se han señalado episodios recurrentes en el caso del síndrome mediado por </w:t>
      </w:r>
      <w:r>
        <w:rPr>
          <w:rFonts w:ascii="Times New Roman" w:eastAsia="Times New Roman" w:hAnsi="Times New Roman" w:cs="Times New Roman"/>
          <w:i/>
          <w:iCs/>
          <w:sz w:val="16"/>
          <w:szCs w:val="16"/>
        </w:rPr>
        <w:t>S. pyogenes.</w:t>
      </w:r>
      <w:r>
        <w:t xml:space="preserve"> El choque tóxico puede ser confundido con innumerables infecciones y cuadros no infecciosos de fiebre con manifestaciones mucocutáneas.</w:t>
      </w:r>
    </w:p>
    <w:p w14:paraId="56FA33FA" w14:textId="77777777" w:rsidR="00093A32" w:rsidRDefault="00093A32">
      <w:pPr>
        <w:pStyle w:val="BodyText"/>
        <w:spacing w:after="220"/>
        <w:ind w:firstLine="0"/>
      </w:pPr>
      <w:r>
        <w:rPr>
          <w:b/>
          <w:bCs/>
        </w:rPr>
        <w:t>C</w:t>
      </w:r>
      <w:r>
        <w:rPr>
          <w:b/>
          <w:bCs/>
          <w:sz w:val="13"/>
          <w:szCs w:val="13"/>
        </w:rPr>
        <w:t>AUSAS</w:t>
      </w:r>
      <w:r>
        <w:rPr>
          <w:b/>
          <w:bCs/>
        </w:rPr>
        <w:t xml:space="preserve">: </w:t>
      </w:r>
      <w:r>
        <w:t xml:space="preserve">TSS mediado por </w:t>
      </w:r>
      <w:r>
        <w:rPr>
          <w:rFonts w:ascii="Times New Roman" w:eastAsia="Times New Roman" w:hAnsi="Times New Roman" w:cs="Times New Roman"/>
          <w:i/>
          <w:iCs/>
          <w:sz w:val="16"/>
          <w:szCs w:val="16"/>
        </w:rPr>
        <w:t>Staphylococcus aureus</w:t>
      </w:r>
      <w:r>
        <w:t xml:space="preserve"> por lo común es producido por cepas que generan la toxina-1 del síndrome </w:t>
      </w:r>
      <w:r>
        <w:rPr>
          <w:i/>
          <w:iCs/>
        </w:rPr>
        <w:t>(</w:t>
      </w:r>
      <w:r>
        <w:rPr>
          <w:rFonts w:ascii="Times New Roman" w:eastAsia="Times New Roman" w:hAnsi="Times New Roman" w:cs="Times New Roman"/>
          <w:i/>
          <w:iCs/>
          <w:sz w:val="16"/>
          <w:szCs w:val="16"/>
        </w:rPr>
        <w:t>toxic shock syndrome toxin-1</w:t>
      </w:r>
      <w:r>
        <w:rPr>
          <w:i/>
          <w:iCs/>
        </w:rPr>
        <w:t>,</w:t>
      </w:r>
      <w:r>
        <w:t xml:space="preserve"> TSST-1). Muchas de estas cepas también producen como mínimo una de las enterotoxinas estafilocócicas. Se ha dicho que algunas cepas sin TSST-1 intervienen en los casos de TSS “no menstruales”. Casi todos los casos del síndrome mediado por </w:t>
      </w:r>
      <w:r>
        <w:rPr>
          <w:rFonts w:ascii="Times New Roman" w:eastAsia="Times New Roman" w:hAnsi="Times New Roman" w:cs="Times New Roman"/>
          <w:i/>
          <w:iCs/>
          <w:sz w:val="16"/>
          <w:szCs w:val="16"/>
        </w:rPr>
        <w:t>S. pyogenes</w:t>
      </w:r>
      <w:r>
        <w:t xml:space="preserve"> son causados por cepas que generan como mínimo una de varias exotoxinas superantigénicas proteínicas: exotoxinas pirógenas estreptocócicas A, B o C; factor mitógeno o superantígeno estreptocócico.</w:t>
      </w:r>
    </w:p>
    <w:p w14:paraId="57A8ED63" w14:textId="77777777" w:rsidR="00093A32" w:rsidRDefault="00093A32">
      <w:pPr>
        <w:pStyle w:val="Other0"/>
        <w:spacing w:line="257" w:lineRule="auto"/>
        <w:ind w:firstLine="0"/>
        <w:rPr>
          <w:sz w:val="20"/>
          <w:szCs w:val="20"/>
        </w:rPr>
      </w:pPr>
      <w:r>
        <w:rPr>
          <w:b/>
          <w:bCs/>
          <w:smallCaps/>
          <w:sz w:val="20"/>
          <w:szCs w:val="20"/>
        </w:rPr>
        <w:t>A</w:t>
      </w:r>
      <w:r>
        <w:rPr>
          <w:b/>
          <w:bCs/>
          <w:smallCaps/>
          <w:sz w:val="16"/>
          <w:szCs w:val="16"/>
        </w:rPr>
        <w:t>spectos epidemiológicos</w:t>
      </w:r>
      <w:r>
        <w:rPr>
          <w:b/>
          <w:bCs/>
          <w:smallCaps/>
          <w:sz w:val="20"/>
          <w:szCs w:val="20"/>
        </w:rPr>
        <w:t>:</w:t>
      </w:r>
    </w:p>
    <w:p w14:paraId="06A7DA91" w14:textId="77777777" w:rsidR="00093A32" w:rsidRDefault="00093A32">
      <w:pPr>
        <w:pStyle w:val="BodyText"/>
        <w:spacing w:line="288" w:lineRule="auto"/>
        <w:ind w:firstLine="0"/>
      </w:pPr>
      <w:r>
        <w:rPr>
          <w:rFonts w:ascii="Arial" w:eastAsia="Arial" w:hAnsi="Arial" w:cs="Arial"/>
          <w:b/>
          <w:bCs/>
          <w:i/>
          <w:iCs/>
          <w:sz w:val="15"/>
          <w:szCs w:val="15"/>
        </w:rPr>
        <w:t>TSS mediado por</w:t>
      </w:r>
      <w:r>
        <w:rPr>
          <w:rFonts w:ascii="Arial" w:eastAsia="Arial" w:hAnsi="Arial" w:cs="Arial"/>
          <w:b/>
          <w:bCs/>
          <w:w w:val="70"/>
          <w:sz w:val="20"/>
          <w:szCs w:val="20"/>
        </w:rPr>
        <w:t xml:space="preserve"> Staphylococcus aureus</w:t>
      </w:r>
      <w:r>
        <w:rPr>
          <w:rFonts w:ascii="Arial" w:eastAsia="Arial" w:hAnsi="Arial" w:cs="Arial"/>
          <w:b/>
          <w:bCs/>
          <w:i/>
          <w:iCs/>
          <w:sz w:val="15"/>
          <w:szCs w:val="15"/>
        </w:rPr>
        <w:t>.</w:t>
      </w:r>
      <w:r>
        <w:t xml:space="preserve"> El síndrome en cuestión fue identificado originalmente en 1978, y afecta niños y adultos de uno y otro géneros; muchos casos tempranos a menudo se vincularon con el empleo de tapones en mujeres que apropiadas, para así reducir al mínimo la infección de origen ocupacional. Al parecer, el riesgo mayor lo corre el personal de atención pediátrica que atiende pequeños menores de dos años de vida. No se recomienda la detección serológica sistemática de anticuerpos contra virus citomegálico en el personal que labora en los centros mencionados.</w:t>
      </w:r>
    </w:p>
    <w:p w14:paraId="707899DB" w14:textId="77777777" w:rsidR="00093A32" w:rsidRDefault="00093A32">
      <w:pPr>
        <w:pStyle w:val="BodyText"/>
        <w:spacing w:line="276" w:lineRule="auto"/>
        <w:ind w:firstLine="360"/>
      </w:pPr>
      <w:r>
        <w:rPr>
          <w:rFonts w:ascii="Arial" w:eastAsia="Arial" w:hAnsi="Arial" w:cs="Arial"/>
          <w:b/>
          <w:bCs/>
          <w:i/>
          <w:iCs/>
          <w:sz w:val="15"/>
          <w:szCs w:val="15"/>
        </w:rPr>
        <w:t>Inmunoprofilaxia.</w:t>
      </w:r>
      <w:r>
        <w:t xml:space="preserve"> Se cuenta con el concentrado inmunoglobulínico intravenoso contra virus citomegálico para evitar la enfermedad en personas seronegativas que recibirán trasplantes. La eficacia del concentrado en cuestión parece ser moderada entre quienes recibirán injertos de riñones o de hígado. Los resultados de estudios de su empleo para evitar la transmisión de virus citomegálico a neonatos no son concluyentes. Está en marcha la valoración de vacunas experimentales en voluntarios sanos y personas que reciben riñones en trasplante.</w:t>
      </w:r>
    </w:p>
    <w:p w14:paraId="5DB354B4" w14:textId="77777777" w:rsidR="00093A32" w:rsidRDefault="00093A32">
      <w:pPr>
        <w:pStyle w:val="BodyText"/>
        <w:spacing w:line="276" w:lineRule="auto"/>
        <w:ind w:firstLine="360"/>
      </w:pPr>
      <w:r>
        <w:rPr>
          <w:rFonts w:ascii="Arial" w:eastAsia="Arial" w:hAnsi="Arial" w:cs="Arial"/>
          <w:b/>
          <w:bCs/>
          <w:i/>
          <w:iCs/>
          <w:sz w:val="15"/>
          <w:szCs w:val="15"/>
        </w:rPr>
        <w:t>Prevención de la transmisión por transfusión de sangre.</w:t>
      </w:r>
      <w:r>
        <w:t xml:space="preserve"> La transmisión del virus citomegálico por sangre transfundida a neonatos y otros hospedadores inmunodeficientes se ha eliminado casi del todo al recurrir a donantes que no tengan anticuerpos contra dicho virus, congelar eritrocitos en glicerol antes de administrarlos, eliminar la capa leucocítica o mediante la filtración para eliminar los glóbulos blancos.</w:t>
      </w:r>
    </w:p>
    <w:p w14:paraId="43C557D4" w14:textId="77777777" w:rsidR="00093A32" w:rsidRDefault="00093A32">
      <w:pPr>
        <w:pStyle w:val="BodyText"/>
        <w:spacing w:line="276" w:lineRule="auto"/>
        <w:ind w:firstLine="360"/>
      </w:pPr>
      <w:r>
        <w:rPr>
          <w:rFonts w:ascii="Arial" w:eastAsia="Arial" w:hAnsi="Arial" w:cs="Arial"/>
          <w:b/>
          <w:bCs/>
          <w:i/>
          <w:iCs/>
          <w:sz w:val="15"/>
          <w:szCs w:val="15"/>
        </w:rPr>
        <w:t>Prevención de la transmisión por leche materna.</w:t>
      </w:r>
      <w:r>
        <w:t xml:space="preserve"> Pasteurizar o congelar la leche materna donada son métodos que disminuyen la posibilidad de transmisión del virus. Si se necesita leche fresca donada para hijos de madres que no tienen los anticuerpos contra virus citomegálico, habrá que pensar en alimentarlos con leche que se obtenga sólo de mujeres sin los anticuerpos mencionados. Para mayor información sobre estos métodos véase “Leche materna”, sección 2.</w:t>
      </w:r>
    </w:p>
    <w:p w14:paraId="04C74313" w14:textId="77777777" w:rsidR="00093A32" w:rsidRDefault="00093A32">
      <w:pPr>
        <w:pStyle w:val="BodyText"/>
        <w:spacing w:after="320" w:line="276" w:lineRule="auto"/>
        <w:ind w:firstLine="360"/>
      </w:pPr>
      <w:r>
        <w:rPr>
          <w:rFonts w:ascii="Arial" w:eastAsia="Arial" w:hAnsi="Arial" w:cs="Arial"/>
          <w:b/>
          <w:bCs/>
          <w:i/>
          <w:iCs/>
          <w:sz w:val="15"/>
          <w:szCs w:val="15"/>
        </w:rPr>
        <w:t>Formas de evitar la transmisión en quienes reciben trasplante.</w:t>
      </w:r>
      <w:r>
        <w:t xml:space="preserve"> Las personas sin anticuerpos contra virus citomegálicos que recibirán tejidos u órganos de donantes seropositivos (que tienen anticuerpos o antígenos del virus citomegálico) están expuestas a gran peligro de mostrar la enfermedad por tal partícula. Si es imposible evitar tales circunstancias, el riesgo puede disminuir con la administración de concentrado inmunoglobulínico intravenoso contra el virus. La administración de aciclovir o ganciclovir a quienes recibirán trasplantes, desde el comienzo de la infección por virus citomegálico puede evitar enfermedad grave por dicha partícula patógena.</w:t>
      </w:r>
    </w:p>
    <w:p w14:paraId="6B64E852" w14:textId="77777777" w:rsidR="00093A32" w:rsidRDefault="00093A32">
      <w:pPr>
        <w:pStyle w:val="Other0"/>
        <w:spacing w:after="100" w:line="240" w:lineRule="auto"/>
        <w:ind w:firstLine="0"/>
        <w:rPr>
          <w:sz w:val="26"/>
          <w:szCs w:val="26"/>
        </w:rPr>
      </w:pPr>
      <w:r>
        <w:rPr>
          <w:rFonts w:ascii="Times New Roman" w:eastAsia="Times New Roman" w:hAnsi="Times New Roman" w:cs="Times New Roman"/>
          <w:sz w:val="32"/>
          <w:szCs w:val="32"/>
        </w:rPr>
        <w:t>C</w:t>
      </w:r>
      <w:r>
        <w:rPr>
          <w:rFonts w:ascii="Times New Roman" w:eastAsia="Times New Roman" w:hAnsi="Times New Roman" w:cs="Times New Roman"/>
          <w:sz w:val="26"/>
          <w:szCs w:val="26"/>
        </w:rPr>
        <w:t>LAMIDIASIS</w:t>
      </w:r>
    </w:p>
    <w:p w14:paraId="19318961" w14:textId="77777777" w:rsidR="00093A32" w:rsidRDefault="00093A32">
      <w:pPr>
        <w:pStyle w:val="Bodytext70"/>
        <w:spacing w:after="0"/>
      </w:pPr>
      <w:r>
        <w:rPr>
          <w:i/>
          <w:iCs/>
        </w:rPr>
        <w:t>Chlamydia (Chlamydophila) pneumoniae</w:t>
      </w:r>
    </w:p>
    <w:p w14:paraId="1C6FFDD2" w14:textId="77777777" w:rsidR="00093A32" w:rsidRDefault="00093A32">
      <w:pPr>
        <w:pStyle w:val="BodyText"/>
        <w:spacing w:after="220"/>
        <w:ind w:firstLine="0"/>
        <w:sectPr w:rsidR="00093A32" w:rsidSect="00093A32">
          <w:headerReference w:type="even" r:id="rId126"/>
          <w:headerReference w:type="default" r:id="rId127"/>
          <w:footerReference w:type="even" r:id="rId128"/>
          <w:footerReference w:type="default" r:id="rId129"/>
          <w:headerReference w:type="first" r:id="rId130"/>
          <w:footerReference w:type="first" r:id="rId131"/>
          <w:footnotePr>
            <w:numFmt w:val="chicago"/>
          </w:footnotePr>
          <w:pgSz w:w="8501" w:h="13022"/>
          <w:pgMar w:top="708" w:right="805" w:bottom="440" w:left="770" w:header="0" w:footer="3" w:gutter="0"/>
          <w:cols w:space="720"/>
          <w:noEndnote/>
          <w:titlePg/>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Los pacientes quizá no tengan síntomas, o si los tienen son leves o moderados, e incluyen diversos cuadros de vías respiratorias, como neumonía, bronquitis aguda, tos duradera y, con menor frecuencia, faringitis, laringitis, otitis media y sinusitis. En algunos enfermos, una semana o más antes de la tos hay faringitis. En la exploración física se observa a veces faringitis no exudativa, estertores en campos pulmonares y broncospasmo. En la radiografía de tórax se advierte a veces un infiltrado. La enfermedad dura largo tiempo y la tos persiste dos a seis semanas y puede seguir un curso bifásico. Además de enfermedades agudas de vías respiratorias, algunos investigadores han vinculado a </w:t>
      </w:r>
      <w:r>
        <w:rPr>
          <w:rFonts w:ascii="Times New Roman" w:eastAsia="Times New Roman" w:hAnsi="Times New Roman" w:cs="Times New Roman"/>
          <w:i/>
          <w:iCs/>
          <w:sz w:val="16"/>
          <w:szCs w:val="16"/>
        </w:rPr>
        <w:t>C. pneumoniae</w:t>
      </w:r>
      <w:r>
        <w:t xml:space="preserve"> con la enfermedad cardiovascular aterosclerótica. Están en marcha estudios prospectivos con asignación aleatoria para explorar con mayor detalle tal vínculo y saber si el tratamiento es beneficioso. Los investigadores también han vinculado a </w:t>
      </w:r>
      <w:r>
        <w:rPr>
          <w:rFonts w:ascii="Times New Roman" w:eastAsia="Times New Roman" w:hAnsi="Times New Roman" w:cs="Times New Roman"/>
          <w:i/>
          <w:iCs/>
          <w:sz w:val="16"/>
          <w:szCs w:val="16"/>
        </w:rPr>
        <w:t>C. pneumoniae</w:t>
      </w:r>
      <w:r>
        <w:t xml:space="preserve"> con asma, enfermedad de</w:t>
      </w:r>
    </w:p>
    <w:p w14:paraId="0F6921E1" w14:textId="77777777" w:rsidR="00093A32" w:rsidRDefault="00093A32">
      <w:pPr>
        <w:pStyle w:val="BodyText"/>
        <w:ind w:firstLine="0"/>
      </w:pPr>
      <w:r>
        <w:t>Alzheimer, hipertensión, síndrome de Kawasaki, esclerosis múltiple y otros trastornos, pero son escasas las pruebas que refuerzan la posibilidad de tales vínculos.</w:t>
      </w:r>
    </w:p>
    <w:p w14:paraId="4F457E3E"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Chlamydia pneumoniae</w:t>
      </w:r>
      <w:r>
        <w:t xml:space="preserve"> (nombre nuevo propuesto, </w:t>
      </w:r>
      <w:r>
        <w:rPr>
          <w:rFonts w:ascii="Times New Roman" w:eastAsia="Times New Roman" w:hAnsi="Times New Roman" w:cs="Times New Roman"/>
          <w:i/>
          <w:iCs/>
          <w:sz w:val="16"/>
          <w:szCs w:val="16"/>
        </w:rPr>
        <w:t>Chlamydophila pneumoniae</w:t>
      </w:r>
      <w:r>
        <w:rPr>
          <w:i/>
          <w:iCs/>
        </w:rPr>
        <w:t xml:space="preserve">) </w:t>
      </w:r>
      <w:r>
        <w:t xml:space="preserve">es una especie de </w:t>
      </w:r>
      <w:r>
        <w:rPr>
          <w:rFonts w:ascii="Times New Roman" w:eastAsia="Times New Roman" w:hAnsi="Times New Roman" w:cs="Times New Roman"/>
          <w:i/>
          <w:iCs/>
          <w:sz w:val="16"/>
          <w:szCs w:val="16"/>
        </w:rPr>
        <w:t>Chlamydia</w:t>
      </w:r>
      <w:r>
        <w:t xml:space="preserve"> que desde el punto de vista antigénico, genético y morfológico es diferente de otras especies del microorganismo. Todos las cepas aisladas de </w:t>
      </w:r>
      <w:r>
        <w:rPr>
          <w:rFonts w:ascii="Times New Roman" w:eastAsia="Times New Roman" w:hAnsi="Times New Roman" w:cs="Times New Roman"/>
          <w:i/>
          <w:iCs/>
          <w:sz w:val="16"/>
          <w:szCs w:val="16"/>
        </w:rPr>
        <w:t>C. pneumoniae</w:t>
      </w:r>
      <w:r>
        <w:t xml:space="preserve"> al parecer guardan una íntima relación serológica.</w:t>
      </w:r>
    </w:p>
    <w:p w14:paraId="3808F1A2"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Se supone que la infección por </w:t>
      </w:r>
      <w:r>
        <w:rPr>
          <w:rFonts w:ascii="Times New Roman" w:eastAsia="Times New Roman" w:hAnsi="Times New Roman" w:cs="Times New Roman"/>
          <w:i/>
          <w:iCs/>
          <w:sz w:val="16"/>
          <w:szCs w:val="16"/>
        </w:rPr>
        <w:t>Chlamydia pneumoniae</w:t>
      </w:r>
      <w:r>
        <w:t xml:space="preserve"> es transmitida en forma directa de una persona a otra por medio de secreciones infectadas de vías respiratorias. Se desconoce que exista un reservorio animal. La enfermedad se manifiesta a nivel mundial, pero en zonas tropicales y menos desarrolladas surge en etapas más tempranas de la vida que en países desarrollados en climas templados. En Estados Unidos en promedio la mitad de los adultos tienen anticuerpos específicos contra </w:t>
      </w:r>
      <w:r>
        <w:rPr>
          <w:rFonts w:ascii="Times New Roman" w:eastAsia="Times New Roman" w:hAnsi="Times New Roman" w:cs="Times New Roman"/>
          <w:i/>
          <w:iCs/>
          <w:sz w:val="16"/>
          <w:szCs w:val="16"/>
        </w:rPr>
        <w:t>C. pneumoniae</w:t>
      </w:r>
      <w:r>
        <w:t xml:space="preserve"> en suero, al cumplir 20 años. La infección inicial alcanza su frecuencia máxima entre los cinco y los 15 años de vida. La infección recurrente es común, especialmente en adultos. Se han señalado “agrupaciones” de casos en grupos de niños y adultos jóvenes. No hay pruebas de que intervengan factores estacionales.</w:t>
      </w:r>
    </w:p>
    <w:p w14:paraId="4A2A96E9" w14:textId="77777777" w:rsidR="00093A32" w:rsidRDefault="00093A32">
      <w:pPr>
        <w:pStyle w:val="BodyText"/>
        <w:ind w:firstLine="360"/>
      </w:pPr>
      <w:r>
        <w:t xml:space="preserve">El </w:t>
      </w:r>
      <w:r>
        <w:rPr>
          <w:b/>
          <w:bCs/>
        </w:rPr>
        <w:t xml:space="preserve">periodo de incubación </w:t>
      </w:r>
      <w:r>
        <w:t>medio es de 21 días.</w:t>
      </w:r>
    </w:p>
    <w:p w14:paraId="5EEC5849" w14:textId="77777777" w:rsidR="00093A32" w:rsidRDefault="00093A32">
      <w:pPr>
        <w:pStyle w:val="BodyText"/>
        <w:spacing w:after="100"/>
        <w:ind w:firstLine="0"/>
      </w:pPr>
      <w:r>
        <w:rPr>
          <w:b/>
          <w:bCs/>
        </w:rPr>
        <w:t>M</w:t>
      </w:r>
      <w:r>
        <w:rPr>
          <w:b/>
          <w:bCs/>
          <w:sz w:val="13"/>
          <w:szCs w:val="13"/>
        </w:rPr>
        <w:t>ÉTODOS DIAGNÓSTICOS</w:t>
      </w:r>
      <w:r>
        <w:rPr>
          <w:b/>
          <w:bCs/>
        </w:rPr>
        <w:t xml:space="preserve">: </w:t>
      </w:r>
      <w:r>
        <w:t xml:space="preserve">En el comercio no se dispone de un método diagnóstico fiable y ninguno ha sido aprobado por la </w:t>
      </w:r>
      <w:r>
        <w:rPr>
          <w:rFonts w:ascii="Times New Roman" w:eastAsia="Times New Roman" w:hAnsi="Times New Roman" w:cs="Times New Roman"/>
          <w:i/>
          <w:iCs/>
          <w:sz w:val="16"/>
          <w:szCs w:val="16"/>
        </w:rPr>
        <w:t>Food and Drug Administration</w:t>
      </w:r>
      <w:r>
        <w:t xml:space="preserve"> para usar en Estados Unidos. Los estudios serológicos han sido los instrumentos primarios de diagnóstico en el laboratorio, de infección por </w:t>
      </w:r>
      <w:r>
        <w:rPr>
          <w:rFonts w:ascii="Times New Roman" w:eastAsia="Times New Roman" w:hAnsi="Times New Roman" w:cs="Times New Roman"/>
          <w:i/>
          <w:iCs/>
          <w:sz w:val="16"/>
          <w:szCs w:val="16"/>
        </w:rPr>
        <w:t>C. pneumoniae.</w:t>
      </w:r>
      <w:r>
        <w:t xml:space="preserve"> El método de microinmunofluorescencia de anticuerpos es el más sensible y específico entre los serológicos para el caso de la infección aguda, y es el único aprobado. El incremento cuádruple del título de inmunoglobulina (Ig) G, o de IgM de 16 tantos o más, es prueba de infección aguda. Es mejor no utilizar un solo título de IgG para el diagnóstico de infección aguda. En la infección primaria, el nivel de anticuerpos IgM al parecer surge unas dos a tres semanas después del comienzo de la enfermedad, pero quizá el de anticuerpos IgG no alcance el máximo antes de las seis a ocho semanas. En la reinfección quizá no aparezca IgM, pero aumenta el nivel de IgG en el término de una a dos semanas. El tratamiento antimicrobiano temprano puede suprimir la respuesta de anticuerpos. La exposición pasada lo indica un título de IgG de 16 tantos o más. </w:t>
      </w:r>
      <w:r>
        <w:rPr>
          <w:rFonts w:ascii="Times New Roman" w:eastAsia="Times New Roman" w:hAnsi="Times New Roman" w:cs="Times New Roman"/>
          <w:i/>
          <w:iCs/>
          <w:sz w:val="16"/>
          <w:szCs w:val="16"/>
        </w:rPr>
        <w:t>Chlamydia pneumoniae</w:t>
      </w:r>
      <w:r>
        <w:t xml:space="preserve"> se puede aislar de muestras obtenidas por escobillón (exudado) de nasofaringe o bucofaringe, o de esputo, lavado broncoalveolar o fragmentos de tejido para biopsia. Las muestras se colocan en un medio adecuado para transporte y se conservan a temperatura de 4°C hasta ser inoculadas en cultivo celular. Las muestras que no pueden ser preparadas en término de 24 h deben ser congeladas y conservadas a —70°C. La positividad del cultivo se confirma al propagar el germen aislado o bien por la positividad de una reacción de cadena de polimerasa. Meses después de la enfermedad aguda puede haber excreción o dispersión de gérmenes nasofaríngeos. Los métodos inmunohistoquímicos utilizados para detectar </w:t>
      </w:r>
      <w:r>
        <w:rPr>
          <w:rFonts w:ascii="Times New Roman" w:eastAsia="Times New Roman" w:hAnsi="Times New Roman" w:cs="Times New Roman"/>
          <w:i/>
          <w:iCs/>
          <w:sz w:val="16"/>
          <w:szCs w:val="16"/>
        </w:rPr>
        <w:t>C. pneumoniae</w:t>
      </w:r>
      <w:r>
        <w:t xml:space="preserve"> en muestras de tejido exigen de anticuerpos y tejidos “testigos”, además de habilidad y experiencia para identificar artefactos de tinción y así evitar resultados positivos falsos. </w:t>
      </w:r>
      <w:r>
        <w:rPr>
          <w:b/>
          <w:bCs/>
        </w:rPr>
        <w:t>T</w:t>
      </w:r>
      <w:r>
        <w:rPr>
          <w:b/>
          <w:bCs/>
          <w:sz w:val="13"/>
          <w:szCs w:val="13"/>
        </w:rPr>
        <w:t>RATAMIENTO</w:t>
      </w:r>
      <w:r>
        <w:rPr>
          <w:b/>
          <w:bCs/>
        </w:rPr>
        <w:t xml:space="preserve">: </w:t>
      </w:r>
      <w:r>
        <w:t xml:space="preserve">Se recomienda utilizar eritromicina o tetraciclina. En el caso de adolescentes y adultos conviene usar tetraciclina o doxiciclina durante 14 días; es importante no emplear uno u otro antibiótico sistemáticamente en niños menores de ocho años (véase “Antimicrobianos y fármacos similares”, sección 4). Se ha hecho tratamiento satisfactorio de adolescentes y sujetos de mayor edad con eritromicina durante cinco a 10 días, pero se necesita a veces un ciclo de 14 a 21 días, porque es común que los síntomas se prolonguen o reaparezcan. Los macrólidos azitromicina dihidratada y claritromicina, así como algunas de las fluoroquinolonas, también son eficaces. Se ha aprobado el uso de estas últimas para personas de 18 años y mayores. Los datos </w:t>
      </w:r>
      <w:r>
        <w:rPr>
          <w:rFonts w:ascii="Times New Roman" w:eastAsia="Times New Roman" w:hAnsi="Times New Roman" w:cs="Times New Roman"/>
          <w:i/>
          <w:iCs/>
          <w:sz w:val="16"/>
          <w:szCs w:val="16"/>
        </w:rPr>
        <w:t>in vitro</w:t>
      </w:r>
      <w:r>
        <w:t xml:space="preserve"> sugieren que </w:t>
      </w:r>
      <w:r>
        <w:rPr>
          <w:rFonts w:ascii="Times New Roman" w:eastAsia="Times New Roman" w:hAnsi="Times New Roman" w:cs="Times New Roman"/>
          <w:i/>
          <w:iCs/>
          <w:sz w:val="16"/>
          <w:szCs w:val="16"/>
        </w:rPr>
        <w:t>C. pneumoniae</w:t>
      </w:r>
      <w:r>
        <w:t xml:space="preserve"> no es susceptible a las sulfonamidas.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recomiendan precauciones estándar. </w:t>
      </w:r>
      <w:r>
        <w:rPr>
          <w:b/>
          <w:bCs/>
        </w:rPr>
        <w:t>M</w:t>
      </w:r>
      <w:r>
        <w:rPr>
          <w:b/>
          <w:bCs/>
          <w:sz w:val="13"/>
          <w:szCs w:val="13"/>
        </w:rPr>
        <w:t>EDIDAS PREVENTIVAS</w:t>
      </w:r>
      <w:r>
        <w:rPr>
          <w:b/>
          <w:bCs/>
        </w:rPr>
        <w:t xml:space="preserve">: </w:t>
      </w:r>
      <w:r>
        <w:t xml:space="preserve">No es obligatoria la notificación de casos individuales de </w:t>
      </w:r>
      <w:r>
        <w:rPr>
          <w:rFonts w:ascii="Times New Roman" w:eastAsia="Times New Roman" w:hAnsi="Times New Roman" w:cs="Times New Roman"/>
          <w:i/>
          <w:iCs/>
          <w:sz w:val="16"/>
          <w:szCs w:val="16"/>
        </w:rPr>
        <w:t>C. pneumoniae</w:t>
      </w:r>
      <w:r>
        <w:t xml:space="preserve"> a autoridades sanitarias. Entre las medidas de prevención recomendadas están llevar al mínimo el apiñamiento y conservar la higiene personal, con eliminación cuidadosa de las secreciones de vías nasales y boca, así como higiene frecuente de las manos.</w:t>
      </w:r>
    </w:p>
    <w:p w14:paraId="2C03DB16" w14:textId="77777777" w:rsidR="00093A32" w:rsidRDefault="00093A32">
      <w:pPr>
        <w:pStyle w:val="Bodytext70"/>
        <w:spacing w:after="0"/>
      </w:pPr>
      <w:r>
        <w:rPr>
          <w:i/>
          <w:iCs/>
        </w:rPr>
        <w:t>Chlamydia (Chlamydophila) psittaci</w:t>
      </w:r>
    </w:p>
    <w:p w14:paraId="2AF8AA6B"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(Psittacosis, ornithosis)</w:t>
      </w:r>
    </w:p>
    <w:p w14:paraId="20AE9307" w14:textId="77777777" w:rsidR="00093A32" w:rsidRDefault="00093A32">
      <w:pPr>
        <w:pStyle w:val="BodyText"/>
        <w:ind w:firstLine="0"/>
      </w:pPr>
      <w:r>
        <w:rPr>
          <w:b/>
          <w:bCs/>
        </w:rPr>
        <w:t>M</w:t>
      </w:r>
      <w:r>
        <w:rPr>
          <w:b/>
          <w:bCs/>
          <w:sz w:val="13"/>
          <w:szCs w:val="13"/>
        </w:rPr>
        <w:t>ANIFESTACIONES CLÍNICAS</w:t>
      </w:r>
      <w:r>
        <w:rPr>
          <w:b/>
          <w:bCs/>
        </w:rPr>
        <w:t xml:space="preserve">: </w:t>
      </w:r>
      <w:r>
        <w:t>La psitacosis (ornithosis) es una infección aguda y febril de vías respiratorias con síntomas y signos generalizados que suelen incluir fiebre, tos no productiva, cefalea y malestar general. A veces hay neumonía intersticial extensa con cambios radiográficos, que de manera característica son más intensos de lo que cabría esperar con base en los signos de la exploración física. Entre las complicaciones raras están pericarditis, miocarditis, endocarditis, tromboflebitis superficial, hepatitis y encefalopatía.</w:t>
      </w:r>
    </w:p>
    <w:p w14:paraId="644B4A4F"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Chlamydia psittaci</w:t>
      </w:r>
      <w:r>
        <w:t xml:space="preserve"> (nuevo nombre propuesto, </w:t>
      </w:r>
      <w:r>
        <w:rPr>
          <w:rFonts w:ascii="Times New Roman" w:eastAsia="Times New Roman" w:hAnsi="Times New Roman" w:cs="Times New Roman"/>
          <w:i/>
          <w:iCs/>
          <w:sz w:val="16"/>
          <w:szCs w:val="16"/>
        </w:rPr>
        <w:t>Chlamydophila psittaci)</w:t>
      </w:r>
      <w:r>
        <w:t xml:space="preserve"> es una bacteria intracelular obligada que es diferente en su estructura antigénica y genética, de otras especies de </w:t>
      </w:r>
      <w:r>
        <w:rPr>
          <w:rFonts w:ascii="Times New Roman" w:eastAsia="Times New Roman" w:hAnsi="Times New Roman" w:cs="Times New Roman"/>
          <w:i/>
          <w:iCs/>
          <w:sz w:val="16"/>
          <w:szCs w:val="16"/>
        </w:rPr>
        <w:t>Chlamydia</w:t>
      </w:r>
      <w:r>
        <w:t>.</w:t>
      </w:r>
    </w:p>
    <w:p w14:paraId="376E9F94" w14:textId="77777777" w:rsidR="00093A32" w:rsidRDefault="00093A32">
      <w:pPr>
        <w:pStyle w:val="BodyText"/>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Los pájaros son el reservorio principal de </w:t>
      </w:r>
      <w:r>
        <w:rPr>
          <w:rFonts w:ascii="Times New Roman" w:eastAsia="Times New Roman" w:hAnsi="Times New Roman" w:cs="Times New Roman"/>
          <w:i/>
          <w:iCs/>
          <w:sz w:val="16"/>
          <w:szCs w:val="16"/>
        </w:rPr>
        <w:t xml:space="preserve">C. psittaci. </w:t>
      </w:r>
      <w:r>
        <w:t xml:space="preserve">Pueden presentar la infección algunos mamíferos como vacas, cabras, ovejas y gatos, así como especies de aves, y presentar un cuadro sistémico y debilitante. En Estados Unidos, los psittácidos (como pericos, periquitos y guacamayas, especialmente las que han sido introducidas subrepticiamente al país), las palomas y los pavos son fuentes importantes de enfermedad de seres humanos. Los pájaros sanos y enfermos pueden tener y transmitir el microorganismo a través de la vía aerófora en el polvo de excrementos o las secreciones. La excreción o dispersión de </w:t>
      </w:r>
      <w:r>
        <w:rPr>
          <w:rFonts w:ascii="Times New Roman" w:eastAsia="Times New Roman" w:hAnsi="Times New Roman" w:cs="Times New Roman"/>
          <w:i/>
          <w:iCs/>
          <w:sz w:val="16"/>
          <w:szCs w:val="16"/>
        </w:rPr>
        <w:t>C. psittaci</w:t>
      </w:r>
      <w:r>
        <w:t xml:space="preserve"> puede ser intermitente o continua durante semanas o meses. Están en peligro de contraer la infección las personas en el entorno de aves infectadas, como quienes trabajan en plantas de sacrificio de aves de corral, granjas para cría de ellas o tiendas de mascotas, así como los propietarios de las aves. También están en peligro los miembros del personal de laboratorio que trabajan con el microorganismo </w:t>
      </w:r>
      <w:r>
        <w:rPr>
          <w:rFonts w:ascii="Times New Roman" w:eastAsia="Times New Roman" w:hAnsi="Times New Roman" w:cs="Times New Roman"/>
          <w:i/>
          <w:iCs/>
          <w:sz w:val="16"/>
          <w:szCs w:val="16"/>
        </w:rPr>
        <w:t>C. psittaci.</w:t>
      </w:r>
      <w:r>
        <w:t xml:space="preserve"> La distribución de la enfermedad es mundial y tiende a surgir esporádicamente en cualquier estación del año. Las infecciones son raras en niños. En embarazadas después de exposición a ovejas infectadas se han señalado casos de enfermedad grave y aborto espontáneo.</w:t>
      </w:r>
    </w:p>
    <w:p w14:paraId="29ECB34E" w14:textId="77777777" w:rsidR="00093A32" w:rsidRDefault="00093A32">
      <w:pPr>
        <w:pStyle w:val="BodyText"/>
        <w:ind w:firstLine="360"/>
      </w:pPr>
      <w:r>
        <w:t xml:space="preserve">El </w:t>
      </w:r>
      <w:r>
        <w:rPr>
          <w:b/>
          <w:bCs/>
        </w:rPr>
        <w:t xml:space="preserve">periodo de incubación </w:t>
      </w:r>
      <w:r>
        <w:t>por lo común es de siete a 14 días, pero puede ser mayor.</w:t>
      </w:r>
    </w:p>
    <w:p w14:paraId="78A77633" w14:textId="77777777" w:rsidR="00093A32" w:rsidRDefault="00093A32">
      <w:pPr>
        <w:pStyle w:val="BodyText"/>
        <w:spacing w:after="100"/>
        <w:ind w:firstLine="0"/>
        <w:sectPr w:rsidR="00093A32" w:rsidSect="00093A32">
          <w:headerReference w:type="even" r:id="rId132"/>
          <w:headerReference w:type="default" r:id="rId133"/>
          <w:footerReference w:type="even" r:id="rId134"/>
          <w:footerReference w:type="default" r:id="rId135"/>
          <w:headerReference w:type="first" r:id="rId136"/>
          <w:footerReference w:type="first" r:id="rId137"/>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 xml:space="preserve">El método común de diagnóstico es de tipo serológico, en que se advierte un incremento cuádruple del título de anticuerpos, y para ello se usa el estudio de fijación de complemento, en muestras de la fase aguda y de convalecencia obtenidas con una diferencia de dos a tres semanas. En presencia de una enfermedad clínica compatible, se considera que un solo título de 1:32 o mayor constituye una prueba presuncional de la infección. El tratamiento puede suprimir la respuesta de anticuerpos. Por medio de la prueba de fijación de complemento es imposible diferenciar entre las infecciones causadas por diversas variedades de clamidia, como </w:t>
      </w:r>
    </w:p>
    <w:p w14:paraId="4B6E6B94" w14:textId="77777777" w:rsidR="00093A32" w:rsidRDefault="00093A32">
      <w:pPr>
        <w:pStyle w:val="BodyText"/>
        <w:spacing w:after="100"/>
        <w:ind w:firstLine="0"/>
      </w:pPr>
      <w:r>
        <w:t xml:space="preserve">común que los síntomas se prolonguen o reaparezcan. Los macrólidos azitromicina dihidratada y claritromicina, así como algunas de las fluoroquinolonas, también son eficaces. Se ha aprobado el uso de estas últimas para personas de 18 años y mayores. Los datos </w:t>
      </w:r>
      <w:r>
        <w:rPr>
          <w:rFonts w:ascii="Times New Roman" w:eastAsia="Times New Roman" w:hAnsi="Times New Roman" w:cs="Times New Roman"/>
          <w:i/>
          <w:iCs/>
          <w:sz w:val="16"/>
          <w:szCs w:val="16"/>
        </w:rPr>
        <w:t>in vitro</w:t>
      </w:r>
      <w:r>
        <w:t xml:space="preserve"> sugieren que </w:t>
      </w:r>
      <w:r>
        <w:rPr>
          <w:rFonts w:ascii="Times New Roman" w:eastAsia="Times New Roman" w:hAnsi="Times New Roman" w:cs="Times New Roman"/>
          <w:i/>
          <w:iCs/>
          <w:sz w:val="16"/>
          <w:szCs w:val="16"/>
        </w:rPr>
        <w:t>C. pneumoniae</w:t>
      </w:r>
      <w:r>
        <w:t xml:space="preserve"> no es susceptible a las sulfonamidas.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recomiendan precauciones estándar. </w:t>
      </w:r>
      <w:r>
        <w:rPr>
          <w:b/>
          <w:bCs/>
        </w:rPr>
        <w:t>M</w:t>
      </w:r>
      <w:r>
        <w:rPr>
          <w:b/>
          <w:bCs/>
          <w:sz w:val="13"/>
          <w:szCs w:val="13"/>
        </w:rPr>
        <w:t>EDIDAS PREVENTIVAS</w:t>
      </w:r>
      <w:r>
        <w:rPr>
          <w:b/>
          <w:bCs/>
        </w:rPr>
        <w:t xml:space="preserve">: </w:t>
      </w:r>
      <w:r>
        <w:t xml:space="preserve">No es obligatoria la notificación de casos individuales de </w:t>
      </w:r>
      <w:r>
        <w:rPr>
          <w:rFonts w:ascii="Times New Roman" w:eastAsia="Times New Roman" w:hAnsi="Times New Roman" w:cs="Times New Roman"/>
          <w:i/>
          <w:iCs/>
          <w:sz w:val="16"/>
          <w:szCs w:val="16"/>
        </w:rPr>
        <w:t>C. pneumoniae</w:t>
      </w:r>
      <w:r>
        <w:t xml:space="preserve"> a autoridades sanitarias. Entre las medidas de prevención recomendadas están llevar al mínimo el apiñamiento y conservar la higiene personal, con eliminación cuidadosa de las secreciones de vías nasales y boca, así como higiene frecuente de las manos.</w:t>
      </w:r>
    </w:p>
    <w:p w14:paraId="6621D9B7" w14:textId="77777777" w:rsidR="00093A32" w:rsidRDefault="00093A32">
      <w:pPr>
        <w:pStyle w:val="Bodytext70"/>
        <w:spacing w:after="0"/>
      </w:pPr>
      <w:r>
        <w:rPr>
          <w:i/>
          <w:iCs/>
        </w:rPr>
        <w:t>Chlamydia (Chlamydophila) psittaci</w:t>
      </w:r>
    </w:p>
    <w:p w14:paraId="3BAA303A"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(Psittacosis, ornithosis)</w:t>
      </w:r>
    </w:p>
    <w:p w14:paraId="0B08E662" w14:textId="77777777" w:rsidR="00093A32" w:rsidRDefault="00093A32">
      <w:pPr>
        <w:pStyle w:val="BodyText"/>
        <w:ind w:firstLine="0"/>
      </w:pPr>
      <w:r>
        <w:rPr>
          <w:b/>
          <w:bCs/>
        </w:rPr>
        <w:t>M</w:t>
      </w:r>
      <w:r>
        <w:rPr>
          <w:b/>
          <w:bCs/>
          <w:sz w:val="13"/>
          <w:szCs w:val="13"/>
        </w:rPr>
        <w:t>ANIFESTACIONES CLÍNICAS</w:t>
      </w:r>
      <w:r>
        <w:rPr>
          <w:b/>
          <w:bCs/>
        </w:rPr>
        <w:t xml:space="preserve">: </w:t>
      </w:r>
      <w:r>
        <w:t>La psitacosis (ornithosis) es una infección aguda y febril de vías respiratorias con síntomas y signos generalizados que suelen incluir fiebre, tos no productiva, cefalea y malestar general. A veces hay neumonía intersticial extensa con cambios radiográficos, que de manera característica son más intensos de lo que cabría esperar con base en los signos de la exploración física. Entre las complicaciones raras están pericarditis, miocarditis, endocarditis, tromboflebitis superficial, hepatitis y encefalopatía.</w:t>
      </w:r>
    </w:p>
    <w:p w14:paraId="6F7AF1C0"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Chlamydia psittaci</w:t>
      </w:r>
      <w:r>
        <w:t xml:space="preserve"> (nuevo nombre propuesto, </w:t>
      </w:r>
      <w:r>
        <w:rPr>
          <w:rFonts w:ascii="Times New Roman" w:eastAsia="Times New Roman" w:hAnsi="Times New Roman" w:cs="Times New Roman"/>
          <w:i/>
          <w:iCs/>
          <w:sz w:val="16"/>
          <w:szCs w:val="16"/>
        </w:rPr>
        <w:t>Chlamydophila psittaci)</w:t>
      </w:r>
      <w:r>
        <w:t xml:space="preserve"> es una bacteria intracelular obligada que es diferente en su estructura antigénica y genética, de otras especies de </w:t>
      </w:r>
      <w:r>
        <w:rPr>
          <w:rFonts w:ascii="Times New Roman" w:eastAsia="Times New Roman" w:hAnsi="Times New Roman" w:cs="Times New Roman"/>
          <w:i/>
          <w:iCs/>
          <w:sz w:val="16"/>
          <w:szCs w:val="16"/>
        </w:rPr>
        <w:t>Chlamydia</w:t>
      </w:r>
      <w:r>
        <w:t>.</w:t>
      </w:r>
    </w:p>
    <w:p w14:paraId="5A993CC6" w14:textId="77777777" w:rsidR="00093A32" w:rsidRDefault="00093A32">
      <w:pPr>
        <w:pStyle w:val="BodyText"/>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Los pájaros son el reservorio principal de </w:t>
      </w:r>
      <w:r>
        <w:rPr>
          <w:rFonts w:ascii="Times New Roman" w:eastAsia="Times New Roman" w:hAnsi="Times New Roman" w:cs="Times New Roman"/>
          <w:i/>
          <w:iCs/>
          <w:sz w:val="16"/>
          <w:szCs w:val="16"/>
        </w:rPr>
        <w:t xml:space="preserve">C. psittaci. </w:t>
      </w:r>
      <w:r>
        <w:t xml:space="preserve">Pueden presentar la infección algunos mamíferos como vacas, cabras, ovejas y gatos, así como especies de aves, y presentar un cuadro sistémico y debilitante. En Estados Unidos, los psittácidos (como pericos, periquitos y guacamayas, especialmente las que han sido introducidas subrepticiamente al país), las palomas y los pavos son fuentes importantes de enfermedad de seres humanos. Los pájaros sanos y enfermos pueden tener y transmitir el microorganismo a través de la vía aerófora en el polvo de excrementos o las secreciones. La excreción o dispersión de </w:t>
      </w:r>
      <w:r>
        <w:rPr>
          <w:rFonts w:ascii="Times New Roman" w:eastAsia="Times New Roman" w:hAnsi="Times New Roman" w:cs="Times New Roman"/>
          <w:i/>
          <w:iCs/>
          <w:sz w:val="16"/>
          <w:szCs w:val="16"/>
        </w:rPr>
        <w:t>C. psittaci</w:t>
      </w:r>
      <w:r>
        <w:t xml:space="preserve"> puede ser intermitente o continua durante semanas o meses. Están en peligro de contraer la infección las personas en el entorno de aves infectadas, como quienes trabajan en plantas de sacrificio de aves de corral, granjas para cría de ellas o tiendas de mascotas, así como los propietarios de las aves. También están en peligro los miembros del personal de laboratorio que trabajan con el microorganismo </w:t>
      </w:r>
      <w:r>
        <w:rPr>
          <w:rFonts w:ascii="Times New Roman" w:eastAsia="Times New Roman" w:hAnsi="Times New Roman" w:cs="Times New Roman"/>
          <w:i/>
          <w:iCs/>
          <w:sz w:val="16"/>
          <w:szCs w:val="16"/>
        </w:rPr>
        <w:t>C. psittaci.</w:t>
      </w:r>
      <w:r>
        <w:t xml:space="preserve"> La distribución de la enfermedad es mundial y tiende a surgir esporádicamente en cualquier estación del año. Las infecciones son raras en niños. En embarazadas después de exposición a ovejas infectadas se han señalado casos de enfermedad grave y aborto espontáneo.</w:t>
      </w:r>
    </w:p>
    <w:p w14:paraId="43BD52AB" w14:textId="77777777" w:rsidR="00093A32" w:rsidRDefault="00093A32">
      <w:pPr>
        <w:pStyle w:val="BodyText"/>
        <w:ind w:firstLine="360"/>
      </w:pPr>
      <w:r>
        <w:t xml:space="preserve">El </w:t>
      </w:r>
      <w:r>
        <w:rPr>
          <w:b/>
          <w:bCs/>
        </w:rPr>
        <w:t xml:space="preserve">periodo de incubación </w:t>
      </w:r>
      <w:r>
        <w:t>por lo común es de siete a 14 días, pero puede ser mayor.</w:t>
      </w:r>
    </w:p>
    <w:p w14:paraId="511942B0"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método común de diagnóstico es de tipo serológico, en que se advierte un incremento cuádruple del título de anticuerpos, y para ello se usa el estudio de fijación de complemento, en muestras de la fase aguda y de convalecencia obtenidas con una diferencia de dos a tres semanas. En presencia de una enfermedad clínica compatible, se considera que un solo título de 1:32 o mayor constituye una prueba presuncional de la infección. El tratamiento puede suprimir la respuesta de anticuerpos. Por medio de la prueba de fijación de complemento es imposible diferenciar entre las infecciones causadas por diversas variedades de clamidia, como </w:t>
      </w:r>
      <w:r>
        <w:rPr>
          <w:rFonts w:ascii="Times New Roman" w:eastAsia="Times New Roman" w:hAnsi="Times New Roman" w:cs="Times New Roman"/>
          <w:i/>
          <w:iCs/>
          <w:sz w:val="16"/>
          <w:szCs w:val="16"/>
        </w:rPr>
        <w:t>C. psittaci, C. pneumoniae, C. trachomatis</w:t>
      </w:r>
      <w:r>
        <w:t xml:space="preserve"> o </w:t>
      </w:r>
      <w:r>
        <w:rPr>
          <w:rFonts w:ascii="Times New Roman" w:eastAsia="Times New Roman" w:hAnsi="Times New Roman" w:cs="Times New Roman"/>
          <w:i/>
          <w:iCs/>
          <w:sz w:val="16"/>
          <w:szCs w:val="16"/>
        </w:rPr>
        <w:t>C. pecorum.</w:t>
      </w:r>
      <w:r>
        <w:t xml:space="preserve"> Los métodos de microinmunofluorescencia y reacción en cadena de polimerasa son los más específicos que se han elaborado para </w:t>
      </w:r>
      <w:r>
        <w:rPr>
          <w:rFonts w:ascii="Times New Roman" w:eastAsia="Times New Roman" w:hAnsi="Times New Roman" w:cs="Times New Roman"/>
          <w:i/>
          <w:iCs/>
          <w:sz w:val="16"/>
          <w:szCs w:val="16"/>
        </w:rPr>
        <w:t>C. psittaci,</w:t>
      </w:r>
      <w:r>
        <w:t xml:space="preserve"> pero no se les practica en laboratorios comerciales. El aislamiento del agente a partir de las vías respiratorias será una maniobra que intente sólo el personal experto que trabaja en laboratorios, y se aplicarán medidas estrictas para evitar la propagación del microorganismo durante la obtención y el manejo de todas las muestras para cultivo.</w:t>
      </w:r>
    </w:p>
    <w:p w14:paraId="5120283D" w14:textId="77777777" w:rsidR="00093A32" w:rsidRDefault="00093A32">
      <w:pPr>
        <w:pStyle w:val="BodyText"/>
        <w:ind w:firstLine="0"/>
      </w:pPr>
      <w:r>
        <w:rPr>
          <w:b/>
          <w:bCs/>
        </w:rPr>
        <w:t>T</w:t>
      </w:r>
      <w:r>
        <w:rPr>
          <w:b/>
          <w:bCs/>
          <w:sz w:val="13"/>
          <w:szCs w:val="13"/>
        </w:rPr>
        <w:t>RATAMIENTO</w:t>
      </w:r>
      <w:r>
        <w:rPr>
          <w:b/>
          <w:bCs/>
        </w:rPr>
        <w:t xml:space="preserve">: </w:t>
      </w:r>
      <w:r>
        <w:t>Las tetraciclinas constituyen los fármacos preferidos, excepto para niños menores de ocho años. Otro medicamento que se puede usar es la eritromicina, y es recomendable en niños de menor edad. También son eficaces los macrólidos azitromicina dihidratada y claritromicina, así como el cloranfenicol. El tratamiento debe practicarse durante 10 a 14 días, como mínimo, después que la fiebre haya mostrado defervescencia.</w:t>
      </w:r>
    </w:p>
    <w:p w14:paraId="59B47EE1"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en estos casos las precauciones estándar.</w:t>
      </w:r>
    </w:p>
    <w:p w14:paraId="7C746BF4" w14:textId="77777777" w:rsidR="00093A32" w:rsidRDefault="00093A32">
      <w:pPr>
        <w:pStyle w:val="BodyText"/>
        <w:spacing w:after="100"/>
        <w:ind w:firstLine="0"/>
      </w:pPr>
      <w:r>
        <w:rPr>
          <w:b/>
          <w:bCs/>
        </w:rPr>
        <w:t>M</w:t>
      </w:r>
      <w:r>
        <w:rPr>
          <w:b/>
          <w:bCs/>
          <w:sz w:val="13"/>
          <w:szCs w:val="13"/>
        </w:rPr>
        <w:t>EDIDAS PREVENTIVAS</w:t>
      </w:r>
      <w:r>
        <w:rPr>
          <w:b/>
          <w:bCs/>
        </w:rPr>
        <w:t xml:space="preserve">: </w:t>
      </w:r>
      <w:r>
        <w:t xml:space="preserve">En muchos estados de la unión norteamericana es obligatoria la notificación de casos de psittacosis humana a las autoridades sanitarias. Un veterinario debe atender a toda ave en que recaiga la sospecha de ser el origen de la infección, para su valoración y tratamiento. Las aves con infección por </w:t>
      </w:r>
      <w:r>
        <w:rPr>
          <w:rFonts w:ascii="Times New Roman" w:eastAsia="Times New Roman" w:hAnsi="Times New Roman" w:cs="Times New Roman"/>
          <w:i/>
          <w:iCs/>
          <w:sz w:val="16"/>
          <w:szCs w:val="16"/>
        </w:rPr>
        <w:t>C. psittaci</w:t>
      </w:r>
      <w:r>
        <w:t xml:space="preserve"> deben ser aisladas y tratadas con antimicrobianos apropiados durante 45 días, como mínimo.</w:t>
      </w:r>
      <w:r>
        <w:footnoteReference w:id="5"/>
      </w:r>
      <w:r>
        <w:t xml:space="preserve"> Todo pájaro del cual se sospechó que mostraba la infección y que murió o que fue muerto sin dolor debe ser colocado en un recipiente impermeable y sellado, y transportado en hielo seco a un laboratorio de veterinaria para la práctica de estudios. Hay que desinfectar perfectamente y dejar que se ventilen antes de emplear de nuevo todas las jaulas y zonas de albergue potencialmente contaminadas porque pueden contener gérmenes infecciosos. </w:t>
      </w:r>
      <w:r>
        <w:rPr>
          <w:rFonts w:ascii="Times New Roman" w:eastAsia="Times New Roman" w:hAnsi="Times New Roman" w:cs="Times New Roman"/>
          <w:i/>
          <w:iCs/>
          <w:sz w:val="16"/>
          <w:szCs w:val="16"/>
        </w:rPr>
        <w:t>Chlamydia psittaci</w:t>
      </w:r>
      <w:r>
        <w:t xml:space="preserve"> es susceptible a casi todos los desinfectantes y detergentes caseros, incluida la mezcla de alcohol, 70%, y Lysol, 1% (Reckit Benckiser, Berkshire, Inglaterra) y una dilución de 1:100 de desinfectante casero (blanqueador). Es importante que las personas que limpian las jaulas y otros medios de alojamiento de aves no dispersen su contenido. Los sujetos expuestos a las fuentes comunes de infección deben ser observados en caso de que presenten fiebre o síntomas de vías respiratorias. Se practicarán las pruebas diagnósticas tempranas y se emprenderá el tratamiento si reaparecen los síntomas.</w:t>
      </w:r>
    </w:p>
    <w:p w14:paraId="195E7743" w14:textId="77777777" w:rsidR="00093A32" w:rsidRDefault="00093A32">
      <w:pPr>
        <w:pStyle w:val="Bodytext70"/>
        <w:spacing w:after="0"/>
      </w:pPr>
      <w:r>
        <w:rPr>
          <w:i/>
          <w:iCs/>
        </w:rPr>
        <w:t>Chlamydia trachomatis</w:t>
      </w:r>
    </w:p>
    <w:p w14:paraId="5812167C"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 xml:space="preserve">: </w:t>
      </w:r>
      <w:r>
        <w:rPr>
          <w:rFonts w:ascii="Times New Roman" w:eastAsia="Times New Roman" w:hAnsi="Times New Roman" w:cs="Times New Roman"/>
          <w:i/>
          <w:iCs/>
          <w:sz w:val="16"/>
          <w:szCs w:val="16"/>
        </w:rPr>
        <w:t>Chlamydia trachomatis</w:t>
      </w:r>
      <w:r>
        <w:t xml:space="preserve"> se ha vinculado con manifestaciones clínicas de muy diversa índole, como conjuntivitis neonatal, tracoma, neumonía de lactantes de corta edad, infección de vías genitales y linfogranuloma venéreo (LGV). La conjuntivitis neonatal por clamidia se caracteriza por hiperemia de ojos, edema y secreción después de unos días o semanas de haber nacido el pequeño; dura una a dos semanas y a veces mucho más. A diferencia del tracoma, rara vez quedan cicatrices o se forma pannus.</w:t>
      </w:r>
    </w:p>
    <w:p w14:paraId="48F58862" w14:textId="77777777" w:rsidR="00093A32" w:rsidRDefault="00093A32">
      <w:pPr>
        <w:pStyle w:val="BodyText"/>
        <w:ind w:firstLine="360"/>
        <w:sectPr w:rsidR="00093A32" w:rsidSect="00093A32">
          <w:headerReference w:type="even" r:id="rId138"/>
          <w:headerReference w:type="default" r:id="rId139"/>
          <w:footerReference w:type="even" r:id="rId140"/>
          <w:footerReference w:type="default" r:id="rId141"/>
          <w:headerReference w:type="first" r:id="rId142"/>
          <w:footerReference w:type="first" r:id="rId143"/>
          <w:footnotePr>
            <w:numFmt w:val="chicago"/>
          </w:footnotePr>
          <w:pgSz w:w="8501" w:h="13022"/>
          <w:pgMar w:top="708" w:right="805" w:bottom="440" w:left="770" w:header="0" w:footer="3" w:gutter="0"/>
          <w:pgNumType w:start="263"/>
          <w:cols w:space="720"/>
          <w:noEndnote/>
          <w:titlePg/>
          <w:docGrid w:linePitch="360"/>
          <w15:footnoteColumns w:val="1"/>
        </w:sectPr>
      </w:pPr>
      <w:r>
        <w:t>El tracoma es una queratoconjuntivitis folicular crónica con vasos de neoformación de la córnea, que es consecuencia de infección repetida y crónica. En 1 a 15% de</w:t>
      </w:r>
    </w:p>
    <w:p w14:paraId="0E7E02AD" w14:textId="77777777" w:rsidR="00093A32" w:rsidRDefault="00093A32">
      <w:pPr>
        <w:pStyle w:val="BodyText"/>
        <w:ind w:firstLine="0"/>
      </w:pPr>
      <w:r>
        <w:rPr>
          <w:rFonts w:ascii="Times New Roman" w:eastAsia="Times New Roman" w:hAnsi="Times New Roman" w:cs="Times New Roman"/>
          <w:i/>
          <w:iCs/>
          <w:sz w:val="16"/>
          <w:szCs w:val="16"/>
        </w:rPr>
        <w:t>C. psittaci, C. pneumoniae, C. trachomatis</w:t>
      </w:r>
      <w:r>
        <w:t xml:space="preserve"> o </w:t>
      </w:r>
      <w:r>
        <w:rPr>
          <w:rFonts w:ascii="Times New Roman" w:eastAsia="Times New Roman" w:hAnsi="Times New Roman" w:cs="Times New Roman"/>
          <w:i/>
          <w:iCs/>
          <w:sz w:val="16"/>
          <w:szCs w:val="16"/>
        </w:rPr>
        <w:t>C. pecorum.</w:t>
      </w:r>
      <w:r>
        <w:t xml:space="preserve"> Los métodos de microinmunofluorescencia y reacción en cadena de polimerasa son los más específicos que se han elaborado para </w:t>
      </w:r>
      <w:r>
        <w:rPr>
          <w:rFonts w:ascii="Times New Roman" w:eastAsia="Times New Roman" w:hAnsi="Times New Roman" w:cs="Times New Roman"/>
          <w:i/>
          <w:iCs/>
          <w:sz w:val="16"/>
          <w:szCs w:val="16"/>
        </w:rPr>
        <w:t>C. psittaci,</w:t>
      </w:r>
      <w:r>
        <w:t xml:space="preserve"> pero no se les practica en laboratorios comerciales. El aislamiento del agente a partir de las vías respiratorias será una maniobra que intente sólo el personal experto que trabaja en laboratorios, y se aplicarán medidas estrictas para evitar la propagación del microorganismo durante la obtención y el manejo de todas las muestras para cultivo.</w:t>
      </w:r>
    </w:p>
    <w:p w14:paraId="13396FFB" w14:textId="77777777" w:rsidR="00093A32" w:rsidRDefault="00093A32">
      <w:pPr>
        <w:pStyle w:val="BodyText"/>
        <w:ind w:firstLine="0"/>
      </w:pPr>
      <w:r>
        <w:rPr>
          <w:b/>
          <w:bCs/>
        </w:rPr>
        <w:t>T</w:t>
      </w:r>
      <w:r>
        <w:rPr>
          <w:b/>
          <w:bCs/>
          <w:sz w:val="13"/>
          <w:szCs w:val="13"/>
        </w:rPr>
        <w:t>RATAMIENTO</w:t>
      </w:r>
      <w:r>
        <w:rPr>
          <w:b/>
          <w:bCs/>
        </w:rPr>
        <w:t xml:space="preserve">: </w:t>
      </w:r>
      <w:r>
        <w:t>Las tetraciclinas constituyen los fármacos preferidos, excepto para niños menores de ocho años. Otro medicamento que se puede usar es la eritromicina, y es recomendable en niños de menor edad. También son eficaces los macrólidos azitromicina dihidratada y claritromicina, así como el cloranfenicol. El tratamiento debe practicarse durante 10 a 14 días, como mínimo, después que la fiebre haya mostrado defervescencia.</w:t>
      </w:r>
    </w:p>
    <w:p w14:paraId="1D89AE74"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en estos casos las precauciones estándar.</w:t>
      </w:r>
    </w:p>
    <w:p w14:paraId="45F64972" w14:textId="77777777" w:rsidR="00093A32" w:rsidRDefault="00093A32">
      <w:pPr>
        <w:pStyle w:val="BodyText"/>
        <w:spacing w:after="100"/>
        <w:ind w:firstLine="0"/>
      </w:pPr>
      <w:r>
        <w:rPr>
          <w:b/>
          <w:bCs/>
        </w:rPr>
        <w:t>M</w:t>
      </w:r>
      <w:r>
        <w:rPr>
          <w:b/>
          <w:bCs/>
          <w:sz w:val="13"/>
          <w:szCs w:val="13"/>
        </w:rPr>
        <w:t>EDIDAS PREVENTIVAS</w:t>
      </w:r>
      <w:r>
        <w:rPr>
          <w:b/>
          <w:bCs/>
        </w:rPr>
        <w:t xml:space="preserve">: </w:t>
      </w:r>
      <w:r>
        <w:t xml:space="preserve">En muchos estados de la unión norteamericana es obligatoria la notificación de casos de psittacosis humana a las autoridades sanitarias. Un veterinario debe atender a toda ave en que recaiga la sospecha de ser el origen de la infección, para su valoración y tratamiento. Las aves con infección por </w:t>
      </w:r>
      <w:r>
        <w:rPr>
          <w:rFonts w:ascii="Times New Roman" w:eastAsia="Times New Roman" w:hAnsi="Times New Roman" w:cs="Times New Roman"/>
          <w:i/>
          <w:iCs/>
          <w:sz w:val="16"/>
          <w:szCs w:val="16"/>
        </w:rPr>
        <w:t>C. psittaci</w:t>
      </w:r>
      <w:r>
        <w:t xml:space="preserve"> deben ser aisladas y tratadas con antimicrobianos apropiados durante 45 días, como mínimo.</w:t>
      </w:r>
      <w:r>
        <w:footnoteReference w:id="6"/>
      </w:r>
      <w:r>
        <w:t xml:space="preserve"> Todo pájaro del cual se sospechó que mostraba la infección y que murió o que fue muerto sin dolor debe ser colocado en un recipiente impermeable y sellado, y transportado en hielo seco a un laboratorio de veterinaria para la práctica de estudios. Hay que desinfectar perfectamente y dejar que se ventilen antes de emplear de nuevo todas las jaulas y zonas de albergue potencialmente contaminadas porque pueden contener gérmenes infecciosos. </w:t>
      </w:r>
      <w:r>
        <w:rPr>
          <w:rFonts w:ascii="Times New Roman" w:eastAsia="Times New Roman" w:hAnsi="Times New Roman" w:cs="Times New Roman"/>
          <w:i/>
          <w:iCs/>
          <w:sz w:val="16"/>
          <w:szCs w:val="16"/>
        </w:rPr>
        <w:t>Chlamydia psittaci</w:t>
      </w:r>
      <w:r>
        <w:t xml:space="preserve"> es susceptible a casi todos los desinfectantes y detergentes caseros, incluida la mezcla de alcohol, 70%, y Lysol, 1% (Reckit Benckiser, Berkshire, Inglaterra) y una dilución de 1:100 de desinfectante casero (blanqueador). Es importante que las personas que limpian las jaulas y otros medios de alojamiento de aves no dispersen su contenido. Los sujetos expuestos a las fuentes comunes de infección deben ser observados en caso de que presenten fiebre o síntomas de vías respiratorias. Se practicarán las pruebas diagnósticas tempranas y se emprenderá el tratamiento si reaparecen los síntomas.</w:t>
      </w:r>
    </w:p>
    <w:p w14:paraId="146C61D3" w14:textId="77777777" w:rsidR="00093A32" w:rsidRDefault="00093A32">
      <w:pPr>
        <w:pStyle w:val="Bodytext70"/>
        <w:spacing w:after="0"/>
      </w:pPr>
      <w:r>
        <w:rPr>
          <w:i/>
          <w:iCs/>
        </w:rPr>
        <w:t>Chlamydia trachomatis</w:t>
      </w:r>
    </w:p>
    <w:p w14:paraId="1CF1931A"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 xml:space="preserve">: </w:t>
      </w:r>
      <w:r>
        <w:rPr>
          <w:rFonts w:ascii="Times New Roman" w:eastAsia="Times New Roman" w:hAnsi="Times New Roman" w:cs="Times New Roman"/>
          <w:i/>
          <w:iCs/>
          <w:sz w:val="16"/>
          <w:szCs w:val="16"/>
        </w:rPr>
        <w:t>Chlamydia trachomatis</w:t>
      </w:r>
      <w:r>
        <w:t xml:space="preserve"> se ha vinculado con manifestaciones clínicas de muy diversa índole, como conjuntivitis neonatal, tracoma, neumonía de lactantes de corta edad, infección de vías genitales y linfogranuloma venéreo (LGV). La conjuntivitis neonatal por clamidia se caracteriza por hiperemia de ojos, edema y secreción después de unos días o semanas de haber nacido el pequeño; dura una a dos semanas y a veces mucho más. A diferencia del tracoma, rara vez quedan cicatrices o se forma pannus.</w:t>
      </w:r>
    </w:p>
    <w:p w14:paraId="7AA50FCD" w14:textId="77777777" w:rsidR="00093A32" w:rsidRDefault="00093A32">
      <w:pPr>
        <w:pStyle w:val="BodyText"/>
        <w:ind w:firstLine="360"/>
      </w:pPr>
      <w:r>
        <w:t>El tracoma es una queratoconjuntivitis folicular crónica con vasos de neoformación de la córnea, que es consecuencia de infección repetida y crónica. En 1 a 15% de quienes lo padecen surge ceguera, que es consecuencia de las cicatrices y la inflamación locales extensas. Es una enfermedad rara en Estados Unidos.</w:t>
      </w:r>
    </w:p>
    <w:p w14:paraId="295C36FE" w14:textId="77777777" w:rsidR="00093A32" w:rsidRDefault="00093A32">
      <w:pPr>
        <w:pStyle w:val="BodyText"/>
        <w:ind w:firstLine="360"/>
      </w:pPr>
      <w:r>
        <w:t>La neumonía en lactantes de corta edad por lo común es un cuadro febril que aparece entre las dos y 19 semanas después del nacimiento. Entre sus signos característicos están una tos repetitiva (en staccato), taquipnea y estertores, aunque no siempre aparecen. Pocas veces surgen sibilancias. En la radiografía de tórax, junto con los infiltrados hay una imagen de hiperinflación. A veces hay congestión nasal y otitis media. Sin tratamiento la enfermedad puede persistir o reaparecer. En algunos lactantes y adultos inmunodeficientes se ha sabido de neumonía grave por clamidias.</w:t>
      </w:r>
    </w:p>
    <w:p w14:paraId="51B66A24" w14:textId="77777777" w:rsidR="00093A32" w:rsidRDefault="00093A32">
      <w:pPr>
        <w:pStyle w:val="BodyText"/>
        <w:ind w:firstLine="360"/>
      </w:pPr>
      <w:r>
        <w:t>También puede aparecer vaginitis en niñas prepúberes; y en mujeres pospúberes, uretritis, cervicitis, endometritis, salpingitis y perihepatitis; en los varones aparece epididimitis y también el síndrome de Reiter (artritis, uretritis y conjuntivitis bilateral). La infección persiste a veces meses o años. La reinfección es común. En mujeres pospúberes la infección por clamidia puede evolucionar y culminar en enfermedad inflamatoria pélvica aguda o crónica y ocasionar embarazo ectópico o infecundidad.</w:t>
      </w:r>
    </w:p>
    <w:p w14:paraId="5E12C5F0" w14:textId="77777777" w:rsidR="00093A32" w:rsidRDefault="00093A32">
      <w:pPr>
        <w:pStyle w:val="BodyText"/>
        <w:ind w:firstLine="360"/>
      </w:pPr>
      <w:r>
        <w:t>El linfogranuloma venéreo es una infección linfática invasora que en el comienzo muestra una lesión ulcerosa en los genitales que se acompaña de ataque de los ganglios inguinales, femorales o de ambos sitios, que son dolorosos al tacto y supuran. También se han descrito en mujeres y varones homosexuales activos, infección anorrectal y proctitis hemorrágica que ocasiona fístulas y estenosis. La enfermedad sigue una evolución crónica de poca intensidad.</w:t>
      </w:r>
    </w:p>
    <w:p w14:paraId="11406062"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Chlamydia trachomatis</w:t>
      </w:r>
      <w:r>
        <w:t xml:space="preserve"> es una bacteria intracelular obligada que tiene como mínimo 18 variantes serológicas (serovariedades) que a su vez tiene las variantes biológicas siguientes (biovariedades): oculogenitales (serovariedades A-K) y LGV (serovariedades L1, L2 y L3). El tracoma por lo común es causado por serovariedades A a C, y las infecciones de genitales en fase perinatal son causadas por las serovariedades B y D hasta K.</w:t>
      </w:r>
    </w:p>
    <w:p w14:paraId="6DBE3B0F" w14:textId="77777777" w:rsidR="00093A32" w:rsidRDefault="00093A32">
      <w:pPr>
        <w:pStyle w:val="BodyText"/>
        <w:spacing w:line="271"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 infección por </w:t>
      </w:r>
      <w:r>
        <w:rPr>
          <w:rFonts w:ascii="Times New Roman" w:eastAsia="Times New Roman" w:hAnsi="Times New Roman" w:cs="Times New Roman"/>
          <w:i/>
          <w:iCs/>
          <w:sz w:val="16"/>
          <w:szCs w:val="16"/>
        </w:rPr>
        <w:t>Chlamydia trachomatis</w:t>
      </w:r>
      <w:r>
        <w:t xml:space="preserve"> es el trastorno de transmisión sexual más notificado en Estados Unidos, y se observan altos índices en adolescentes y adultos jóvenes sexualmente activos. La prevalencia de ataque en embarazadas varía de entre 6 y 12% en casi todas las poblaciones, pero puede ser de apenas 2% o hasta de 37% en adolescentes. Las serovariedades oculogenitales de </w:t>
      </w:r>
      <w:r>
        <w:rPr>
          <w:rFonts w:ascii="Times New Roman" w:eastAsia="Times New Roman" w:hAnsi="Times New Roman" w:cs="Times New Roman"/>
          <w:i/>
          <w:iCs/>
          <w:sz w:val="16"/>
          <w:szCs w:val="16"/>
        </w:rPr>
        <w:t>C. trachomatis</w:t>
      </w:r>
      <w:r>
        <w:t xml:space="preserve"> se transmiten del aparato genital de madres infectadas, a su neonato. El contagio ocurre en cerca del 50% de los productos que nacen por vía vaginal de mujeres infectadas o en algunos pequeños extraídos por cesárea, con membranas intactas. El riesgo de conjuntivitis va de 25 a 50%, y el de neumonitis, de 5 a 20% en lactantes que se contagian de </w:t>
      </w:r>
      <w:r>
        <w:rPr>
          <w:rFonts w:ascii="Times New Roman" w:eastAsia="Times New Roman" w:hAnsi="Times New Roman" w:cs="Times New Roman"/>
          <w:i/>
          <w:iCs/>
          <w:sz w:val="16"/>
          <w:szCs w:val="16"/>
        </w:rPr>
        <w:t>C. trachomatis.</w:t>
      </w:r>
      <w:r>
        <w:t xml:space="preserve"> La nasofaringe es el sitio anatómico que se infecta con mayor frecuencia.</w:t>
      </w:r>
    </w:p>
    <w:p w14:paraId="35EC95C7" w14:textId="77777777" w:rsidR="00093A32" w:rsidRDefault="00093A32">
      <w:pPr>
        <w:pStyle w:val="BodyText"/>
        <w:ind w:firstLine="360"/>
      </w:pPr>
      <w:r>
        <w:t>La infección de genitales en adolescentes y adultos se transmite por mecanismos sexuales. Hay que pensar en la posibilidad de abuso sexual en niños prepúberes más allá de la lactancia que tienen una infección vaginal, uretral o rectal por clamidias, aunque la infección asintomática que se contagia al nacer el producto persiste a veces incluso tres años. No se sabe que la infección sea transmisible entre lactantes y niños. Se desconoce el grado de contagiosidad de enfermedades pulmonares, pero al parecer es pequeño.</w:t>
      </w:r>
    </w:p>
    <w:p w14:paraId="503AB95A" w14:textId="77777777" w:rsidR="00093A32" w:rsidRDefault="00093A32">
      <w:pPr>
        <w:pStyle w:val="BodyText"/>
        <w:ind w:firstLine="360"/>
      </w:pPr>
      <w:r>
        <w:t>Las biovariedades del linfogranuloma venéreo tienen distribución mundial y prevalencia particularmente en áreas tropicales y subtropicales; la enfermedad rara vez aparece en Estados Unidos. La infección a menudo es asintomática en mujeres y es rara la transmisión perinatal. El linfogranuloma venéreo es infectante en la fase activa de la enfermedad, que puede durar semanas a varios años.</w:t>
      </w:r>
    </w:p>
    <w:p w14:paraId="77E5852A" w14:textId="77777777" w:rsidR="00093A32" w:rsidRDefault="00093A32">
      <w:pPr>
        <w:pStyle w:val="BodyText"/>
        <w:ind w:firstLine="360"/>
      </w:pPr>
      <w:r>
        <w:t>El periodo del incubación del ataque de las clamidias es variable, según el tipo de infección, pero es de una semana, como mínimo.</w:t>
      </w:r>
    </w:p>
    <w:p w14:paraId="3B32836F" w14:textId="77777777" w:rsidR="00093A32" w:rsidRDefault="00093A32">
      <w:pPr>
        <w:pStyle w:val="BodyText"/>
        <w:ind w:firstLine="0"/>
      </w:pPr>
      <w:r>
        <w:rPr>
          <w:b/>
          <w:bCs/>
        </w:rPr>
        <w:t>M</w:t>
      </w:r>
      <w:r>
        <w:rPr>
          <w:b/>
          <w:bCs/>
          <w:sz w:val="13"/>
          <w:szCs w:val="13"/>
        </w:rPr>
        <w:t>ÉTODOS DIAGNÓSTICOS</w:t>
      </w:r>
      <w:r>
        <w:rPr>
          <w:b/>
          <w:bCs/>
        </w:rPr>
        <w:t xml:space="preserve">: </w:t>
      </w:r>
      <w:r>
        <w:t>El diagnóstico definitivo se confirma al aislar el microorganismo en cultivo tisular y por amplificación de ácidos nucleicos, en circunstancias selectivas.</w:t>
      </w:r>
      <w:r>
        <w:footnoteReference w:id="7"/>
      </w:r>
      <w:r>
        <w:t xml:space="preserve"> Las especies de </w:t>
      </w:r>
      <w:r>
        <w:rPr>
          <w:rFonts w:ascii="Times New Roman" w:eastAsia="Times New Roman" w:hAnsi="Times New Roman" w:cs="Times New Roman"/>
          <w:i/>
          <w:iCs/>
          <w:sz w:val="16"/>
          <w:szCs w:val="16"/>
        </w:rPr>
        <w:t>Chlamydias</w:t>
      </w:r>
      <w:r>
        <w:t xml:space="preserve"> son intracelulares obligadas, por lo que las muestras para cultivo deben incluir células epiteliales y no sólo exudado. Los métodos de amplificación de ácido nucleico </w:t>
      </w:r>
      <w:r>
        <w:rPr>
          <w:i/>
          <w:iCs/>
        </w:rPr>
        <w:t>(</w:t>
      </w:r>
      <w:r>
        <w:rPr>
          <w:rFonts w:ascii="Times New Roman" w:eastAsia="Times New Roman" w:hAnsi="Times New Roman" w:cs="Times New Roman"/>
          <w:i/>
          <w:iCs/>
          <w:sz w:val="16"/>
          <w:szCs w:val="16"/>
        </w:rPr>
        <w:t>nucleic acid amplification tests</w:t>
      </w:r>
      <w:r>
        <w:rPr>
          <w:i/>
          <w:iCs/>
        </w:rPr>
        <w:t>,</w:t>
      </w:r>
      <w:r>
        <w:t xml:space="preserve"> NAAT) como las reacciones en cadena de polimerasa y cadena de ligasa, y otras, son más sensibles que el cultivo celular, la sonda de DNA, los métodos de anticuerpos fluorescentes directos </w:t>
      </w:r>
      <w:r>
        <w:rPr>
          <w:i/>
          <w:iCs/>
        </w:rPr>
        <w:t>(</w:t>
      </w:r>
      <w:r>
        <w:rPr>
          <w:rFonts w:ascii="Times New Roman" w:eastAsia="Times New Roman" w:hAnsi="Times New Roman" w:cs="Times New Roman"/>
          <w:i/>
          <w:iCs/>
          <w:sz w:val="16"/>
          <w:szCs w:val="16"/>
        </w:rPr>
        <w:t>direct fluorescent antibody</w:t>
      </w:r>
      <w:r>
        <w:rPr>
          <w:i/>
          <w:iCs/>
        </w:rPr>
        <w:t>,</w:t>
      </w:r>
      <w:r>
        <w:t xml:space="preserve"> DFA) o los inmunoanálisis enzimáticos </w:t>
      </w:r>
      <w:r>
        <w:rPr>
          <w:i/>
          <w:iCs/>
        </w:rPr>
        <w:t>(</w:t>
      </w:r>
      <w:r>
        <w:rPr>
          <w:rFonts w:ascii="Times New Roman" w:eastAsia="Times New Roman" w:hAnsi="Times New Roman" w:cs="Times New Roman"/>
          <w:i/>
          <w:iCs/>
          <w:sz w:val="16"/>
          <w:szCs w:val="16"/>
        </w:rPr>
        <w:t>enzyme immunoassays</w:t>
      </w:r>
      <w:r>
        <w:rPr>
          <w:i/>
          <w:iCs/>
        </w:rPr>
        <w:t>,</w:t>
      </w:r>
      <w:r>
        <w:t xml:space="preserve"> EIA), aunque su especificidad es variable.</w:t>
      </w:r>
    </w:p>
    <w:p w14:paraId="1BE917D0" w14:textId="77777777" w:rsidR="00093A32" w:rsidRDefault="00093A32">
      <w:pPr>
        <w:pStyle w:val="BodyText"/>
        <w:ind w:firstLine="360"/>
      </w:pPr>
      <w:r>
        <w:t xml:space="preserve">Los métodos para detectar el antígeno de clamidias (EIA, DFA), las pruebas de DNA y NAAT son útiles para el estudio de muestras de material uretral de varones obtenidas con aplicador, muestras endocervicales obtenidas con la misma técnica en mujeres y muestras de secreción conjuntival de lactantes (aunque no todos los métodos en cuestión han sido aprobados por la </w:t>
      </w:r>
      <w:r>
        <w:rPr>
          <w:rFonts w:ascii="Times New Roman" w:eastAsia="Times New Roman" w:hAnsi="Times New Roman" w:cs="Times New Roman"/>
          <w:i/>
          <w:iCs/>
          <w:sz w:val="16"/>
          <w:szCs w:val="16"/>
        </w:rPr>
        <w:t>Food and Drug Administration</w:t>
      </w:r>
      <w:r>
        <w:t xml:space="preserve"> para tal fin). Las reacciones de cadena de polimerasa y de ligasa son útiles para evaluar las muestras urinarias de ambos sexos. No se recomiendan métodos que no incluyan cultivos para detectar </w:t>
      </w:r>
      <w:r>
        <w:rPr>
          <w:rFonts w:ascii="Times New Roman" w:eastAsia="Times New Roman" w:hAnsi="Times New Roman" w:cs="Times New Roman"/>
          <w:i/>
          <w:iCs/>
          <w:sz w:val="16"/>
          <w:szCs w:val="16"/>
        </w:rPr>
        <w:t xml:space="preserve">C. trachomatis </w:t>
      </w:r>
      <w:r>
        <w:t>en muestras uretrales de mujeres, obtenidas por aplicador, y muestras vaginales obtenidas en la misma forma, de adolescentes posmenárquicas y adultas. Además, no se recomienda practicar NAAT en el caso de muestras rectales y faríngeas obtenidas con aplicador.</w:t>
      </w:r>
    </w:p>
    <w:p w14:paraId="58433BE9" w14:textId="77777777" w:rsidR="00093A32" w:rsidRDefault="00093A32">
      <w:pPr>
        <w:pStyle w:val="BodyText"/>
        <w:ind w:firstLine="360"/>
      </w:pPr>
      <w:r>
        <w:t>Si es posible que un resultado positivo falso conlleve consecuencias médicas, sociales o psicológicas adversas, habrá que verificar los resultados positivos de pruebas como DFA, EIA, sonda de DNA o NNAT, con cultivo, una segunda prueba sin cultivo diferente de la primera o el empleo de un anticuerpo bloqueante (como Chlamydiazyme, Abbott Laboratories, Abbott Park, IL) o una sonda competitiva. Al revisar a un menor en la investigación de un posible abuso sexual, quizá la única prueba diagnóstica aceptable en algunas jurisdicciones legales sea identificar el microorganismo por cultivo. Si es imposible hacer el cultivo, algunos expertos se pronuncian por el empleo de NAAT, si un resultado positivo puede ser verificado por otra NAAT. Los métodos EIA y DFA no deben utilizarse en el estudio de muestras de material rectal, vaginal o uretral de lactantes y niños, ante la escasa sensibilidad y especificidad.</w:t>
      </w:r>
    </w:p>
    <w:p w14:paraId="265E4013" w14:textId="77777777" w:rsidR="00093A32" w:rsidRDefault="00093A32">
      <w:pPr>
        <w:pStyle w:val="BodyText"/>
        <w:ind w:firstLine="360"/>
      </w:pPr>
      <w:r>
        <w:t xml:space="preserve">La conjuntivitis por </w:t>
      </w:r>
      <w:r>
        <w:rPr>
          <w:rFonts w:ascii="Times New Roman" w:eastAsia="Times New Roman" w:hAnsi="Times New Roman" w:cs="Times New Roman"/>
          <w:i/>
          <w:iCs/>
          <w:sz w:val="16"/>
          <w:szCs w:val="16"/>
        </w:rPr>
        <w:t>C. trachomatis</w:t>
      </w:r>
      <w:r>
        <w:t xml:space="preserve"> en neonatos se diagnostica por tinción con técnica Giemsa del material conjuntival obtenido por raspados. El signo diagnóstico es la identificación de inclusiones intracitoplásmicas teñidas de azul dentro de las células epiteliales. La sensibilidad del estudio varía de 22 a 95%, según la técnica usada para obtener la muestra y la experiencia del examinador.</w:t>
      </w:r>
    </w:p>
    <w:p w14:paraId="08CCD7FF" w14:textId="77777777" w:rsidR="00093A32" w:rsidRDefault="00093A32">
      <w:pPr>
        <w:pStyle w:val="BodyText"/>
        <w:ind w:firstLine="360"/>
      </w:pPr>
      <w:r>
        <w:t xml:space="preserve">Las concentraciones de anticuerpos séricos son difíciles de valorar y sólo unos cuantos laboratorios clínicos realizan tal técnica. En niños con neumonía, tiene valor diagnóstico el título de inmunoglobulina (Ig) M sérico agudo por microinmunofluorescencia de </w:t>
      </w:r>
      <w:r>
        <w:rPr>
          <w:rFonts w:ascii="Arial" w:eastAsia="Arial" w:hAnsi="Arial" w:cs="Arial"/>
        </w:rPr>
        <w:t>&gt;</w:t>
      </w:r>
      <w:r>
        <w:t xml:space="preserve">1:32. El incremento cuádruple del título por inmunofluorescencia a antígenos de LGV o un título de fijación de complemento </w:t>
      </w:r>
      <w:r>
        <w:rPr>
          <w:rFonts w:ascii="Arial" w:eastAsia="Arial" w:hAnsi="Arial" w:cs="Arial"/>
        </w:rPr>
        <w:t>&gt;</w:t>
      </w:r>
      <w:r>
        <w:t>1:32 sugieren LGV en presencia de signos clínicos compatibles.</w:t>
      </w:r>
    </w:p>
    <w:p w14:paraId="358702DE" w14:textId="77777777" w:rsidR="00093A32" w:rsidRDefault="00093A32">
      <w:pPr>
        <w:pStyle w:val="BodyText"/>
        <w:ind w:firstLine="360"/>
      </w:pPr>
      <w:r>
        <w:t>Las pruebas indirectas de neumonía por clamidias incluyen hiperinflación e infiltrados difusos bilaterales en las radiografías, eosinofilia de 0.3 a 0.4 x 109/L (300 a 400/pl) o una cifra mayor en el recuento de sangre periférica y mayores concentraciones totales de IgG séricas (</w:t>
      </w:r>
      <w:r>
        <w:rPr>
          <w:rFonts w:ascii="Arial" w:eastAsia="Arial" w:hAnsi="Arial" w:cs="Arial"/>
        </w:rPr>
        <w:t>&gt;</w:t>
      </w:r>
      <w:r>
        <w:t>5 g/L [500 mg/100 ml]) e IgM (</w:t>
      </w:r>
      <w:r>
        <w:rPr>
          <w:rFonts w:ascii="Arial" w:eastAsia="Arial" w:hAnsi="Arial" w:cs="Arial"/>
        </w:rPr>
        <w:t>&gt;</w:t>
      </w:r>
      <w:r>
        <w:t>1.1 g/L [110 mg/100 ml]). Sin embargo, no tener tales signos no descarta el diagnóstico. En la actualidad se practican en tantos sitios los métodos de antígenos directos y los cultivos, que puede hacerse el diagnóstico con base en estudios específicos de laboratorio.</w:t>
      </w:r>
    </w:p>
    <w:p w14:paraId="1785BF17" w14:textId="77777777" w:rsidR="00093A32" w:rsidRDefault="00093A32">
      <w:pPr>
        <w:pStyle w:val="BodyText"/>
        <w:spacing w:after="220"/>
        <w:ind w:firstLine="360"/>
      </w:pPr>
      <w:r>
        <w:t>El diagnóstico de la clamidiasis en niños, adolescentes o adultos debe ser punto de partida de una investigación en busca de otras enfermedades de transmisión sexual, como sífilis, gonorrea, infección por virus de hepatitis B y virus de inmunodeficiencia humana. En el caso de un lactante también habrá que valorar si se examina o no a su madre.</w:t>
      </w:r>
    </w:p>
    <w:p w14:paraId="010090ED"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0DC49716" w14:textId="77777777" w:rsidR="00093A32" w:rsidRDefault="00093A32">
      <w:pPr>
        <w:pStyle w:val="BodyText"/>
        <w:numPr>
          <w:ilvl w:val="0"/>
          <w:numId w:val="58"/>
        </w:numPr>
        <w:tabs>
          <w:tab w:val="left" w:pos="341"/>
        </w:tabs>
        <w:ind w:left="360" w:hanging="360"/>
      </w:pPr>
      <w:bookmarkStart w:id="27" w:name="bookmark633"/>
      <w:bookmarkEnd w:id="27"/>
      <w:r>
        <w:t>Los lactantes de corta edad con conjuntivitis y neumonía por clamidias son tratados con etilsuccinato o eritromicina base ingeribles (50 mg/kg al día en cuatro fracciones) durante 14 días. La sulfonamidas ingeribles pueden administrarse después del periodo neonatal inmediato en pequeños que no toleran la eritromicina. El tratamiento tópico de la conjuntivitis es ineficaz e innecesario. Dado que la eficacia de la eritromicina es de 80%, en promedio, a veces se necesita un nuevo ciclo con el fármaco y se recomienda la vigilancia de los lactantes.</w:t>
      </w:r>
    </w:p>
    <w:p w14:paraId="49E4E94E" w14:textId="77777777" w:rsidR="00093A32" w:rsidRDefault="00093A32">
      <w:pPr>
        <w:pStyle w:val="BodyText"/>
        <w:spacing w:line="276" w:lineRule="auto"/>
        <w:ind w:left="360" w:firstLine="260"/>
      </w:pPr>
      <w:r>
        <w:t xml:space="preserve">En niños menores de seis semanas de vida se ha señalado un vínculo entre la eritromicina ingerible y la estenosis hipertrófica infantil del píloro </w:t>
      </w:r>
      <w:r>
        <w:rPr>
          <w:i/>
          <w:iCs/>
        </w:rPr>
        <w:t>(</w:t>
      </w:r>
      <w:r>
        <w:rPr>
          <w:rFonts w:ascii="Times New Roman" w:eastAsia="Times New Roman" w:hAnsi="Times New Roman" w:cs="Times New Roman"/>
          <w:i/>
          <w:iCs/>
          <w:sz w:val="16"/>
          <w:szCs w:val="16"/>
        </w:rPr>
        <w:t>infantile hypertrophic pyloric stenosis</w:t>
      </w:r>
      <w:r>
        <w:rPr>
          <w:i/>
          <w:iCs/>
        </w:rPr>
        <w:t>,</w:t>
      </w:r>
      <w:r>
        <w:t xml:space="preserve"> IHPS). Se desconoce el peligro de IHPS después del tratamiento con otros macrólidos (como azitromicina dihidratada y claritromicina). La confirmación de que la eritromicina contribuyó a casos de IHPS obligará a hacer más investigaciones, y ante el hecho de que no se han estudiado en detalle otros tratamientos, la </w:t>
      </w:r>
      <w:r>
        <w:rPr>
          <w:rFonts w:ascii="Times New Roman" w:eastAsia="Times New Roman" w:hAnsi="Times New Roman" w:cs="Times New Roman"/>
          <w:i/>
          <w:iCs/>
          <w:sz w:val="16"/>
          <w:szCs w:val="16"/>
        </w:rPr>
        <w:t>American Academy of Pediatrics</w:t>
      </w:r>
      <w:r>
        <w:t xml:space="preserve"> sigue recomendando el uso de eritromicina para tratar enfermedades causadas por </w:t>
      </w:r>
      <w:r>
        <w:rPr>
          <w:rFonts w:ascii="Times New Roman" w:eastAsia="Times New Roman" w:hAnsi="Times New Roman" w:cs="Times New Roman"/>
          <w:i/>
          <w:iCs/>
          <w:sz w:val="16"/>
          <w:szCs w:val="16"/>
        </w:rPr>
        <w:t>C. trachomatis.</w:t>
      </w:r>
      <w:r>
        <w:t xml:space="preserve"> Los médicos que recetan dicho antibiótico a los neonatos deben informar a sus padres de los signos y los peligros potenciales de que surja IHPS. Habrá que notificar a </w:t>
      </w:r>
      <w:r>
        <w:rPr>
          <w:smallCaps/>
          <w:sz w:val="20"/>
          <w:szCs w:val="20"/>
        </w:rPr>
        <w:t>M</w:t>
      </w:r>
      <w:r>
        <w:rPr>
          <w:smallCaps/>
          <w:sz w:val="18"/>
          <w:szCs w:val="18"/>
        </w:rPr>
        <w:t>ed</w:t>
      </w:r>
      <w:r>
        <w:rPr>
          <w:smallCaps/>
          <w:sz w:val="20"/>
          <w:szCs w:val="20"/>
        </w:rPr>
        <w:t>W</w:t>
      </w:r>
      <w:r>
        <w:rPr>
          <w:smallCaps/>
          <w:sz w:val="18"/>
          <w:szCs w:val="18"/>
        </w:rPr>
        <w:t xml:space="preserve">atch </w:t>
      </w:r>
      <w:r>
        <w:t xml:space="preserve">(véase </w:t>
      </w:r>
      <w:r>
        <w:rPr>
          <w:smallCaps/>
          <w:sz w:val="20"/>
          <w:szCs w:val="20"/>
        </w:rPr>
        <w:t>“M</w:t>
      </w:r>
      <w:r>
        <w:rPr>
          <w:smallCaps/>
          <w:sz w:val="18"/>
          <w:szCs w:val="18"/>
        </w:rPr>
        <w:t>ed</w:t>
      </w:r>
      <w:r>
        <w:rPr>
          <w:smallCaps/>
          <w:sz w:val="20"/>
          <w:szCs w:val="20"/>
        </w:rPr>
        <w:t>W</w:t>
      </w:r>
      <w:r>
        <w:rPr>
          <w:smallCaps/>
          <w:sz w:val="18"/>
          <w:szCs w:val="18"/>
        </w:rPr>
        <w:t>atch</w:t>
      </w:r>
      <w:r>
        <w:rPr>
          <w:smallCaps/>
          <w:sz w:val="20"/>
          <w:szCs w:val="20"/>
        </w:rPr>
        <w:t>”,</w:t>
      </w:r>
      <w:r>
        <w:t xml:space="preserve"> sección 4) los casos de estenosis pilórica después de usar eritromicina ingerible. Puede evitarse la necesidad de dar tratamiento a los lactantes si se estudia a las embarazadas para detectar y tratar en ellas la infección por </w:t>
      </w:r>
      <w:r>
        <w:rPr>
          <w:rFonts w:ascii="Times New Roman" w:eastAsia="Times New Roman" w:hAnsi="Times New Roman" w:cs="Times New Roman"/>
          <w:i/>
          <w:iCs/>
          <w:sz w:val="16"/>
          <w:szCs w:val="16"/>
        </w:rPr>
        <w:t>C. trachomatis</w:t>
      </w:r>
      <w:r>
        <w:t xml:space="preserve"> antes del parto. El diagnóstico específico de la infección por dicha clamidia en un lactante debe obligar al tratamiento de la madre y sus parejas sexuales.</w:t>
      </w:r>
    </w:p>
    <w:p w14:paraId="6DD73128" w14:textId="77777777" w:rsidR="00093A32" w:rsidRDefault="00093A32">
      <w:pPr>
        <w:pStyle w:val="BodyText"/>
        <w:numPr>
          <w:ilvl w:val="0"/>
          <w:numId w:val="58"/>
        </w:numPr>
        <w:tabs>
          <w:tab w:val="left" w:pos="341"/>
        </w:tabs>
        <w:ind w:left="360" w:hanging="360"/>
      </w:pPr>
      <w:bookmarkStart w:id="28" w:name="bookmark634"/>
      <w:bookmarkEnd w:id="28"/>
      <w:r>
        <w:t>Los hijos de madres con una infección no tratada por clamidias están expuestos a un gran riesgo de infección; sin embargo, no está indicado el tratamiento profiláctico con antimicrobianos pues se desconoce su eficacia. Habrá que vigilar a los lactantes para asegurar que se les administre el tratamiento apropiado en caso de surgir una infección. Si es imposible asegurar la vigilancia adecuada, algunos expertos recomiendan considerar la profilaxia.</w:t>
      </w:r>
    </w:p>
    <w:p w14:paraId="7385CF8D" w14:textId="77777777" w:rsidR="00093A32" w:rsidRDefault="00093A32">
      <w:pPr>
        <w:pStyle w:val="BodyText"/>
        <w:numPr>
          <w:ilvl w:val="0"/>
          <w:numId w:val="58"/>
        </w:numPr>
        <w:tabs>
          <w:tab w:val="left" w:pos="341"/>
        </w:tabs>
        <w:ind w:left="360" w:hanging="360"/>
      </w:pPr>
      <w:bookmarkStart w:id="29" w:name="bookmark635"/>
      <w:bookmarkEnd w:id="29"/>
      <w:r>
        <w:t xml:space="preserve">El tratamiento del </w:t>
      </w:r>
      <w:r>
        <w:rPr>
          <w:b/>
          <w:bCs/>
        </w:rPr>
        <w:t xml:space="preserve">tracoma </w:t>
      </w:r>
      <w:r>
        <w:t>es más difícil y las recomendaciones terapéuticas difieren. La terapia más usada es la tópica con pomadas de eritromicina, tetraciclina o sulfacetamida dos veces al día durante dos meses o dos veces al día en los primeros cinco días del mes en seis meses consecutivos, o bien eritromicina o doxiciclina ingerible durante 40 días si la infección es grave. También es eficaz la azitromicina (20 mg/kg hasta un máximo de 1 g una vez por semana) durante tres semanas.</w:t>
      </w:r>
    </w:p>
    <w:p w14:paraId="6F785685" w14:textId="77777777" w:rsidR="00093A32" w:rsidRDefault="00093A32">
      <w:pPr>
        <w:pStyle w:val="BodyText"/>
        <w:numPr>
          <w:ilvl w:val="0"/>
          <w:numId w:val="58"/>
        </w:numPr>
        <w:tabs>
          <w:tab w:val="left" w:pos="341"/>
        </w:tabs>
        <w:spacing w:after="100"/>
        <w:ind w:left="360" w:hanging="360"/>
      </w:pPr>
      <w:bookmarkStart w:id="30" w:name="bookmark636"/>
      <w:bookmarkEnd w:id="30"/>
      <w:r>
        <w:t xml:space="preserve">En el caso de infección de </w:t>
      </w:r>
      <w:r>
        <w:rPr>
          <w:b/>
          <w:bCs/>
        </w:rPr>
        <w:t xml:space="preserve">vías genitales por </w:t>
      </w:r>
      <w:r>
        <w:rPr>
          <w:rFonts w:ascii="Times New Roman" w:eastAsia="Times New Roman" w:hAnsi="Times New Roman" w:cs="Times New Roman"/>
          <w:b/>
          <w:bCs/>
          <w:i/>
          <w:iCs/>
          <w:sz w:val="16"/>
          <w:szCs w:val="16"/>
        </w:rPr>
        <w:t>C. trachomatis</w:t>
      </w:r>
      <w:r>
        <w:t xml:space="preserve"> no complicada en adolescentes o adultos, se recomienda la doxiciclina ingerida (200 mg/día en dos fracciones) durante siete días o la azitromicina en una sola dosis de 1 g ingerido.</w:t>
      </w:r>
    </w:p>
    <w:p w14:paraId="769C27B8" w14:textId="77777777" w:rsidR="00093A32" w:rsidRDefault="00093A32">
      <w:pPr>
        <w:pStyle w:val="BodyText"/>
        <w:ind w:left="360" w:firstLine="0"/>
      </w:pPr>
      <w:r>
        <w:t>Otras posibilidades incluyen la ingestión de eritromicina base (2.0 g/día en cuatro fracciones) durante siete días; el etilsuccinato de eritromicina (3.2 g/día en cuatro fracciones) durante siete días; la ofloxacina (600 mg/día en dos fracciones) durante siete días o la levofloxacina (500 mg ingeridos) durante siete días. El tratamiento recomendado en niños de seis meses a 12 años de edad incluye eritromicina o azitromicina; en pequeños menores de seis meses se recomienda la eritromicina. Los regímenes recomendados en embarazadas son eritromicina base (2 g/día en cuatro fracciones) o amoxicilina (1.5 g/día en tres fracciones) durante siete días, porque la doxiciclina y la ofloxacina están contraindicadas durante el embarazo. Los regímenes mencionados para embarazadas quizá no sean muy eficaces y por ello a veces se necesita un segundo ciclo terapéutico. Si la embarazada no puede tolerar la eritromicina, puede administrarse la mitad de la dosis diariamente durante 14 días. La azitromicina (1 g ingerido en una sola dosis) constituye una alternativa.</w:t>
      </w:r>
    </w:p>
    <w:p w14:paraId="5FACC457" w14:textId="77777777" w:rsidR="00093A32" w:rsidRDefault="00093A32">
      <w:pPr>
        <w:pStyle w:val="BodyText"/>
        <w:tabs>
          <w:tab w:val="left" w:pos="317"/>
        </w:tabs>
        <w:ind w:firstLine="0"/>
      </w:pPr>
      <w:r>
        <w:t>•</w:t>
      </w:r>
      <w:r>
        <w:tab/>
        <w:t>En el caso del linfogranuloma venéreo el tratamiento preferido en niños de ocho</w:t>
      </w:r>
    </w:p>
    <w:p w14:paraId="01F5193F" w14:textId="77777777" w:rsidR="00093A32" w:rsidRDefault="00093A32">
      <w:pPr>
        <w:pStyle w:val="BodyText"/>
        <w:ind w:left="360" w:firstLine="0"/>
      </w:pPr>
      <w:r>
        <w:t>años de edad y mayores es 200 mg de doxiciclina/día en dos fracciones, durante 21 días. Otra posibilidad es un régimen de eritromicina (2 g/día en cuatro fracciones) durante 21 días.</w:t>
      </w:r>
    </w:p>
    <w:p w14:paraId="32D63EFC" w14:textId="77777777" w:rsidR="00093A32" w:rsidRDefault="00093A32">
      <w:pPr>
        <w:pStyle w:val="BodyText"/>
        <w:spacing w:after="220" w:line="276" w:lineRule="auto"/>
        <w:ind w:firstLine="0"/>
      </w:pPr>
      <w:r>
        <w:rPr>
          <w:rFonts w:ascii="Arial" w:eastAsia="Arial" w:hAnsi="Arial" w:cs="Arial"/>
          <w:b/>
          <w:bCs/>
          <w:i/>
          <w:iCs/>
          <w:sz w:val="15"/>
          <w:szCs w:val="15"/>
        </w:rPr>
        <w:t>Estudios de vigilancia.</w:t>
      </w:r>
      <w:r>
        <w:t xml:space="preserve"> No es necesario someter de nuevo a los pacientes a pruebas para detectar infección por clamidias después de haber completado el tratamiento con doxiciclina o azitromicina, salvo que persistan los síntomas o se sospeche una reinfección. La práctica de nuevas pruebas puede considerarse entre las tres o más semanas después de completar regímenes con eritromicina o amoxicilina. Sin embargo, las mujeres con infección reciente constituyen la máxima prioridad para repetir los estudios diagnósticos de </w:t>
      </w:r>
      <w:r>
        <w:rPr>
          <w:rFonts w:ascii="Times New Roman" w:eastAsia="Times New Roman" w:hAnsi="Times New Roman" w:cs="Times New Roman"/>
          <w:i/>
          <w:iCs/>
          <w:sz w:val="16"/>
          <w:szCs w:val="16"/>
        </w:rPr>
        <w:t>C. trachomatis</w:t>
      </w:r>
      <w:r>
        <w:rPr>
          <w:i/>
          <w:iCs/>
        </w:rPr>
        <w:t>.</w:t>
      </w:r>
      <w:r>
        <w:t xml:space="preserve"> Los clínicos advertirán a todas las mujeres, y en particular a las adolescentes, con infecciones por clamidias que deben someterse de nuevo a técnicas de detección tres a cuatro meses después del tratamiento. </w:t>
      </w:r>
      <w:r>
        <w:rPr>
          <w:b/>
          <w:bCs/>
          <w:smallCaps/>
          <w:sz w:val="20"/>
          <w:szCs w:val="20"/>
        </w:rPr>
        <w:t>A</w:t>
      </w:r>
      <w:r>
        <w:rPr>
          <w:b/>
          <w:bCs/>
          <w:smallCaps/>
          <w:sz w:val="16"/>
          <w:szCs w:val="16"/>
        </w:rPr>
        <w:t>islamiento del paciente hospitalizado</w:t>
      </w:r>
      <w:r>
        <w:rPr>
          <w:b/>
          <w:bCs/>
          <w:smallCaps/>
          <w:sz w:val="20"/>
          <w:szCs w:val="20"/>
        </w:rPr>
        <w:t>:</w:t>
      </w:r>
      <w:r>
        <w:t xml:space="preserve"> Se recomienda en estos casos seguir las precauciones estándar.</w:t>
      </w:r>
    </w:p>
    <w:p w14:paraId="603B0CC2"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54655CB2" w14:textId="77777777" w:rsidR="00093A32" w:rsidRDefault="00093A32">
      <w:pPr>
        <w:pStyle w:val="BodyText"/>
        <w:spacing w:line="283" w:lineRule="auto"/>
        <w:ind w:firstLine="0"/>
      </w:pPr>
      <w:r>
        <w:rPr>
          <w:rFonts w:ascii="Arial" w:eastAsia="Arial" w:hAnsi="Arial" w:cs="Arial"/>
          <w:b/>
          <w:bCs/>
          <w:i/>
          <w:iCs/>
          <w:sz w:val="15"/>
          <w:szCs w:val="15"/>
        </w:rPr>
        <w:t>Embarazo.</w:t>
      </w:r>
      <w:r>
        <w:t xml:space="preserve"> La identificación y el tratamiento de mujeres con la infección genital por </w:t>
      </w:r>
      <w:r>
        <w:rPr>
          <w:rFonts w:ascii="Times New Roman" w:eastAsia="Times New Roman" w:hAnsi="Times New Roman" w:cs="Times New Roman"/>
          <w:i/>
          <w:iCs/>
          <w:sz w:val="16"/>
          <w:szCs w:val="16"/>
        </w:rPr>
        <w:t>C. trachomatis</w:t>
      </w:r>
      <w:r>
        <w:t xml:space="preserve"> en el embarazo puede evitar la enfermedad en el producto. Las embarazadas que están expuestas a un gran peligro de infección por dicho microorganismo, en particular las que tienen menos de 25 años de edad y las mujeres con nuevo o múltiples compañeros sexuales, deben ser objeto de vigilancia. Algunos expertos recomiendan el estudio sistemático de mujeres embarazadas en gran peligro durante el primer trimestre del embarazo y en el tercer trimestre.</w:t>
      </w:r>
    </w:p>
    <w:p w14:paraId="4FA1F9EC" w14:textId="77777777" w:rsidR="00093A32" w:rsidRDefault="00093A32">
      <w:pPr>
        <w:pStyle w:val="BodyText"/>
        <w:spacing w:line="283" w:lineRule="auto"/>
        <w:ind w:firstLine="360"/>
      </w:pPr>
      <w:r>
        <w:rPr>
          <w:rFonts w:ascii="Arial" w:eastAsia="Arial" w:hAnsi="Arial" w:cs="Arial"/>
          <w:b/>
          <w:bCs/>
          <w:i/>
          <w:iCs/>
          <w:sz w:val="15"/>
          <w:szCs w:val="15"/>
        </w:rPr>
        <w:t>Conjuntivitis por clamidia neonatal.</w:t>
      </w:r>
      <w:r>
        <w:t xml:space="preserve"> La profilaxia tópica recomendada a base de nitrato de plata, eritromicina o tetraciclina en todos los neonatos para evitar la oftalmía gonocócica no impedirá la conjuntivitis por clamidias neonatales ni la infección extraocular (véase “Prevención de oftalmía neonatal”, sección 5).</w:t>
      </w:r>
    </w:p>
    <w:p w14:paraId="13FDA3BC" w14:textId="77777777" w:rsidR="00093A32" w:rsidRDefault="00093A32">
      <w:pPr>
        <w:pStyle w:val="BodyText"/>
        <w:spacing w:line="276" w:lineRule="auto"/>
        <w:ind w:firstLine="360"/>
        <w:sectPr w:rsidR="00093A32" w:rsidSect="00093A32">
          <w:headerReference w:type="even" r:id="rId144"/>
          <w:headerReference w:type="default" r:id="rId145"/>
          <w:footerReference w:type="even" r:id="rId146"/>
          <w:footerReference w:type="default" r:id="rId147"/>
          <w:footnotePr>
            <w:numFmt w:val="chicago"/>
          </w:footnotePr>
          <w:pgSz w:w="8501" w:h="13022"/>
          <w:pgMar w:top="708" w:right="805" w:bottom="440" w:left="770" w:header="0" w:footer="3" w:gutter="0"/>
          <w:pgNumType w:start="325"/>
          <w:cols w:space="720"/>
          <w:noEndnote/>
          <w:docGrid w:linePitch="360"/>
          <w15:footnoteColumns w:val="1"/>
        </w:sectPr>
      </w:pPr>
      <w:r>
        <w:rPr>
          <w:rFonts w:ascii="Arial" w:eastAsia="Arial" w:hAnsi="Arial" w:cs="Arial"/>
          <w:b/>
          <w:bCs/>
          <w:i/>
          <w:iCs/>
          <w:sz w:val="15"/>
          <w:szCs w:val="15"/>
        </w:rPr>
        <w:t>Tracoma.</w:t>
      </w:r>
      <w:r>
        <w:t xml:space="preserve"> Desde hace más de 20 años no se ha detectado dicha enfermedad en Estados Unidos, pero a nivel mundial ocupa el segundo lugar como causa de ceguera. El tracoma es transmitido por la transferencia de secreciones de los ojos; los elementos de predicción de cicatrices y ceguera en el tracoma incluyen senectud y tracoma intenso y constante. Los métodos de prevención recomendados por la Organización Mundial de la Salud para la eliminación global de la ceguera atribuible al tracoma para el año </w:t>
      </w:r>
    </w:p>
    <w:p w14:paraId="047F2457" w14:textId="77777777" w:rsidR="00093A32" w:rsidRDefault="00093A32">
      <w:pPr>
        <w:pStyle w:val="BodyText"/>
        <w:spacing w:line="276" w:lineRule="auto"/>
        <w:ind w:firstLine="0"/>
      </w:pPr>
      <w:r>
        <w:t xml:space="preserve">2020 incluyen cirugía, antibióticos, lavado de la cara y mejoría del ambiente </w:t>
      </w:r>
      <w:r>
        <w:rPr>
          <w:i/>
          <w:iCs/>
        </w:rPr>
        <w:t>(</w:t>
      </w:r>
      <w:r>
        <w:rPr>
          <w:rFonts w:ascii="Times New Roman" w:eastAsia="Times New Roman" w:hAnsi="Times New Roman" w:cs="Times New Roman"/>
          <w:i/>
          <w:iCs/>
          <w:sz w:val="16"/>
          <w:szCs w:val="16"/>
        </w:rPr>
        <w:t>surgery, antibiotics, face washing and environment improvement</w:t>
      </w:r>
      <w:r>
        <w:rPr>
          <w:i/>
          <w:iCs/>
        </w:rPr>
        <w:t>,</w:t>
      </w:r>
      <w:r>
        <w:t xml:space="preserve"> SAFE).</w:t>
      </w:r>
    </w:p>
    <w:p w14:paraId="1CA1C432" w14:textId="77777777" w:rsidR="00093A32" w:rsidRDefault="00093A32">
      <w:pPr>
        <w:pStyle w:val="BodyText"/>
        <w:ind w:firstLine="360"/>
        <w:rPr>
          <w:sz w:val="16"/>
          <w:szCs w:val="16"/>
        </w:rPr>
      </w:pPr>
      <w:r>
        <w:t xml:space="preserve">Contacto de lactantes con casos de conjuntivitis o neumonía por </w:t>
      </w:r>
      <w:r>
        <w:rPr>
          <w:rFonts w:ascii="Times New Roman" w:eastAsia="Times New Roman" w:hAnsi="Times New Roman" w:cs="Times New Roman"/>
          <w:i/>
          <w:iCs/>
          <w:sz w:val="16"/>
          <w:szCs w:val="16"/>
        </w:rPr>
        <w:t>C. trachomatis.</w:t>
      </w:r>
      <w:r>
        <w:t xml:space="preserve"> Es importante tratar a toda mujer que es madre de lactantes infectados (y sus compañeros sexuales) contra </w:t>
      </w:r>
      <w:r>
        <w:rPr>
          <w:rFonts w:ascii="Times New Roman" w:eastAsia="Times New Roman" w:hAnsi="Times New Roman" w:cs="Times New Roman"/>
          <w:i/>
          <w:iCs/>
          <w:sz w:val="16"/>
          <w:szCs w:val="16"/>
        </w:rPr>
        <w:t>C. trachomatis.</w:t>
      </w:r>
    </w:p>
    <w:p w14:paraId="04F07A8C" w14:textId="77777777" w:rsidR="00093A32" w:rsidRDefault="00093A32">
      <w:pPr>
        <w:pStyle w:val="BodyText"/>
        <w:spacing w:line="276" w:lineRule="auto"/>
        <w:ind w:firstLine="360"/>
      </w:pPr>
      <w:r>
        <w:rPr>
          <w:rFonts w:ascii="Arial" w:eastAsia="Arial" w:hAnsi="Arial" w:cs="Arial"/>
          <w:b/>
          <w:bCs/>
          <w:i/>
          <w:iCs/>
          <w:sz w:val="15"/>
          <w:szCs w:val="15"/>
        </w:rPr>
        <w:t>Tacto ginecológico.</w:t>
      </w:r>
      <w:r>
        <w:t xml:space="preserve"> Toda adolescente sexualmente activa debe ser estudiada sistemáticamente en busca de infección por </w:t>
      </w:r>
      <w:r>
        <w:rPr>
          <w:rFonts w:ascii="Times New Roman" w:eastAsia="Times New Roman" w:hAnsi="Times New Roman" w:cs="Times New Roman"/>
          <w:i/>
          <w:iCs/>
          <w:sz w:val="16"/>
          <w:szCs w:val="16"/>
        </w:rPr>
        <w:t>Chlamydia</w:t>
      </w:r>
      <w:r>
        <w:t xml:space="preserve"> durante el tacto ginecológico incluso si no muestra síntomas. También conviene la detección de adultas jóvenes de 20 a 24 años, particularmente quienes no usan anticonceptivos de barrera constantemente y que tienen múltiples compañeros sexuales.</w:t>
      </w:r>
    </w:p>
    <w:p w14:paraId="189A122C" w14:textId="77777777" w:rsidR="00093A32" w:rsidRDefault="00093A32">
      <w:pPr>
        <w:pStyle w:val="BodyText"/>
        <w:spacing w:line="276" w:lineRule="auto"/>
        <w:ind w:firstLine="360"/>
      </w:pPr>
      <w:r>
        <w:rPr>
          <w:rFonts w:ascii="Arial" w:eastAsia="Arial" w:hAnsi="Arial" w:cs="Arial"/>
          <w:b/>
          <w:bCs/>
          <w:i/>
          <w:iCs/>
          <w:sz w:val="15"/>
          <w:szCs w:val="15"/>
        </w:rPr>
        <w:t>Tratamiento de los compañeros sexuales.</w:t>
      </w:r>
      <w:r>
        <w:t xml:space="preserve"> Es importante valorar a todos los contactos sexuales de mujeres que tienen infección por </w:t>
      </w:r>
      <w:r>
        <w:rPr>
          <w:rFonts w:ascii="Times New Roman" w:eastAsia="Times New Roman" w:hAnsi="Times New Roman" w:cs="Times New Roman"/>
          <w:i/>
          <w:iCs/>
          <w:sz w:val="16"/>
          <w:szCs w:val="16"/>
        </w:rPr>
        <w:t>C. trachomatis</w:t>
      </w:r>
      <w:r>
        <w:t xml:space="preserve"> (sintomática o asintomática), uretritis no gonocócica, cervicitis mucopurulenta, epididimitis o enfermedad inflamatoria pélvica, en busca de </w:t>
      </w:r>
      <w:r>
        <w:rPr>
          <w:rFonts w:ascii="Times New Roman" w:eastAsia="Times New Roman" w:hAnsi="Times New Roman" w:cs="Times New Roman"/>
          <w:i/>
          <w:iCs/>
          <w:sz w:val="16"/>
          <w:szCs w:val="16"/>
        </w:rPr>
        <w:t>C. trachomatis</w:t>
      </w:r>
      <w:r>
        <w:t xml:space="preserve"> y tratar la infección si el último contacto sexual ocurrió en un lapso de 60 días anteriores al comienzo de los síntomas en el caso índice (primer paciente).</w:t>
      </w:r>
    </w:p>
    <w:p w14:paraId="69B7D622" w14:textId="77777777" w:rsidR="00093A32" w:rsidRDefault="00093A32">
      <w:pPr>
        <w:pStyle w:val="BodyText"/>
        <w:spacing w:after="320"/>
        <w:ind w:firstLine="360"/>
      </w:pPr>
      <w:r>
        <w:rPr>
          <w:rFonts w:ascii="Arial" w:eastAsia="Arial" w:hAnsi="Arial" w:cs="Arial"/>
          <w:b/>
          <w:bCs/>
          <w:i/>
          <w:iCs/>
          <w:sz w:val="15"/>
          <w:szCs w:val="15"/>
        </w:rPr>
        <w:t>Linfogranuloma venéreo.</w:t>
      </w:r>
      <w:r>
        <w:t xml:space="preserve"> Las medidas preventivas inespecíficas contra LGV son las mismas en el caso de todas las enfermedades de transmisión sexual en general, e incluyen enseñanza, notificación de casos, uso de condón y evitar el contacto sexual con personas infectadas.</w:t>
      </w:r>
    </w:p>
    <w:p w14:paraId="4C9EC060" w14:textId="77777777" w:rsidR="00093A32" w:rsidRDefault="00093A32">
      <w:pPr>
        <w:pStyle w:val="Bodytext100"/>
        <w:spacing w:after="100"/>
        <w:jc w:val="left"/>
      </w:pPr>
      <w:r>
        <w:rPr>
          <w:sz w:val="34"/>
          <w:szCs w:val="34"/>
        </w:rPr>
        <w:t>C</w:t>
      </w:r>
      <w:r>
        <w:t>lostridios</w:t>
      </w:r>
      <w:r>
        <w:rPr>
          <w:sz w:val="34"/>
          <w:szCs w:val="34"/>
        </w:rPr>
        <w:t xml:space="preserve">, </w:t>
      </w:r>
      <w:r>
        <w:t>infección</w:t>
      </w:r>
    </w:p>
    <w:p w14:paraId="0146FD8B" w14:textId="77777777" w:rsidR="00093A32" w:rsidRDefault="00093A32">
      <w:pPr>
        <w:pStyle w:val="Bodytext70"/>
        <w:spacing w:after="0"/>
      </w:pPr>
      <w:r>
        <w:t>Botulismo en niños y lactantes</w:t>
      </w:r>
    </w:p>
    <w:p w14:paraId="1B7968BB" w14:textId="77777777" w:rsidR="00093A32" w:rsidRDefault="00093A32">
      <w:pPr>
        <w:pStyle w:val="Bodytext80"/>
        <w:rPr>
          <w:sz w:val="15"/>
          <w:szCs w:val="15"/>
        </w:rPr>
      </w:pPr>
      <w:r>
        <w:rPr>
          <w:b/>
          <w:bCs/>
          <w:i/>
          <w:iCs/>
          <w:sz w:val="15"/>
          <w:szCs w:val="15"/>
        </w:rPr>
        <w:t>(Clostridium botulinum)</w:t>
      </w:r>
    </w:p>
    <w:p w14:paraId="1BB3A05C"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botulismo es un trastorno neuroparalítico que se clasifica en las categorías siguientes: de origen alimentario, de lactantes, de heridas y no determinado. salvo el botulismo de lactantes, que puede seguir una evolución prolongada, los síntomas comienzan repentinamente en término de horas o evolucionan poco a poco en curso de días. Las complicaciones más comunes del botulismo son las parálisis de pares craneales, a las que siguen en frecuencia las parálisis fláccidas simétricas y descendentes de músculos del cuerpo, que pueden evolucionar a muy corto plazo. Los sujetos con enfermedad de evolución rápida pueden mostrar en los comienzos debilidad e hipotonía generalizada. Los signos y síntomas en niños de mayor edad o adultos incluyen diplopía, visión borrosa, xerostomía, disfagia, disfonía y disartria. En forma clásica, el botulismo de lactantes, que ataca más bien a niños menores de seis meses de edad, tiene como elemento inicial el estreñimiento, y se manifiesta por disminución del movimiento, pérdida de la expresión facial, inapetencia, llanto débil, disminución del reflejo nauseoso, parálisis extraoculares sutiles y debilidad e hipotonía generalizadas (“lactante fláccido”). La enfermedad varía desde leve (estreñimiento y lentitud para la alimentación) hasta la forma progresiva rápida (como apnea y muerte repentina del lactante).</w:t>
      </w:r>
    </w:p>
    <w:p w14:paraId="551BA0E8" w14:textId="77777777" w:rsidR="00093A32" w:rsidRDefault="00093A32">
      <w:pPr>
        <w:pStyle w:val="BodyText"/>
        <w:spacing w:after="100"/>
        <w:ind w:firstLine="0"/>
      </w:pPr>
      <w:r>
        <w:rPr>
          <w:b/>
          <w:bCs/>
        </w:rPr>
        <w:t>C</w:t>
      </w:r>
      <w:r>
        <w:rPr>
          <w:b/>
          <w:bCs/>
          <w:sz w:val="13"/>
          <w:szCs w:val="13"/>
        </w:rPr>
        <w:t>AUSAS</w:t>
      </w:r>
      <w:r>
        <w:rPr>
          <w:b/>
          <w:bCs/>
        </w:rPr>
        <w:t xml:space="preserve">: </w:t>
      </w:r>
      <w:r>
        <w:t xml:space="preserve">Se han identificado siete tipos de toxina antigénica de </w:t>
      </w:r>
      <w:r>
        <w:rPr>
          <w:rFonts w:ascii="Times New Roman" w:eastAsia="Times New Roman" w:hAnsi="Times New Roman" w:cs="Times New Roman"/>
          <w:i/>
          <w:iCs/>
          <w:sz w:val="16"/>
          <w:szCs w:val="16"/>
        </w:rPr>
        <w:t>Clostridium botulinum.</w:t>
      </w:r>
      <w:r>
        <w:t xml:space="preserve"> La enfermedad del ser humano suele ser causada por las neurotoxinas A, B, E, y en raras ocasiones, F. Los tipos C y D se vinculan más bien con el botulismo de aves y mamíferos. Casi todos los casos de botulismo de lactantes son causados por los tipos A y B.</w:t>
      </w:r>
    </w:p>
    <w:p w14:paraId="1FF8BE4F" w14:textId="77777777" w:rsidR="00093A32" w:rsidRDefault="00093A32">
      <w:pPr>
        <w:pStyle w:val="BodyText"/>
        <w:spacing w:line="290" w:lineRule="auto"/>
        <w:ind w:firstLine="0"/>
      </w:pPr>
      <w:r>
        <w:t xml:space="preserve">2020 incluyen cirugía, antibióticos, lavado de la cara y mejoría del ambiente </w:t>
      </w:r>
      <w:r>
        <w:rPr>
          <w:i/>
          <w:iCs/>
        </w:rPr>
        <w:t>(</w:t>
      </w:r>
      <w:r>
        <w:rPr>
          <w:rFonts w:ascii="Times New Roman" w:eastAsia="Times New Roman" w:hAnsi="Times New Roman" w:cs="Times New Roman"/>
          <w:i/>
          <w:iCs/>
          <w:sz w:val="16"/>
          <w:szCs w:val="16"/>
        </w:rPr>
        <w:t>surgery, antibiotics, face washing and environment improvement</w:t>
      </w:r>
      <w:r>
        <w:rPr>
          <w:i/>
          <w:iCs/>
        </w:rPr>
        <w:t>,</w:t>
      </w:r>
      <w:r>
        <w:t xml:space="preserve"> SAFE).</w:t>
      </w:r>
    </w:p>
    <w:p w14:paraId="24A9AC93" w14:textId="77777777" w:rsidR="00093A32" w:rsidRDefault="00093A32">
      <w:pPr>
        <w:pStyle w:val="BodyText"/>
        <w:ind w:firstLine="360"/>
        <w:rPr>
          <w:sz w:val="16"/>
          <w:szCs w:val="16"/>
        </w:rPr>
      </w:pPr>
      <w:r>
        <w:t xml:space="preserve">Contacto de lactantes con casos de conjuntivitis o neumonía por </w:t>
      </w:r>
      <w:r>
        <w:rPr>
          <w:rFonts w:ascii="Times New Roman" w:eastAsia="Times New Roman" w:hAnsi="Times New Roman" w:cs="Times New Roman"/>
          <w:i/>
          <w:iCs/>
          <w:sz w:val="16"/>
          <w:szCs w:val="16"/>
        </w:rPr>
        <w:t>C. trachomatis.</w:t>
      </w:r>
      <w:r>
        <w:t xml:space="preserve"> Es importante tratar a toda mujer que es madre de lactantes infectados (y sus compañeros sexuales) contra </w:t>
      </w:r>
      <w:r>
        <w:rPr>
          <w:rFonts w:ascii="Times New Roman" w:eastAsia="Times New Roman" w:hAnsi="Times New Roman" w:cs="Times New Roman"/>
          <w:i/>
          <w:iCs/>
          <w:sz w:val="16"/>
          <w:szCs w:val="16"/>
        </w:rPr>
        <w:t>C. trachomatis.</w:t>
      </w:r>
    </w:p>
    <w:p w14:paraId="1C4E4F02" w14:textId="77777777" w:rsidR="00093A32" w:rsidRDefault="00093A32">
      <w:pPr>
        <w:pStyle w:val="BodyText"/>
        <w:spacing w:line="276" w:lineRule="auto"/>
        <w:ind w:firstLine="360"/>
      </w:pPr>
      <w:r>
        <w:rPr>
          <w:rFonts w:ascii="Arial" w:eastAsia="Arial" w:hAnsi="Arial" w:cs="Arial"/>
          <w:b/>
          <w:bCs/>
          <w:i/>
          <w:iCs/>
          <w:sz w:val="15"/>
          <w:szCs w:val="15"/>
        </w:rPr>
        <w:t>Tacto ginecológico.</w:t>
      </w:r>
      <w:r>
        <w:t xml:space="preserve"> Toda adolescente sexualmente activa debe ser estudiada sistemáticamente en busca de infección por </w:t>
      </w:r>
      <w:r>
        <w:rPr>
          <w:rFonts w:ascii="Times New Roman" w:eastAsia="Times New Roman" w:hAnsi="Times New Roman" w:cs="Times New Roman"/>
          <w:i/>
          <w:iCs/>
          <w:sz w:val="16"/>
          <w:szCs w:val="16"/>
        </w:rPr>
        <w:t>Chlamydia</w:t>
      </w:r>
      <w:r>
        <w:t xml:space="preserve"> durante el tacto ginecológico incluso si no muestra síntomas. También conviene la detección de adultas jóvenes de 20 a 24 años, particularmente quienes no usan anticonceptivos de barrera constantemente y que tienen múltiples compañeros sexuales.</w:t>
      </w:r>
    </w:p>
    <w:p w14:paraId="0339BDC5" w14:textId="77777777" w:rsidR="00093A32" w:rsidRDefault="00093A32">
      <w:pPr>
        <w:pStyle w:val="BodyText"/>
        <w:spacing w:line="276" w:lineRule="auto"/>
        <w:ind w:firstLine="360"/>
      </w:pPr>
      <w:r>
        <w:rPr>
          <w:rFonts w:ascii="Arial" w:eastAsia="Arial" w:hAnsi="Arial" w:cs="Arial"/>
          <w:b/>
          <w:bCs/>
          <w:i/>
          <w:iCs/>
          <w:sz w:val="15"/>
          <w:szCs w:val="15"/>
        </w:rPr>
        <w:t>Tratamiento de los compañeros sexuales.</w:t>
      </w:r>
      <w:r>
        <w:t xml:space="preserve"> Es importante valorar a todos los contactos sexuales de mujeres que tienen infección por </w:t>
      </w:r>
      <w:r>
        <w:rPr>
          <w:rFonts w:ascii="Times New Roman" w:eastAsia="Times New Roman" w:hAnsi="Times New Roman" w:cs="Times New Roman"/>
          <w:i/>
          <w:iCs/>
          <w:sz w:val="16"/>
          <w:szCs w:val="16"/>
        </w:rPr>
        <w:t>C. trachomatis</w:t>
      </w:r>
      <w:r>
        <w:t xml:space="preserve"> (sintomática o asintomática), uretritis no gonocócica, cervicitis mucopurulenta, epididimitis o enfermedad inflamatoria pélvica, en busca de </w:t>
      </w:r>
      <w:r>
        <w:rPr>
          <w:rFonts w:ascii="Times New Roman" w:eastAsia="Times New Roman" w:hAnsi="Times New Roman" w:cs="Times New Roman"/>
          <w:i/>
          <w:iCs/>
          <w:sz w:val="16"/>
          <w:szCs w:val="16"/>
        </w:rPr>
        <w:t>C. trachomatis</w:t>
      </w:r>
      <w:r>
        <w:t xml:space="preserve"> y tratar la infección si el último contacto sexual ocurrió en un lapso de 60 días anteriores al comienzo de los síntomas en el caso índice (primer paciente).</w:t>
      </w:r>
    </w:p>
    <w:p w14:paraId="5931F154" w14:textId="77777777" w:rsidR="00093A32" w:rsidRDefault="00093A32">
      <w:pPr>
        <w:pStyle w:val="BodyText"/>
        <w:spacing w:after="320"/>
        <w:ind w:firstLine="360"/>
      </w:pPr>
      <w:r>
        <w:rPr>
          <w:rFonts w:ascii="Arial" w:eastAsia="Arial" w:hAnsi="Arial" w:cs="Arial"/>
          <w:b/>
          <w:bCs/>
          <w:i/>
          <w:iCs/>
          <w:sz w:val="15"/>
          <w:szCs w:val="15"/>
        </w:rPr>
        <w:t>Linfogranuloma venéreo.</w:t>
      </w:r>
      <w:r>
        <w:t xml:space="preserve"> Las medidas preventivas inespecíficas contra LGV son las mismas en el caso de todas las enfermedades de transmisión sexual en general, e incluyen enseñanza, notificación de casos, uso de condón y evitar el contacto sexual con personas infectadas.</w:t>
      </w:r>
    </w:p>
    <w:p w14:paraId="6C03F749" w14:textId="77777777" w:rsidR="00093A32" w:rsidRDefault="00093A32">
      <w:pPr>
        <w:pStyle w:val="Other0"/>
        <w:spacing w:after="100" w:line="240" w:lineRule="auto"/>
        <w:ind w:firstLine="0"/>
        <w:rPr>
          <w:sz w:val="26"/>
          <w:szCs w:val="26"/>
        </w:rPr>
      </w:pPr>
      <w:r>
        <w:rPr>
          <w:rFonts w:ascii="Times New Roman" w:eastAsia="Times New Roman" w:hAnsi="Times New Roman" w:cs="Times New Roman"/>
          <w:sz w:val="32"/>
          <w:szCs w:val="32"/>
        </w:rPr>
        <w:t>C</w:t>
      </w:r>
      <w:r>
        <w:rPr>
          <w:rFonts w:ascii="Times New Roman" w:eastAsia="Times New Roman" w:hAnsi="Times New Roman" w:cs="Times New Roman"/>
          <w:sz w:val="26"/>
          <w:szCs w:val="26"/>
        </w:rPr>
        <w:t>LOSTRIDIOS</w:t>
      </w:r>
      <w:r>
        <w:rPr>
          <w:rFonts w:ascii="Times New Roman" w:eastAsia="Times New Roman" w:hAnsi="Times New Roman" w:cs="Times New Roman"/>
          <w:sz w:val="32"/>
          <w:szCs w:val="32"/>
        </w:rPr>
        <w:t xml:space="preserve">, </w:t>
      </w:r>
      <w:r>
        <w:rPr>
          <w:rFonts w:ascii="Times New Roman" w:eastAsia="Times New Roman" w:hAnsi="Times New Roman" w:cs="Times New Roman"/>
          <w:sz w:val="26"/>
          <w:szCs w:val="26"/>
        </w:rPr>
        <w:t>INFECCIÓN</w:t>
      </w:r>
    </w:p>
    <w:p w14:paraId="6F329F35" w14:textId="77777777" w:rsidR="00093A32" w:rsidRDefault="00093A32">
      <w:pPr>
        <w:pStyle w:val="Bodytext70"/>
        <w:spacing w:after="0"/>
      </w:pPr>
      <w:r>
        <w:t>Botulismo en niños y lactantes</w:t>
      </w:r>
    </w:p>
    <w:p w14:paraId="04129F7B" w14:textId="77777777" w:rsidR="00093A32" w:rsidRDefault="00093A32">
      <w:pPr>
        <w:pStyle w:val="Bodytext80"/>
        <w:rPr>
          <w:sz w:val="15"/>
          <w:szCs w:val="15"/>
        </w:rPr>
      </w:pPr>
      <w:r>
        <w:rPr>
          <w:b/>
          <w:bCs/>
          <w:i/>
          <w:iCs/>
          <w:sz w:val="15"/>
          <w:szCs w:val="15"/>
        </w:rPr>
        <w:t>(Clostridium botulinum)</w:t>
      </w:r>
    </w:p>
    <w:p w14:paraId="597CE276"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botulismo es un trastorno neuroparalítico que se clasifica en las categorías siguientes: de origen alimentario, de lactantes, de heridas y no determinado. Salvo el botulismo de lactantes, que puede seguir una evolución prolongada, los síntomas comienzan repentinamente en término de horas o evolucionan poco a poco en curso de días. Las complicaciones más comunes del botulismo son las parálisis de pares craneales, a las que siguen en frecuencia las parálisis fláccidas simétricas y descendentes de músculos del cuerpo, que pueden evolucionar a muy corto plazo. Los sujetos con enfermedad de evolución rápida pueden mostrar en los comienzos debilidad e hipotonía generalizada. Los signos y síntomas en niños de mayor edad o adultos incluyen diplopía, visión borrosa, xerostomía, disfagia, disfonía y disartria. En forma clásica, el botulismo de lactantes, que ataca más bien a niños menores de seis meses de edad, tiene como elemento inicial el estreñimiento, y se manifiesta por disminución del movimiento, pérdida de la expresión facial, inapetencia, llanto débil, disminución del reflejo nauseoso, parálisis extraoculares sutiles y debilidad e hipotonía generalizadas (“lactante fláccido”). La enfermedad varía desde leve (estreñimiento y lentitud para la alimentación) hasta la forma progresiva rápida (como apnea y muerte repentina del lactante).</w:t>
      </w:r>
    </w:p>
    <w:p w14:paraId="2708AC39" w14:textId="77777777" w:rsidR="00093A32" w:rsidRDefault="00093A32">
      <w:pPr>
        <w:pStyle w:val="BodyText"/>
        <w:spacing w:after="100"/>
        <w:ind w:firstLine="0"/>
        <w:sectPr w:rsidR="00093A32" w:rsidSect="00093A32">
          <w:headerReference w:type="even" r:id="rId148"/>
          <w:headerReference w:type="default" r:id="rId149"/>
          <w:footerReference w:type="even" r:id="rId150"/>
          <w:footerReference w:type="default" r:id="rId151"/>
          <w:footnotePr>
            <w:numFmt w:val="chicago"/>
          </w:footnotePr>
          <w:type w:val="continuous"/>
          <w:pgSz w:w="8501" w:h="13022"/>
          <w:pgMar w:top="708" w:right="805" w:bottom="440" w:left="770" w:header="0" w:footer="12" w:gutter="0"/>
          <w:cols w:space="720"/>
          <w:noEndnote/>
          <w:docGrid w:linePitch="360"/>
          <w15:footnoteColumns w:val="1"/>
        </w:sectPr>
      </w:pPr>
      <w:r>
        <w:rPr>
          <w:b/>
          <w:bCs/>
        </w:rPr>
        <w:t>C</w:t>
      </w:r>
      <w:r>
        <w:rPr>
          <w:b/>
          <w:bCs/>
          <w:sz w:val="13"/>
          <w:szCs w:val="13"/>
        </w:rPr>
        <w:t>AUSAS</w:t>
      </w:r>
      <w:r>
        <w:rPr>
          <w:b/>
          <w:bCs/>
        </w:rPr>
        <w:t xml:space="preserve">: </w:t>
      </w:r>
      <w:r>
        <w:t xml:space="preserve">Se han identificado siete tipos de toxina antigénica de </w:t>
      </w:r>
      <w:r>
        <w:rPr>
          <w:rFonts w:ascii="Times New Roman" w:eastAsia="Times New Roman" w:hAnsi="Times New Roman" w:cs="Times New Roman"/>
          <w:i/>
          <w:iCs/>
          <w:sz w:val="16"/>
          <w:szCs w:val="16"/>
        </w:rPr>
        <w:t>Clostridium botulinum.</w:t>
      </w:r>
      <w:r>
        <w:t xml:space="preserve"> La enfermedad del ser humano suele ser causada por las neurotoxinas A, B, E, y en raras ocasiones, F. Los tipos C y D se vinculan más bien con el botulismo de aves y mamíferos. Casi todos los casos de botulismo de lactantes son causados por los tipos A y B.</w:t>
      </w:r>
    </w:p>
    <w:p w14:paraId="12C3DB01"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El botulismo de origen alimentario (mediana de casos anuales en Estados Unidos, 24) es consecuencia de la contaminación de los alimentos con esporas de </w:t>
      </w:r>
      <w:r>
        <w:rPr>
          <w:rFonts w:ascii="Times New Roman" w:eastAsia="Times New Roman" w:hAnsi="Times New Roman" w:cs="Times New Roman"/>
          <w:i/>
          <w:iCs/>
          <w:sz w:val="16"/>
          <w:szCs w:val="16"/>
        </w:rPr>
        <w:t>C. botulinum,</w:t>
      </w:r>
      <w:r>
        <w:t xml:space="preserve"> conservados o almacenados inadecuadamente en un medio anaerobio, lo cual permite la generación, la multiplicación y la producción de toxinas. Se han observado brotes en alimentos preparados en restaurantes, así como en algunos productos de carne molida, ensalada de patatas, patatas al horno envueltas en hojas de aluminio, alimentos conservados con técnicas caseras, ajos embotellados y salsas de queso. La enfermedad surge después de ingerir la toxina botulínica preformada. En el caso de botulismo de origen alimentario, no surge inmunidad a la toxina, incluso después de una enfermedad grave. El botulismo no es transmitido de una persona a otra.</w:t>
      </w:r>
    </w:p>
    <w:p w14:paraId="7EB57619" w14:textId="77777777" w:rsidR="00093A32" w:rsidRDefault="00093A32">
      <w:pPr>
        <w:pStyle w:val="BodyText"/>
        <w:ind w:firstLine="360"/>
        <w:rPr>
          <w:sz w:val="16"/>
          <w:szCs w:val="16"/>
        </w:rPr>
      </w:pPr>
      <w:r>
        <w:t xml:space="preserve">El botulismo de lactantes (mediana de casos anuales en Estados Unidos, menos de 100) es consecuencia de la ingestión de esporas de </w:t>
      </w:r>
      <w:r>
        <w:rPr>
          <w:rFonts w:ascii="Times New Roman" w:eastAsia="Times New Roman" w:hAnsi="Times New Roman" w:cs="Times New Roman"/>
          <w:i/>
          <w:iCs/>
          <w:sz w:val="16"/>
          <w:szCs w:val="16"/>
        </w:rPr>
        <w:t>C. botulinum</w:t>
      </w:r>
      <w:r>
        <w:t xml:space="preserve"> o especies similares que germinan, se multiplican o producen toxina botulínica en el intestino, tal vez por un mecanismo de permisividad transitoria de la microflora intestinal. En casi todos los casos de esta variante no se identifica el origen de las esporas, las cuales pueden ser transportadas por el aire, la tierra o el polvo. Un material identificado y evitable como punto de partida es la miel que carece de la certificación que confirme que está exenta de esporas de </w:t>
      </w:r>
      <w:r>
        <w:rPr>
          <w:rFonts w:ascii="Times New Roman" w:eastAsia="Times New Roman" w:hAnsi="Times New Roman" w:cs="Times New Roman"/>
          <w:i/>
          <w:iCs/>
          <w:sz w:val="16"/>
          <w:szCs w:val="16"/>
        </w:rPr>
        <w:t>C. botulinum.</w:t>
      </w:r>
      <w:r>
        <w:t xml:space="preserve"> Los jarabes de maíz claro y oscuro se elaboran en condiciones estériles, pero a veces los productos no son empacados en un medio aséptico ni esterilizados en forma terminal. Los fabricantes no pueden asegurar que un producto en particular estará exento de esporas de </w:t>
      </w:r>
      <w:r>
        <w:rPr>
          <w:rFonts w:ascii="Times New Roman" w:eastAsia="Times New Roman" w:hAnsi="Times New Roman" w:cs="Times New Roman"/>
          <w:i/>
          <w:iCs/>
          <w:sz w:val="16"/>
          <w:szCs w:val="16"/>
        </w:rPr>
        <w:t>C. botulinum.</w:t>
      </w:r>
    </w:p>
    <w:p w14:paraId="12809AE4" w14:textId="77777777" w:rsidR="00093A32" w:rsidRDefault="00093A32">
      <w:pPr>
        <w:pStyle w:val="BodyText"/>
        <w:ind w:firstLine="360"/>
      </w:pPr>
      <w:r>
        <w:t>El botulismo de heridas ocurre cuando el microorganismo contamina tejido traumatizado, en el que tal espora se multiplica y produce la toxina. Los traumatismos intensos o lesiones por aplastamiento pudieran ser el fenómeno predisponente, pero en el último decenio, muchos casos se han vinculado con la inyección de heroína contaminada de alquitrán. El botulismo de causa indeterminada es raro y se observa en personas mayores de 12 meses en quienes no se puede achacar a alimento o herida algunos.</w:t>
      </w:r>
    </w:p>
    <w:p w14:paraId="6AC2CF67" w14:textId="77777777" w:rsidR="00093A32" w:rsidRDefault="00093A32">
      <w:pPr>
        <w:pStyle w:val="BodyText"/>
        <w:ind w:firstLine="360"/>
      </w:pPr>
      <w:r>
        <w:t>El periodo usual de incubación del botulismo de origen alimentario va de 12 a 48 h (límites, 6 h a ocho días). En el botulismo de lactantes se calcula que el periodo de incubación es de tres a 30 días desde el momento de la exposición al material esporógeno. En el caso del botulismo de heridas, el periodo mencionado va de cuatro a 14 días desde el momento de la lesión hasta el comienzo de los síntomas.</w:t>
      </w:r>
    </w:p>
    <w:p w14:paraId="4E9B938F" w14:textId="77777777" w:rsidR="00093A32" w:rsidRDefault="00093A32">
      <w:pPr>
        <w:pStyle w:val="BodyText"/>
        <w:spacing w:after="220"/>
        <w:ind w:firstLine="0"/>
      </w:pPr>
      <w:r>
        <w:rPr>
          <w:b/>
          <w:bCs/>
        </w:rPr>
        <w:t>M</w:t>
      </w:r>
      <w:r>
        <w:rPr>
          <w:b/>
          <w:bCs/>
          <w:sz w:val="13"/>
          <w:szCs w:val="13"/>
        </w:rPr>
        <w:t>ÉTODOS DIAGNÓSTICOS</w:t>
      </w:r>
      <w:r>
        <w:rPr>
          <w:b/>
          <w:bCs/>
        </w:rPr>
        <w:t xml:space="preserve">: </w:t>
      </w:r>
      <w:r>
        <w:t>Se ha utilizado una biocuantificación de neutralización de toxinas en ratones</w:t>
      </w:r>
      <w:r>
        <w:footnoteReference w:id="8"/>
      </w:r>
      <w:r>
        <w:t xml:space="preserve"> para identificar toxina botulínica en suero, excrementos, material de aspiración estomacal o alimentos sospechosos. Se utilizan medios enriquecidos y selectivos para cultivar </w:t>
      </w:r>
      <w:r>
        <w:rPr>
          <w:rFonts w:ascii="Times New Roman" w:eastAsia="Times New Roman" w:hAnsi="Times New Roman" w:cs="Times New Roman"/>
          <w:i/>
          <w:iCs/>
          <w:sz w:val="16"/>
          <w:szCs w:val="16"/>
        </w:rPr>
        <w:t>C. botulinum</w:t>
      </w:r>
      <w:r>
        <w:t xml:space="preserve"> de heces y alimentos. En el caso del botulismo de lactantes y de heridas, el diagnóstico se hace al demostrar la presencia de </w:t>
      </w:r>
      <w:r>
        <w:rPr>
          <w:rFonts w:ascii="Times New Roman" w:eastAsia="Times New Roman" w:hAnsi="Times New Roman" w:cs="Times New Roman"/>
          <w:i/>
          <w:iCs/>
          <w:sz w:val="16"/>
          <w:szCs w:val="16"/>
        </w:rPr>
        <w:t xml:space="preserve">C. botulinum </w:t>
      </w:r>
      <w:r>
        <w:t>o su toxina en heces, exudado de heridas o muestras de tejido. Sólo en 1% de lactantes con botulismo se ha demostrado la presencia de toxina en el suero. Para mejorar la posibilidad de diagnóstico habrá que obtener muestras de suero y excremento de todas las personas en las que se sospecha botulismo. En casos de origen alimentario, por lo común las muestras de suero obtenidas después de tres días de haber ingerido la toxina son negativas, es decir, no se detectan microorganismos ni toxinas. Los excrementos y el material de aspiración estomacal constituyen las mejores muestras para el cultivo. La obtención de una muestra de excremento puede ser difícil por el estreñimiento del paciente, en cuyo caso cabe recurrir a una enema de agua estéril no bacteriostática. A veces tarda varios días la obtención de los resultados de métodos de laboratorio, y por ello habrá que emprender inmediatamente la aplicación de la antitoxina con base en la sospecha clínica únicamente. El signo electromiográfico más notable es un incremento progresivo de los potenciales provocados con una estimulación de alta frecuencia de nervios (20 a 50 Hz). Además, se observa un perfil característico de potenciales de acción motora francamente abundantes, de baja amplitud y breves; dicho perfil tal vez no se observa en lactantes, pero su ausencia no descarta el diagnóstico.</w:t>
      </w:r>
    </w:p>
    <w:p w14:paraId="4178B96E"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4F6E7AB1" w14:textId="77777777" w:rsidR="00093A32" w:rsidRDefault="00093A32">
      <w:pPr>
        <w:pStyle w:val="BodyText"/>
        <w:spacing w:line="288" w:lineRule="auto"/>
        <w:ind w:firstLine="0"/>
      </w:pPr>
      <w:r>
        <w:rPr>
          <w:rFonts w:ascii="Arial" w:eastAsia="Arial" w:hAnsi="Arial" w:cs="Arial"/>
          <w:b/>
          <w:bCs/>
          <w:i/>
          <w:iCs/>
          <w:sz w:val="15"/>
          <w:szCs w:val="15"/>
        </w:rPr>
        <w:t>Medidas meticulosas de sostén.</w:t>
      </w:r>
      <w:r>
        <w:t xml:space="preserve"> Un aspecto importante del tratamiento para todas las formas de botulismo son las medidas meticulosas de sostén, en particular en la esfera respiratoria y nutricional.</w:t>
      </w:r>
    </w:p>
    <w:p w14:paraId="5C65A7F3" w14:textId="77777777" w:rsidR="00093A32" w:rsidRDefault="00093A32">
      <w:pPr>
        <w:pStyle w:val="BodyText"/>
        <w:spacing w:line="276" w:lineRule="auto"/>
        <w:ind w:firstLine="360"/>
      </w:pPr>
      <w:r>
        <w:rPr>
          <w:rFonts w:ascii="Arial" w:eastAsia="Arial" w:hAnsi="Arial" w:cs="Arial"/>
          <w:b/>
          <w:bCs/>
          <w:i/>
          <w:iCs/>
          <w:sz w:val="15"/>
          <w:szCs w:val="15"/>
        </w:rPr>
        <w:t>Antitoxina.</w:t>
      </w:r>
      <w:r>
        <w:t xml:space="preserve"> En un estudio quinquenal, con asignación aleatoria doblemente anónimo, en que se comparó un grupo placebo con otro en tratamiento, hecho con la antitoxina botulínica de origen humano (conocida antes como concentrado inmunoglobulínico intravenoso contra botulismo </w:t>
      </w:r>
      <w:r>
        <w:rPr>
          <w:i/>
          <w:iCs/>
        </w:rPr>
        <w:t>[</w:t>
      </w:r>
      <w:r>
        <w:rPr>
          <w:rFonts w:ascii="Times New Roman" w:eastAsia="Times New Roman" w:hAnsi="Times New Roman" w:cs="Times New Roman"/>
          <w:i/>
          <w:iCs/>
          <w:sz w:val="16"/>
          <w:szCs w:val="16"/>
        </w:rPr>
        <w:t>botulism immune globulin intravenous</w:t>
      </w:r>
      <w:r>
        <w:rPr>
          <w:i/>
          <w:iCs/>
        </w:rPr>
        <w:t>,</w:t>
      </w:r>
      <w:r>
        <w:t xml:space="preserve"> BIGIV]), realizado en lactantes con botulismo, se observó una disminución significativa del número de días de hospitalización, del uso de ventilación mecánica, de la alimentación por sonda y de los costos, todo esto derivado de la administración de BIGIV (70 000 dólares de disminución de costos por caso). Es importante establecer contacto con el </w:t>
      </w:r>
      <w:r>
        <w:rPr>
          <w:rFonts w:ascii="Times New Roman" w:eastAsia="Times New Roman" w:hAnsi="Times New Roman" w:cs="Times New Roman"/>
          <w:i/>
          <w:iCs/>
          <w:sz w:val="16"/>
          <w:szCs w:val="16"/>
        </w:rPr>
        <w:t>California Department of Health Services</w:t>
      </w:r>
      <w:r>
        <w:t xml:space="preserve"> (número telefonico abierto permanentemente, 510-540-2646) para la obtención de BIGIV. El tratamiento con dicho concentrado inmunoglobulínico debe emprenderse lo más tempranamente posible en la enfermedad. Se obtiene dicho concentrado sólo para tratamiento del botulismo de lactantes. Los </w:t>
      </w:r>
      <w:r>
        <w:rPr>
          <w:rFonts w:ascii="Times New Roman" w:eastAsia="Times New Roman" w:hAnsi="Times New Roman" w:cs="Times New Roman"/>
          <w:i/>
          <w:iCs/>
          <w:sz w:val="16"/>
          <w:szCs w:val="16"/>
        </w:rPr>
        <w:t>Centers for Disease Control and Prevention</w:t>
      </w:r>
      <w:r>
        <w:t xml:space="preserve"> (CDC) a través de los departamentos sanitarios estatales puede suministrar la antitoxina botulínica equina trivalente (tipos A, B y E) y la bivalente (tipos A y B) para tratar botulismo de origen alimentario o de heridas. Si es imposible establecer contacto con los departamentos sanitarios estatales habrá que comunicarse con el Servicio de Fármacos de los CDC (véase apéndice I, “Directorio de recursos”). Conviene valorar a todos los pacientes en busca de hipersensibilidad a sueros equinos antes de administrar tales productos. En promedio, 9% de las personas tratadas muestran alguna reacción de hipersensibilidad de un grado diverso al suero equino, pero son raras las reacciones intensas.</w:t>
      </w:r>
    </w:p>
    <w:p w14:paraId="42E8F257" w14:textId="77777777" w:rsidR="00093A32" w:rsidRDefault="00093A32">
      <w:pPr>
        <w:pStyle w:val="BodyText"/>
        <w:spacing w:line="283" w:lineRule="auto"/>
        <w:ind w:firstLine="360"/>
      </w:pPr>
      <w:r>
        <w:rPr>
          <w:rFonts w:ascii="Arial" w:eastAsia="Arial" w:hAnsi="Arial" w:cs="Arial"/>
          <w:b/>
          <w:bCs/>
          <w:i/>
          <w:iCs/>
          <w:sz w:val="15"/>
          <w:szCs w:val="15"/>
        </w:rPr>
        <w:t>Agentes antimicrobianos.</w:t>
      </w:r>
      <w:r>
        <w:t xml:space="preserve"> En el botulismo de lactantes es mejor no administrar antimicrobianos porque la lisis de </w:t>
      </w:r>
      <w:r>
        <w:rPr>
          <w:rFonts w:ascii="Times New Roman" w:eastAsia="Times New Roman" w:hAnsi="Times New Roman" w:cs="Times New Roman"/>
          <w:i/>
          <w:iCs/>
          <w:sz w:val="16"/>
          <w:szCs w:val="16"/>
        </w:rPr>
        <w:t>C. botulinum</w:t>
      </w:r>
      <w:r>
        <w:t xml:space="preserve"> intraluminal podría incrementar la cantidad de toxina disponible para ser absorbida. Los aminoglucósidos potencian los efectos paralizantes de la toxina y es mejor no usarlos.</w:t>
      </w:r>
    </w:p>
    <w:p w14:paraId="7DA5BE01" w14:textId="77777777" w:rsidR="00093A32" w:rsidRDefault="00093A32">
      <w:pPr>
        <w:pStyle w:val="BodyText"/>
        <w:spacing w:after="220"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5A773ABA"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2B14CFE8" w14:textId="77777777" w:rsidR="00093A32" w:rsidRDefault="00093A32">
      <w:pPr>
        <w:pStyle w:val="BodyText"/>
        <w:tabs>
          <w:tab w:val="left" w:pos="317"/>
        </w:tabs>
        <w:ind w:firstLine="0"/>
      </w:pPr>
      <w:r>
        <w:t>•</w:t>
      </w:r>
      <w:r>
        <w:tab/>
        <w:t>No se recomienda la antitoxina equina con fin profiláctico para personas</w:t>
      </w:r>
    </w:p>
    <w:p w14:paraId="5878C50E" w14:textId="77777777" w:rsidR="00093A32" w:rsidRDefault="00093A32">
      <w:pPr>
        <w:pStyle w:val="BodyText"/>
        <w:spacing w:after="220"/>
        <w:ind w:left="360" w:firstLine="0"/>
        <w:sectPr w:rsidR="00093A32" w:rsidSect="00093A32">
          <w:headerReference w:type="even" r:id="rId152"/>
          <w:headerReference w:type="default" r:id="rId153"/>
          <w:footerReference w:type="even" r:id="rId154"/>
          <w:footerReference w:type="default" r:id="rId155"/>
          <w:headerReference w:type="first" r:id="rId156"/>
          <w:footerReference w:type="first" r:id="rId157"/>
          <w:footnotePr>
            <w:numFmt w:val="chicago"/>
          </w:footnotePr>
          <w:pgSz w:w="8501" w:h="13022"/>
          <w:pgMar w:top="708" w:right="805" w:bottom="440" w:left="770" w:header="0" w:footer="3" w:gutter="0"/>
          <w:cols w:space="720"/>
          <w:noEndnote/>
          <w:titlePg/>
          <w:docGrid w:linePitch="360"/>
          <w15:footnoteColumns w:val="1"/>
        </w:sectPr>
      </w:pPr>
      <w:r>
        <w:t xml:space="preserve">asintomáticas que ingirieron un alimento que contiene la toxina botulínica. Ante el peligro de que surjan reacciones de hipersensibilidad, es necesario un análisis muy cuidadoso antes de decidir la administración de dicha antitoxina. Puede consultarse al departamento sanitario estatal o a los </w:t>
      </w:r>
      <w:r>
        <w:rPr>
          <w:rFonts w:ascii="Times New Roman" w:eastAsia="Times New Roman" w:hAnsi="Times New Roman" w:cs="Times New Roman"/>
          <w:i/>
          <w:iCs/>
          <w:sz w:val="16"/>
          <w:szCs w:val="16"/>
        </w:rPr>
        <w:t xml:space="preserve">Centers for Disease Control and Prevention </w:t>
      </w:r>
      <w:r>
        <w:t>sobre su empleo.</w:t>
      </w:r>
    </w:p>
    <w:p w14:paraId="2C2C98C2" w14:textId="77777777" w:rsidR="00093A32" w:rsidRDefault="00093A32">
      <w:pPr>
        <w:pStyle w:val="BodyText"/>
        <w:numPr>
          <w:ilvl w:val="0"/>
          <w:numId w:val="58"/>
        </w:numPr>
        <w:tabs>
          <w:tab w:val="left" w:pos="338"/>
        </w:tabs>
        <w:ind w:left="360" w:hanging="360"/>
      </w:pPr>
      <w:bookmarkStart w:id="31" w:name="bookmark637"/>
      <w:bookmarkEnd w:id="31"/>
      <w:r>
        <w:t>La eliminación de una toxina recién ingerida se facilita al inducir el vómito y por lavado gástrico, purga rápida y enemas con gran volumen de soluciones. Las medidas anteriores no deben aplicarse en caso del botulismo de lactantes, ni se aplicarán enemas a personas enfermas salvo para obtener una muestra de excrementos con fines diagnósticos. Las personas expuestas deben ser sometidas a observación clínica minuciosa.</w:t>
      </w:r>
    </w:p>
    <w:p w14:paraId="45ED08D1" w14:textId="77777777" w:rsidR="00093A32" w:rsidRDefault="00093A32">
      <w:pPr>
        <w:pStyle w:val="BodyText"/>
        <w:numPr>
          <w:ilvl w:val="0"/>
          <w:numId w:val="58"/>
        </w:numPr>
        <w:tabs>
          <w:tab w:val="left" w:pos="338"/>
        </w:tabs>
        <w:ind w:firstLine="0"/>
      </w:pPr>
      <w:bookmarkStart w:id="32" w:name="bookmark638"/>
      <w:bookmarkEnd w:id="32"/>
      <w:r>
        <w:t>Conviene no administrar miel a niños menores de 12 meses de vida.</w:t>
      </w:r>
    </w:p>
    <w:p w14:paraId="31781890" w14:textId="77777777" w:rsidR="00093A32" w:rsidRDefault="00093A32">
      <w:pPr>
        <w:pStyle w:val="BodyText"/>
        <w:numPr>
          <w:ilvl w:val="0"/>
          <w:numId w:val="58"/>
        </w:numPr>
        <w:tabs>
          <w:tab w:val="left" w:pos="338"/>
        </w:tabs>
        <w:ind w:left="360" w:hanging="360"/>
      </w:pPr>
      <w:bookmarkStart w:id="33" w:name="bookmark639"/>
      <w:bookmarkEnd w:id="33"/>
      <w:r>
        <w:t>A través de los CDC se puede obtener el toxoide botulínico (tipos A, B, C, D y E) para vacunación de trabajadores de laboratorio expuestos al riesgo grande de contaminación con dicho microorganismo.</w:t>
      </w:r>
    </w:p>
    <w:p w14:paraId="67530F99" w14:textId="77777777" w:rsidR="00093A32" w:rsidRDefault="00093A32">
      <w:pPr>
        <w:pStyle w:val="BodyText"/>
        <w:numPr>
          <w:ilvl w:val="0"/>
          <w:numId w:val="58"/>
        </w:numPr>
        <w:tabs>
          <w:tab w:val="left" w:pos="338"/>
        </w:tabs>
        <w:ind w:left="360" w:hanging="360"/>
      </w:pPr>
      <w:bookmarkStart w:id="34" w:name="bookmark640"/>
      <w:bookmarkEnd w:id="34"/>
      <w:r>
        <w:t xml:space="preserve">Es importante insistir en la enseñanza de prácticas seguras en la preparación de alimentos y enlatados caseros. Se necesita el empleo de una olla de presión o un autoclave (a 116°C) para destruir esporas de </w:t>
      </w:r>
      <w:r>
        <w:rPr>
          <w:rFonts w:ascii="Times New Roman" w:eastAsia="Times New Roman" w:hAnsi="Times New Roman" w:cs="Times New Roman"/>
          <w:i/>
          <w:iCs/>
          <w:sz w:val="16"/>
          <w:szCs w:val="16"/>
        </w:rPr>
        <w:t>C. botulinum.</w:t>
      </w:r>
      <w:r>
        <w:t xml:space="preserve"> La toxina se destruye si se iguala la temperatura interna de los alimentos a la de la ebullición durante 10 min. Las exigencias de tiempo-temperatura-presión varían con el producto que se esté cociendo. Además, todo recipiente o lata con alimentos que esté abombada puede contener gas producido por </w:t>
      </w:r>
      <w:r>
        <w:rPr>
          <w:rFonts w:ascii="Times New Roman" w:eastAsia="Times New Roman" w:hAnsi="Times New Roman" w:cs="Times New Roman"/>
          <w:i/>
          <w:iCs/>
          <w:sz w:val="16"/>
          <w:szCs w:val="16"/>
        </w:rPr>
        <w:t>C. botulinum</w:t>
      </w:r>
      <w:r>
        <w:t xml:space="preserve"> y debe ser desechada. Tampoco se consumirán y ni siquiera probarán otros alimentos que parezcan estar contaminados.</w:t>
      </w:r>
    </w:p>
    <w:p w14:paraId="788A3EC4" w14:textId="77777777" w:rsidR="00093A32" w:rsidRDefault="00093A32">
      <w:pPr>
        <w:pStyle w:val="BodyText"/>
        <w:numPr>
          <w:ilvl w:val="0"/>
          <w:numId w:val="58"/>
        </w:numPr>
        <w:tabs>
          <w:tab w:val="left" w:pos="338"/>
        </w:tabs>
        <w:spacing w:after="100"/>
        <w:ind w:left="360" w:hanging="360"/>
      </w:pPr>
      <w:bookmarkStart w:id="35" w:name="bookmark641"/>
      <w:bookmarkEnd w:id="35"/>
      <w:r>
        <w:t>Es importante notificar de inmediato a los departamentos sanitarios locales y estatales todos los casos en que se sospeche botulismo.</w:t>
      </w:r>
    </w:p>
    <w:p w14:paraId="6A96CB67" w14:textId="77777777" w:rsidR="00093A32" w:rsidRDefault="00093A32">
      <w:pPr>
        <w:pStyle w:val="Bodytext70"/>
        <w:spacing w:after="0"/>
      </w:pPr>
      <w:r>
        <w:rPr>
          <w:i/>
          <w:iCs/>
        </w:rPr>
        <w:t>Clostridium difficile</w:t>
      </w:r>
    </w:p>
    <w:p w14:paraId="36062555"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Los síndromes vinculados con infecciones incluyen colitis seudomembranosa y diarrea después de usar antimicrobianos. La primera entidad por lo común se caracteriza por diarrea, cólicos abdominales, fiebre, toxicidad generalizada, dolor al tacto en el vientre y expulsión de excrementos con sangre y moco. La mucosa en el colon por lo general contiene placas pequeñas (2 a 5 mm), elevadas y amarillentas. De manera característica la enfermedad comienza cuando el niño está dentro del hospital y recibe antimicrobianos, pero puede surgir semanas después de retornar a su hogar o después de interrumpir el tratamiento. En raras ocasiones la enfermedad no se vincula con la administración de antimicrobianos ni con la hospitalización. Hay mayor posibilidad de que surja un cuadro grave o letal en niños fuertemente neutropénicos y leucémicos, en lactantes con enfermedad de Hirschsprung y en pacientes con enteropatía inflamatoria. La infección puede causar sólo diarrea leve o un estado de portador asintomático; dicho estado es común en neonatos y en niños menores de un año. </w:t>
      </w:r>
      <w:r>
        <w:rPr>
          <w:b/>
          <w:bCs/>
        </w:rPr>
        <w:t>C</w:t>
      </w:r>
      <w:r>
        <w:rPr>
          <w:b/>
          <w:bCs/>
          <w:sz w:val="13"/>
          <w:szCs w:val="13"/>
        </w:rPr>
        <w:t>AUSA</w:t>
      </w:r>
      <w:r>
        <w:rPr>
          <w:b/>
          <w:bCs/>
        </w:rPr>
        <w:t xml:space="preserve">: </w:t>
      </w:r>
      <w:r>
        <w:rPr>
          <w:rFonts w:ascii="Times New Roman" w:eastAsia="Times New Roman" w:hAnsi="Times New Roman" w:cs="Times New Roman"/>
          <w:i/>
          <w:iCs/>
          <w:sz w:val="16"/>
          <w:szCs w:val="16"/>
        </w:rPr>
        <w:t>Clostridium difficile</w:t>
      </w:r>
      <w:r>
        <w:t xml:space="preserve"> es un bacilo grampositivo, anaerobio obligado y esporógeno. La enfermedad surge por la acción de las toxinas producida por tal microorganismo. Se han definido dos toxinas, A y B.</w:t>
      </w:r>
    </w:p>
    <w:p w14:paraId="24D2EB79" w14:textId="77777777" w:rsidR="00093A32" w:rsidRDefault="00093A32">
      <w:pPr>
        <w:pStyle w:val="BodyText"/>
        <w:spacing w:line="276" w:lineRule="auto"/>
        <w:ind w:firstLine="0"/>
      </w:pPr>
      <w:r>
        <w:rPr>
          <w:b/>
          <w:bCs/>
        </w:rPr>
        <w:t>A</w:t>
      </w:r>
      <w:r>
        <w:rPr>
          <w:b/>
          <w:bCs/>
          <w:sz w:val="13"/>
          <w:szCs w:val="13"/>
        </w:rPr>
        <w:t>SPECTOS EPIDEMIOLÓGICOS</w:t>
      </w:r>
      <w:r>
        <w:rPr>
          <w:b/>
          <w:bCs/>
        </w:rPr>
        <w:t xml:space="preserve">: </w:t>
      </w:r>
      <w:r>
        <w:t xml:space="preserve">Es posible aislar </w:t>
      </w:r>
      <w:r>
        <w:rPr>
          <w:rFonts w:ascii="Times New Roman" w:eastAsia="Times New Roman" w:hAnsi="Times New Roman" w:cs="Times New Roman"/>
          <w:i/>
          <w:iCs/>
          <w:sz w:val="16"/>
          <w:szCs w:val="16"/>
        </w:rPr>
        <w:t>Clostridium difficile</w:t>
      </w:r>
      <w:r>
        <w:t xml:space="preserve"> de la tierra y comúnmente está en el entorno. Las esporas de dicho bacilo se adquieren del entorno o por transmisión fecal y oral proveniente de personas colonizadas. Las cifras de colonización intestinal en neonatos y lactantes sanos puede llegar a 50%, aunque suele ser menor de 5% en niños mayores de dos años y en adultos. Los principales reservorios de </w:t>
      </w:r>
      <w:r>
        <w:rPr>
          <w:rFonts w:ascii="Times New Roman" w:eastAsia="Times New Roman" w:hAnsi="Times New Roman" w:cs="Times New Roman"/>
          <w:i/>
          <w:iCs/>
          <w:sz w:val="16"/>
          <w:szCs w:val="16"/>
        </w:rPr>
        <w:t>C. difficile</w:t>
      </w:r>
      <w:r>
        <w:t xml:space="preserve"> son hospitales, asilos e instalaciones de atención pediátrica. Los factores de peligro de que surja la enfermedad son los que incrementan la exposición a los microorganismos y los que disminuyen el efecto de barrera de la flora intestinal normal y así permiten la proliferación del germen y la elaboración de toxinas </w:t>
      </w:r>
      <w:r>
        <w:rPr>
          <w:rFonts w:ascii="Times New Roman" w:eastAsia="Times New Roman" w:hAnsi="Times New Roman" w:cs="Times New Roman"/>
          <w:i/>
          <w:iCs/>
          <w:sz w:val="16"/>
          <w:szCs w:val="16"/>
        </w:rPr>
        <w:t>in vivo.</w:t>
      </w:r>
      <w:r>
        <w:t xml:space="preserve"> Entre los factores de riesgo para el contagio están la hospitalización prolongada,</w:t>
      </w:r>
    </w:p>
    <w:p w14:paraId="4AA04045" w14:textId="77777777" w:rsidR="00093A32" w:rsidRDefault="00093A32">
      <w:pPr>
        <w:pStyle w:val="BodyText"/>
        <w:numPr>
          <w:ilvl w:val="0"/>
          <w:numId w:val="58"/>
        </w:numPr>
        <w:tabs>
          <w:tab w:val="left" w:pos="338"/>
        </w:tabs>
        <w:ind w:left="360" w:hanging="360"/>
      </w:pPr>
      <w:bookmarkStart w:id="36" w:name="bookmark642"/>
      <w:bookmarkEnd w:id="36"/>
      <w:r>
        <w:t>La eliminación de una toxina recién ingerida se facilita al inducir el vómito y por lavado gástrico, purga rápida y enemas con gran volumen de soluciones. Las medidas anteriores no deben aplicarse en caso del botulismo de lactantes, ni se aplicarán enemas a personas enfermas salvo para obtener una muestra de excrementos con fines diagnósticos. Las personas expuestas deben ser sometidas a observación clínica minuciosa.</w:t>
      </w:r>
    </w:p>
    <w:p w14:paraId="00CE8391" w14:textId="77777777" w:rsidR="00093A32" w:rsidRDefault="00093A32">
      <w:pPr>
        <w:pStyle w:val="BodyText"/>
        <w:numPr>
          <w:ilvl w:val="0"/>
          <w:numId w:val="58"/>
        </w:numPr>
        <w:tabs>
          <w:tab w:val="left" w:pos="338"/>
        </w:tabs>
        <w:ind w:firstLine="0"/>
      </w:pPr>
      <w:bookmarkStart w:id="37" w:name="bookmark643"/>
      <w:bookmarkEnd w:id="37"/>
      <w:r>
        <w:t>Conviene no administrar miel a niños menores de 12 meses de vida.</w:t>
      </w:r>
    </w:p>
    <w:p w14:paraId="0D9A05C1" w14:textId="77777777" w:rsidR="00093A32" w:rsidRDefault="00093A32">
      <w:pPr>
        <w:pStyle w:val="BodyText"/>
        <w:numPr>
          <w:ilvl w:val="0"/>
          <w:numId w:val="58"/>
        </w:numPr>
        <w:tabs>
          <w:tab w:val="left" w:pos="338"/>
        </w:tabs>
        <w:ind w:left="360" w:hanging="360"/>
      </w:pPr>
      <w:bookmarkStart w:id="38" w:name="bookmark644"/>
      <w:bookmarkEnd w:id="38"/>
      <w:r>
        <w:t>A través de los CDC se puede obtener el toxoide botulínico (tipos A, B, C, D y E) para vacunación de trabajadores de laboratorio expuestos al riesgo grande de contaminación con dicho microorganismo.</w:t>
      </w:r>
    </w:p>
    <w:p w14:paraId="68DB79CE" w14:textId="77777777" w:rsidR="00093A32" w:rsidRDefault="00093A32">
      <w:pPr>
        <w:pStyle w:val="BodyText"/>
        <w:numPr>
          <w:ilvl w:val="0"/>
          <w:numId w:val="58"/>
        </w:numPr>
        <w:tabs>
          <w:tab w:val="left" w:pos="338"/>
        </w:tabs>
        <w:ind w:left="360" w:hanging="360"/>
      </w:pPr>
      <w:bookmarkStart w:id="39" w:name="bookmark645"/>
      <w:bookmarkEnd w:id="39"/>
      <w:r>
        <w:t xml:space="preserve">Es importante insistir en la enseñanza de prácticas seguras en la preparación de alimentos y enlatados caseros. Se necesita el empleo de una olla de presión o un autoclave (a 116°C) para destruir esporas de </w:t>
      </w:r>
      <w:r>
        <w:rPr>
          <w:rFonts w:ascii="Times New Roman" w:eastAsia="Times New Roman" w:hAnsi="Times New Roman" w:cs="Times New Roman"/>
          <w:i/>
          <w:iCs/>
          <w:sz w:val="16"/>
          <w:szCs w:val="16"/>
        </w:rPr>
        <w:t>C. botulinum.</w:t>
      </w:r>
      <w:r>
        <w:t xml:space="preserve"> La toxina se destruye si se iguala la temperatura interna de los alimentos a la de la ebullición durante 10 min. Las exigencias de tiempo-temperatura-presión varían con el producto que se esté cociendo. Además, todo recipiente o lata con alimentos que esté abombada puede contener gas producido por </w:t>
      </w:r>
      <w:r>
        <w:rPr>
          <w:rFonts w:ascii="Times New Roman" w:eastAsia="Times New Roman" w:hAnsi="Times New Roman" w:cs="Times New Roman"/>
          <w:i/>
          <w:iCs/>
          <w:sz w:val="16"/>
          <w:szCs w:val="16"/>
        </w:rPr>
        <w:t>C. botulinum</w:t>
      </w:r>
      <w:r>
        <w:t xml:space="preserve"> y debe ser desechada. Tampoco se consumirán y ni siquiera probarán otros alimentos que parezcan estar contaminados.</w:t>
      </w:r>
    </w:p>
    <w:p w14:paraId="46DCBE1F" w14:textId="77777777" w:rsidR="00093A32" w:rsidRDefault="00093A32">
      <w:pPr>
        <w:pStyle w:val="BodyText"/>
        <w:numPr>
          <w:ilvl w:val="0"/>
          <w:numId w:val="58"/>
        </w:numPr>
        <w:tabs>
          <w:tab w:val="left" w:pos="338"/>
        </w:tabs>
        <w:spacing w:after="100"/>
        <w:ind w:left="360" w:hanging="360"/>
      </w:pPr>
      <w:bookmarkStart w:id="40" w:name="bookmark646"/>
      <w:bookmarkEnd w:id="40"/>
      <w:r>
        <w:t>Es importante notificar de inmediato a los departamentos sanitarios locales y estatales todos los casos en que se sospeche botulismo.</w:t>
      </w:r>
    </w:p>
    <w:p w14:paraId="1D768B2C" w14:textId="77777777" w:rsidR="00093A32" w:rsidRDefault="00093A32">
      <w:pPr>
        <w:pStyle w:val="Bodytext70"/>
        <w:spacing w:after="0"/>
      </w:pPr>
      <w:r>
        <w:rPr>
          <w:i/>
          <w:iCs/>
        </w:rPr>
        <w:t>Clostridium difficile</w:t>
      </w:r>
    </w:p>
    <w:p w14:paraId="67C5DDA4"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Los síndromes vinculados con infecciones incluyen colitis seudomembranosa y diarrea después de usar antimicrobianos. La primera entidad por lo común se caracteriza por diarrea, cólicos abdominales, fiebre, toxicidad generalizada, dolor al tacto en el vientre y expulsión de excrementos con sangre y moco. La mucosa en el colon por lo general contiene placas pequeñas (2 a 5 mm), elevadas y amarillentas. De manera característica la enfermedad comienza cuando el niño está dentro del hospital y recibe antimicrobianos, pero puede surgir semanas después de retornar a su hogar o después de interrumpir el tratamiento. En raras ocasiones la enfermedad no se vincula con la administración de antimicrobianos ni con la hospitalización. Hay mayor posibilidad de que surja un cuadro grave o letal en niños fuertemente neutropénicos y leucémicos, en lactantes con enfermedad de Hirschsprung y en pacientes con enteropatía inflamatoria. La infección puede causar sólo diarrea leve o un estado de portador asintomático; dicho estado es común en neonatos y en niños menores de un año. </w:t>
      </w:r>
      <w:r>
        <w:rPr>
          <w:b/>
          <w:bCs/>
        </w:rPr>
        <w:t>C</w:t>
      </w:r>
      <w:r>
        <w:rPr>
          <w:b/>
          <w:bCs/>
          <w:sz w:val="13"/>
          <w:szCs w:val="13"/>
        </w:rPr>
        <w:t>AUSA</w:t>
      </w:r>
      <w:r>
        <w:rPr>
          <w:b/>
          <w:bCs/>
        </w:rPr>
        <w:t xml:space="preserve">: </w:t>
      </w:r>
      <w:r>
        <w:rPr>
          <w:rFonts w:ascii="Times New Roman" w:eastAsia="Times New Roman" w:hAnsi="Times New Roman" w:cs="Times New Roman"/>
          <w:i/>
          <w:iCs/>
          <w:sz w:val="16"/>
          <w:szCs w:val="16"/>
        </w:rPr>
        <w:t>Clostridium difficile</w:t>
      </w:r>
      <w:r>
        <w:t xml:space="preserve"> es un bacilo grampositivo, anaerobio obligado y esporógeno. La enfermedad surge por la acción de las toxinas producida por tal microorganismo. Se han definido dos toxinas, A y B.</w:t>
      </w:r>
    </w:p>
    <w:p w14:paraId="2CD4C16F" w14:textId="77777777" w:rsidR="00093A32" w:rsidRDefault="00093A32">
      <w:pPr>
        <w:pStyle w:val="BodyText"/>
        <w:spacing w:line="276" w:lineRule="auto"/>
        <w:ind w:firstLine="0"/>
        <w:sectPr w:rsidR="00093A32" w:rsidSect="00093A32">
          <w:headerReference w:type="even" r:id="rId158"/>
          <w:headerReference w:type="default" r:id="rId159"/>
          <w:footerReference w:type="even" r:id="rId160"/>
          <w:footerReference w:type="default" r:id="rId161"/>
          <w:footnotePr>
            <w:numFmt w:val="chicago"/>
          </w:footnotePr>
          <w:type w:val="continuous"/>
          <w:pgSz w:w="8501" w:h="13022"/>
          <w:pgMar w:top="708" w:right="805" w:bottom="440" w:left="770" w:header="0" w:footer="12" w:gutter="0"/>
          <w:cols w:space="720"/>
          <w:noEndnote/>
          <w:docGrid w:linePitch="360"/>
          <w15:footnoteColumns w:val="1"/>
        </w:sectPr>
      </w:pPr>
      <w:r>
        <w:rPr>
          <w:b/>
          <w:bCs/>
        </w:rPr>
        <w:t>A</w:t>
      </w:r>
      <w:r>
        <w:rPr>
          <w:b/>
          <w:bCs/>
          <w:sz w:val="13"/>
          <w:szCs w:val="13"/>
        </w:rPr>
        <w:t>SPECTOS EPIDEMIOLÓGICOS</w:t>
      </w:r>
      <w:r>
        <w:rPr>
          <w:b/>
          <w:bCs/>
        </w:rPr>
        <w:t xml:space="preserve">: </w:t>
      </w:r>
      <w:r>
        <w:t xml:space="preserve">Es posible aislar </w:t>
      </w:r>
      <w:r>
        <w:rPr>
          <w:rFonts w:ascii="Times New Roman" w:eastAsia="Times New Roman" w:hAnsi="Times New Roman" w:cs="Times New Roman"/>
          <w:i/>
          <w:iCs/>
          <w:sz w:val="16"/>
          <w:szCs w:val="16"/>
        </w:rPr>
        <w:t>Clostridium difficile</w:t>
      </w:r>
      <w:r>
        <w:t xml:space="preserve"> de la tierra y comúnmente está en el entorno. Las esporas de dicho bacilo se adquieren del entorno o por transmisión fecal y oral proveniente de personas colonizadas. Las cifras de colonización intestinal en neonatos y lactantes sanos puede llegar a 50%, aunque suele ser menor de 5% en niños mayores de dos años y en adultos. Los principales reservorios de </w:t>
      </w:r>
      <w:r>
        <w:rPr>
          <w:rFonts w:ascii="Times New Roman" w:eastAsia="Times New Roman" w:hAnsi="Times New Roman" w:cs="Times New Roman"/>
          <w:i/>
          <w:iCs/>
          <w:sz w:val="16"/>
          <w:szCs w:val="16"/>
        </w:rPr>
        <w:t>C. difficile</w:t>
      </w:r>
      <w:r>
        <w:t xml:space="preserve"> son hospitales, asilos e instalaciones de atención pediátrica. Los factores de peligro de que surja la enfermedad son los que incrementan la exposición a los microorganismos y los que disminuyen el efecto de barrera de la flora intestinal normal y así permiten la proliferación del germen y la elaboración de toxinas </w:t>
      </w:r>
      <w:r>
        <w:rPr>
          <w:rFonts w:ascii="Times New Roman" w:eastAsia="Times New Roman" w:hAnsi="Times New Roman" w:cs="Times New Roman"/>
          <w:i/>
          <w:iCs/>
          <w:sz w:val="16"/>
          <w:szCs w:val="16"/>
        </w:rPr>
        <w:t>in vivo.</w:t>
      </w:r>
      <w:r>
        <w:t xml:space="preserve"> Entre los factores de riesgo para el contagio están la hospitalización prolongada, </w:t>
      </w:r>
    </w:p>
    <w:p w14:paraId="790D8587" w14:textId="77777777" w:rsidR="00093A32" w:rsidRDefault="00093A32">
      <w:pPr>
        <w:pStyle w:val="BodyText"/>
        <w:spacing w:line="276" w:lineRule="auto"/>
        <w:ind w:firstLine="0"/>
      </w:pPr>
      <w:r>
        <w:t xml:space="preserve">la compañía de un paciente infectado en el mismo cuarto y personas sintomáticas infectadas en la misma sala de hospital. Entre los factores de peligro de que surja la enfermedad están la administración constante de antimicrobianos, enemas repetidas, permanencia duradera de sondas nasogástricas y operaciones de vías gastrointestinales, así como insuficiencia renal. Los antimicrobianos que con mayor frecuencia han sido vinculados con la colitis por </w:t>
      </w:r>
      <w:r>
        <w:rPr>
          <w:rFonts w:ascii="Times New Roman" w:eastAsia="Times New Roman" w:hAnsi="Times New Roman" w:cs="Times New Roman"/>
          <w:i/>
          <w:iCs/>
          <w:sz w:val="16"/>
          <w:szCs w:val="16"/>
        </w:rPr>
        <w:t>C. difficile</w:t>
      </w:r>
      <w:r>
        <w:t xml:space="preserve"> son las penicilinas, las clindamicinas y las cefalosporinas, pero ha habido vinculación de la colitis casi con todos los antimicrobianos. La toxina de </w:t>
      </w:r>
      <w:r>
        <w:rPr>
          <w:rFonts w:ascii="Times New Roman" w:eastAsia="Times New Roman" w:hAnsi="Times New Roman" w:cs="Times New Roman"/>
          <w:i/>
          <w:iCs/>
          <w:sz w:val="16"/>
          <w:szCs w:val="16"/>
        </w:rPr>
        <w:t>C. difficile</w:t>
      </w:r>
      <w:r>
        <w:t xml:space="preserve"> puede identificarse en muestras de excremento de adultos asintomáticos, pero puede detectarse en iguales muestras de neonatos y lactantes sin enfermedad de vías gastrointestinales. El dato anterior desorienta la interpretación de los métodos de valoración de toxina que arrojan resultados positivos en niños menores de 12 meses de vida.</w:t>
      </w:r>
    </w:p>
    <w:p w14:paraId="16C893D1" w14:textId="77777777" w:rsidR="00093A32" w:rsidRDefault="00093A32">
      <w:pPr>
        <w:pStyle w:val="BodyText"/>
        <w:ind w:firstLine="360"/>
      </w:pPr>
      <w:r>
        <w:t xml:space="preserve">El </w:t>
      </w:r>
      <w:r>
        <w:rPr>
          <w:b/>
          <w:bCs/>
        </w:rPr>
        <w:t xml:space="preserve">periodo de incubación </w:t>
      </w:r>
      <w:r>
        <w:t>se desconoce.</w:t>
      </w:r>
    </w:p>
    <w:p w14:paraId="27DB7180" w14:textId="77777777" w:rsidR="00093A32" w:rsidRDefault="00093A32">
      <w:pPr>
        <w:pStyle w:val="BodyText"/>
        <w:spacing w:after="220"/>
        <w:ind w:firstLine="0"/>
      </w:pPr>
      <w:r>
        <w:rPr>
          <w:b/>
          <w:bCs/>
        </w:rPr>
        <w:t>M</w:t>
      </w:r>
      <w:r>
        <w:rPr>
          <w:b/>
          <w:bCs/>
          <w:sz w:val="13"/>
          <w:szCs w:val="13"/>
        </w:rPr>
        <w:t>ÉTODOS DIAGNÓSTICOS</w:t>
      </w:r>
      <w:r>
        <w:rPr>
          <w:b/>
          <w:bCs/>
        </w:rPr>
        <w:t xml:space="preserve">: </w:t>
      </w:r>
      <w:r>
        <w:t xml:space="preserve">Los signos endoscópicos de seudomembranas y la mucosa rectal hiperémica y friable sugieren la presencia de colitis seudomembranosa. Para diagnosticar enfermedad por </w:t>
      </w:r>
      <w:r>
        <w:rPr>
          <w:rFonts w:ascii="Times New Roman" w:eastAsia="Times New Roman" w:hAnsi="Times New Roman" w:cs="Times New Roman"/>
          <w:i/>
          <w:iCs/>
          <w:sz w:val="16"/>
          <w:szCs w:val="16"/>
        </w:rPr>
        <w:t>C. difficile</w:t>
      </w:r>
      <w:r>
        <w:t xml:space="preserve"> habrá que buscar toxinas de tal microorganismo en los excrementos. Los inmunoanálisis enzimáticos distribuidos en el comercio detectan las toxinas A y B, o puede utilizarse el inmunoanálisis enzimático de toxina A junto con el método de citotoxicidad en cultivo celular que constituiría el “método normativo” para detección de toxina B. Es mejor no usar el método de aglutinación con látex. Los lactantes sintomáticos que tienen menos de un año de vida deben ser estudiados en cuanto a otras causas de diarrea diferentes de </w:t>
      </w:r>
      <w:r>
        <w:rPr>
          <w:rFonts w:ascii="Times New Roman" w:eastAsia="Times New Roman" w:hAnsi="Times New Roman" w:cs="Times New Roman"/>
          <w:i/>
          <w:iCs/>
          <w:sz w:val="16"/>
          <w:szCs w:val="16"/>
        </w:rPr>
        <w:t>C. difficile</w:t>
      </w:r>
      <w:r>
        <w:t xml:space="preserve"> porque el estado de portador de dicho microorganismo es la regla y no la excepción en este grupo de edad.</w:t>
      </w:r>
    </w:p>
    <w:p w14:paraId="289DF44C"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4EB1D54F" w14:textId="77777777" w:rsidR="00093A32" w:rsidRDefault="00093A32">
      <w:pPr>
        <w:pStyle w:val="BodyText"/>
        <w:numPr>
          <w:ilvl w:val="0"/>
          <w:numId w:val="58"/>
        </w:numPr>
        <w:tabs>
          <w:tab w:val="left" w:pos="341"/>
        </w:tabs>
        <w:ind w:left="360" w:hanging="360"/>
      </w:pPr>
      <w:bookmarkStart w:id="41" w:name="bookmark647"/>
      <w:bookmarkEnd w:id="41"/>
      <w:r>
        <w:t>En sujetos en los que surge diarrea o colitis clínicamente importante habrá que interrumpir la administración de los antimicrobianos.</w:t>
      </w:r>
    </w:p>
    <w:p w14:paraId="17511F67" w14:textId="77777777" w:rsidR="00093A32" w:rsidRDefault="00093A32">
      <w:pPr>
        <w:pStyle w:val="BodyText"/>
        <w:numPr>
          <w:ilvl w:val="0"/>
          <w:numId w:val="58"/>
        </w:numPr>
        <w:tabs>
          <w:tab w:val="left" w:pos="341"/>
        </w:tabs>
        <w:ind w:left="360" w:hanging="360"/>
      </w:pPr>
      <w:bookmarkStart w:id="42" w:name="bookmark648"/>
      <w:bookmarkEnd w:id="42"/>
      <w:r>
        <w:t xml:space="preserve">Los antimicrobianos contra la enfermedad por </w:t>
      </w:r>
      <w:r>
        <w:rPr>
          <w:rFonts w:ascii="Times New Roman" w:eastAsia="Times New Roman" w:hAnsi="Times New Roman" w:cs="Times New Roman"/>
          <w:i/>
          <w:iCs/>
          <w:sz w:val="16"/>
          <w:szCs w:val="16"/>
        </w:rPr>
        <w:t>C. difficile</w:t>
      </w:r>
      <w:r>
        <w:t xml:space="preserve"> están indicados en personas con la forma grave o en quienes persiste la diarrea después de interrumpir el uso de tales fármacos.</w:t>
      </w:r>
    </w:p>
    <w:p w14:paraId="1E2E74E2" w14:textId="77777777" w:rsidR="00093A32" w:rsidRDefault="00093A32">
      <w:pPr>
        <w:pStyle w:val="BodyText"/>
        <w:numPr>
          <w:ilvl w:val="0"/>
          <w:numId w:val="58"/>
        </w:numPr>
        <w:tabs>
          <w:tab w:val="left" w:pos="341"/>
        </w:tabs>
        <w:ind w:left="360" w:hanging="360"/>
      </w:pPr>
      <w:bookmarkStart w:id="43" w:name="bookmark649"/>
      <w:bookmarkEnd w:id="43"/>
      <w:r>
        <w:t xml:space="preserve">Cepas de </w:t>
      </w:r>
      <w:r>
        <w:rPr>
          <w:rFonts w:ascii="Times New Roman" w:eastAsia="Times New Roman" w:hAnsi="Times New Roman" w:cs="Times New Roman"/>
          <w:i/>
          <w:iCs/>
          <w:sz w:val="16"/>
          <w:szCs w:val="16"/>
        </w:rPr>
        <w:t>C. difficile</w:t>
      </w:r>
      <w:r>
        <w:t xml:space="preserve"> son susceptibles al metronidazol y al clorhidrato de vancomicina, y ambos son eficaces. El medicamento más indicado para el tratamiento inicial de casi todas las personas con colitis es el metronidazol (30 mg/kg de peso al día en cuatro fracciones, dosis máxima 2 g/día). Otro fármaco al que cabe recurrir es la vancomicina ingerible (40 mg/kg al día en cuatro fracciones, dosis máxima 500 mg), pero será mejor no usarla ante la posibilidad de que favorezca la aparición de microorganismos resistentes a ella. La vancomicina está indicada en individuos que no mejoran con el metronidazol. Este último es eficaz por vías oral o intravenosa, en tanto que la vancomicina lo es sólo después de ingerida. Otra posibilidad sería la ingestión de bacitracina zinc, pero es un fármaco menos eficaz.</w:t>
      </w:r>
    </w:p>
    <w:p w14:paraId="7746B9FF" w14:textId="77777777" w:rsidR="00093A32" w:rsidRDefault="00093A32">
      <w:pPr>
        <w:pStyle w:val="BodyText"/>
        <w:numPr>
          <w:ilvl w:val="0"/>
          <w:numId w:val="58"/>
        </w:numPr>
        <w:tabs>
          <w:tab w:val="left" w:pos="341"/>
        </w:tabs>
        <w:ind w:firstLine="0"/>
      </w:pPr>
      <w:bookmarkStart w:id="44" w:name="bookmark650"/>
      <w:bookmarkEnd w:id="44"/>
      <w:r>
        <w:t>Los agentes antimicrobianos por lo común se administran durante siete a 10 días.</w:t>
      </w:r>
    </w:p>
    <w:p w14:paraId="6F5A58CE" w14:textId="77777777" w:rsidR="00093A32" w:rsidRDefault="00093A32">
      <w:pPr>
        <w:pStyle w:val="BodyText"/>
        <w:numPr>
          <w:ilvl w:val="0"/>
          <w:numId w:val="58"/>
        </w:numPr>
        <w:tabs>
          <w:tab w:val="left" w:pos="341"/>
        </w:tabs>
        <w:ind w:left="360" w:hanging="360"/>
      </w:pPr>
      <w:bookmarkStart w:id="45" w:name="bookmark651"/>
      <w:bookmarkEnd w:id="45"/>
      <w:r>
        <w:t>Se sabe que incluso 10 a 20% de los enfermos sufren una recaída después de interrumpir la farmacoterapia, pero la infección suele mejorar con un segundo ciclo del mismo tratamiento.</w:t>
      </w:r>
    </w:p>
    <w:p w14:paraId="780DC9B3" w14:textId="77777777" w:rsidR="00093A32" w:rsidRDefault="00093A32">
      <w:pPr>
        <w:pStyle w:val="BodyText"/>
        <w:numPr>
          <w:ilvl w:val="0"/>
          <w:numId w:val="58"/>
        </w:numPr>
        <w:tabs>
          <w:tab w:val="left" w:pos="341"/>
        </w:tabs>
        <w:ind w:left="360" w:hanging="360"/>
      </w:pPr>
      <w:bookmarkStart w:id="46" w:name="bookmark652"/>
      <w:bookmarkEnd w:id="46"/>
      <w:r>
        <w:t>La resina de colestiramina, que se liga a las toxinas, puede aliviar los síntomas. Sin embargo, no se ha evaluado su efecto en niños con enfermedad causada por</w:t>
      </w:r>
    </w:p>
    <w:p w14:paraId="43FFC366" w14:textId="77777777" w:rsidR="00093A32" w:rsidRDefault="00093A32">
      <w:pPr>
        <w:pStyle w:val="BodyText"/>
        <w:spacing w:after="100" w:line="290" w:lineRule="auto"/>
        <w:ind w:left="360" w:firstLine="0"/>
      </w:pPr>
      <w:r>
        <w:rPr>
          <w:rFonts w:ascii="Times New Roman" w:eastAsia="Times New Roman" w:hAnsi="Times New Roman" w:cs="Times New Roman"/>
          <w:i/>
          <w:iCs/>
          <w:sz w:val="16"/>
          <w:szCs w:val="16"/>
        </w:rPr>
        <w:t>C. difficile.</w:t>
      </w:r>
      <w:r>
        <w:t xml:space="preserve"> La colestiramina también se liga a la vancomicina, por lo que no deben administrarse juntas.</w:t>
      </w:r>
    </w:p>
    <w:p w14:paraId="45F80522" w14:textId="77777777" w:rsidR="00093A32" w:rsidRDefault="00093A32">
      <w:pPr>
        <w:pStyle w:val="BodyText"/>
        <w:numPr>
          <w:ilvl w:val="0"/>
          <w:numId w:val="58"/>
        </w:numPr>
        <w:tabs>
          <w:tab w:val="left" w:pos="340"/>
        </w:tabs>
        <w:ind w:firstLine="0"/>
      </w:pPr>
      <w:bookmarkStart w:id="47" w:name="bookmark653"/>
      <w:bookmarkEnd w:id="47"/>
      <w:r>
        <w:t>No se administrarán los medicamentos que disminuyan la motilidad intestinal.</w:t>
      </w:r>
    </w:p>
    <w:p w14:paraId="56E9C477" w14:textId="77777777" w:rsidR="00093A32" w:rsidRDefault="00093A32">
      <w:pPr>
        <w:pStyle w:val="BodyText"/>
        <w:numPr>
          <w:ilvl w:val="0"/>
          <w:numId w:val="58"/>
        </w:numPr>
        <w:tabs>
          <w:tab w:val="left" w:pos="340"/>
        </w:tabs>
        <w:spacing w:after="220"/>
        <w:ind w:left="360" w:hanging="360"/>
      </w:pPr>
      <w:bookmarkStart w:id="48" w:name="bookmark654"/>
      <w:bookmarkEnd w:id="48"/>
      <w:r>
        <w:t>Si hay resolución de los síntomas, no es recomendable practicar estudios en busca de toxinas como método de vigilancia.</w:t>
      </w:r>
    </w:p>
    <w:p w14:paraId="6122DE46" w14:textId="77777777" w:rsidR="00093A32" w:rsidRDefault="00093A32">
      <w:pPr>
        <w:pStyle w:val="BodyText"/>
        <w:spacing w:after="22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durante todo el tiempo que dure la enfermedad.</w:t>
      </w:r>
    </w:p>
    <w:p w14:paraId="11B6037E"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de control</w:t>
      </w:r>
      <w:r>
        <w:rPr>
          <w:b/>
          <w:bCs/>
          <w:smallCaps/>
          <w:sz w:val="20"/>
          <w:szCs w:val="20"/>
        </w:rPr>
        <w:t>:</w:t>
      </w:r>
    </w:p>
    <w:p w14:paraId="0EB0A702" w14:textId="77777777" w:rsidR="00093A32" w:rsidRDefault="00093A32">
      <w:pPr>
        <w:pStyle w:val="BodyText"/>
        <w:numPr>
          <w:ilvl w:val="0"/>
          <w:numId w:val="58"/>
        </w:numPr>
        <w:tabs>
          <w:tab w:val="left" w:pos="340"/>
        </w:tabs>
        <w:ind w:left="360" w:hanging="360"/>
      </w:pPr>
      <w:bookmarkStart w:id="49" w:name="bookmark655"/>
      <w:bookmarkEnd w:id="49"/>
      <w:r>
        <w:t xml:space="preserve">Los mejores métodos para desterrar la enfermedad por </w:t>
      </w:r>
      <w:r>
        <w:rPr>
          <w:rFonts w:ascii="Times New Roman" w:eastAsia="Times New Roman" w:hAnsi="Times New Roman" w:cs="Times New Roman"/>
          <w:i/>
          <w:iCs/>
          <w:sz w:val="16"/>
          <w:szCs w:val="16"/>
        </w:rPr>
        <w:t>C. difficile</w:t>
      </w:r>
      <w:r>
        <w:t xml:space="preserve"> son la higiene meticulosa de las manos, el manejo apropiado de desechos contaminados (incluidos pañales), la desinfección de objetos inanimados y el uso limitado de antimicrobianos.</w:t>
      </w:r>
    </w:p>
    <w:p w14:paraId="2A03ADFA" w14:textId="77777777" w:rsidR="00093A32" w:rsidRDefault="00093A32">
      <w:pPr>
        <w:pStyle w:val="BodyText"/>
        <w:numPr>
          <w:ilvl w:val="0"/>
          <w:numId w:val="58"/>
        </w:numPr>
        <w:tabs>
          <w:tab w:val="left" w:pos="340"/>
        </w:tabs>
        <w:ind w:left="360" w:hanging="360"/>
      </w:pPr>
      <w:bookmarkStart w:id="50" w:name="bookmark656"/>
      <w:bookmarkEnd w:id="50"/>
      <w:r>
        <w:t xml:space="preserve">Es esencial la limpieza muy cuidadosa de estancias y salas de baño en hospitales en que se atienden sujetos con colitis por </w:t>
      </w:r>
      <w:r>
        <w:rPr>
          <w:rFonts w:ascii="Times New Roman" w:eastAsia="Times New Roman" w:hAnsi="Times New Roman" w:cs="Times New Roman"/>
          <w:i/>
          <w:iCs/>
          <w:sz w:val="16"/>
          <w:szCs w:val="16"/>
        </w:rPr>
        <w:t>C. difficile.</w:t>
      </w:r>
      <w:r>
        <w:t xml:space="preserve"> No se ha demostrado resistencia al germicida como causa de supervivencia de </w:t>
      </w:r>
      <w:r>
        <w:rPr>
          <w:rFonts w:ascii="Times New Roman" w:eastAsia="Times New Roman" w:hAnsi="Times New Roman" w:cs="Times New Roman"/>
          <w:i/>
          <w:iCs/>
          <w:sz w:val="16"/>
          <w:szCs w:val="16"/>
        </w:rPr>
        <w:t>C. difficile</w:t>
      </w:r>
      <w:r>
        <w:t xml:space="preserve"> en el entorno.</w:t>
      </w:r>
    </w:p>
    <w:p w14:paraId="6A3616C6" w14:textId="77777777" w:rsidR="00093A32" w:rsidRDefault="00093A32">
      <w:pPr>
        <w:pStyle w:val="BodyText"/>
        <w:numPr>
          <w:ilvl w:val="0"/>
          <w:numId w:val="58"/>
        </w:numPr>
        <w:tabs>
          <w:tab w:val="left" w:pos="340"/>
        </w:tabs>
        <w:spacing w:after="100"/>
        <w:ind w:left="360" w:hanging="360"/>
      </w:pPr>
      <w:bookmarkStart w:id="51" w:name="bookmark657"/>
      <w:bookmarkEnd w:id="51"/>
      <w:r>
        <w:t xml:space="preserve">Los niños con diarrea por </w:t>
      </w:r>
      <w:r>
        <w:rPr>
          <w:rFonts w:ascii="Times New Roman" w:eastAsia="Times New Roman" w:hAnsi="Times New Roman" w:cs="Times New Roman"/>
          <w:i/>
          <w:iCs/>
          <w:sz w:val="16"/>
          <w:szCs w:val="16"/>
        </w:rPr>
        <w:t>C. difficile</w:t>
      </w:r>
      <w:r>
        <w:t xml:space="preserve"> deben estar en una zona protegida y separada en los centros de atención, o se les excluirá de la asistencia pediátrica durante todo el tiempo que dure la diarrea.</w:t>
      </w:r>
    </w:p>
    <w:p w14:paraId="3814AAA8" w14:textId="77777777" w:rsidR="00093A32" w:rsidRDefault="00093A32">
      <w:pPr>
        <w:pStyle w:val="Bodytext70"/>
        <w:spacing w:after="0"/>
      </w:pPr>
      <w:r>
        <w:t>Clostridios, mionecrosis</w:t>
      </w:r>
    </w:p>
    <w:p w14:paraId="0BE3CB1F"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(Gangrena gaseosa)</w:t>
      </w:r>
    </w:p>
    <w:p w14:paraId="3CF420CE"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Uno de los síntomas prodrómicos de la enfermedad es el dolor agudo en el sitio de la herida, al que siguen edema, dolor al tacto, exudado y evolución del dolor. Las manifestaciones sistémicas iniciales incluyen taquicardia que no guarda proporción con el grado de la fiebre, palidez, diaforesis, hipotensión, insuficiencia renal y más tarde, alteraciones en el estado psíquico. La crepitación sugiere la infección por </w:t>
      </w:r>
      <w:r>
        <w:rPr>
          <w:rFonts w:ascii="Times New Roman" w:eastAsia="Times New Roman" w:hAnsi="Times New Roman" w:cs="Times New Roman"/>
          <w:i/>
          <w:iCs/>
          <w:sz w:val="16"/>
          <w:szCs w:val="16"/>
        </w:rPr>
        <w:t>Clostridium</w:t>
      </w:r>
      <w:r>
        <w:rPr>
          <w:i/>
          <w:iCs/>
        </w:rPr>
        <w:t>,</w:t>
      </w:r>
      <w:r>
        <w:t xml:space="preserve"> pero no es patognomónica de ella ni siempre está presente. El diagnóstico se basa en el cuadro clínico, que incluye la imagen característica del músculo necrótico en la intervención operatoria. Sin tratamiento, la gangrena gaseosa puede ocasionar mionecrosis diseminada, infección visceral supurada, septicemia y muerte del paciente en término de horas.</w:t>
      </w:r>
    </w:p>
    <w:p w14:paraId="7C9B4FAE" w14:textId="77777777" w:rsidR="00093A32" w:rsidRDefault="00093A32">
      <w:pPr>
        <w:pStyle w:val="BodyText"/>
        <w:spacing w:line="276" w:lineRule="auto"/>
        <w:ind w:firstLine="0"/>
      </w:pPr>
      <w:r>
        <w:rPr>
          <w:b/>
          <w:bCs/>
        </w:rPr>
        <w:t>C</w:t>
      </w:r>
      <w:r>
        <w:rPr>
          <w:b/>
          <w:bCs/>
          <w:sz w:val="13"/>
          <w:szCs w:val="13"/>
        </w:rPr>
        <w:t>AUSAS</w:t>
      </w:r>
      <w:r>
        <w:rPr>
          <w:b/>
          <w:bCs/>
        </w:rPr>
        <w:t xml:space="preserve">: </w:t>
      </w:r>
      <w:r>
        <w:t xml:space="preserve">La gangrena gaseosa es causada por especies de </w:t>
      </w:r>
      <w:r>
        <w:rPr>
          <w:rFonts w:ascii="Times New Roman" w:eastAsia="Times New Roman" w:hAnsi="Times New Roman" w:cs="Times New Roman"/>
          <w:i/>
          <w:iCs/>
          <w:sz w:val="16"/>
          <w:szCs w:val="16"/>
        </w:rPr>
        <w:t>Clostridium</w:t>
      </w:r>
      <w:r>
        <w:rPr>
          <w:i/>
          <w:iCs/>
        </w:rPr>
        <w:t>,</w:t>
      </w:r>
      <w:r>
        <w:t xml:space="preserve"> más a menudo </w:t>
      </w:r>
      <w:r>
        <w:rPr>
          <w:rFonts w:ascii="Times New Roman" w:eastAsia="Times New Roman" w:hAnsi="Times New Roman" w:cs="Times New Roman"/>
          <w:i/>
          <w:iCs/>
          <w:sz w:val="16"/>
          <w:szCs w:val="16"/>
        </w:rPr>
        <w:t>C. perfringens,</w:t>
      </w:r>
      <w:r>
        <w:t xml:space="preserve"> que es un bacilo anaerobio grande y grampositivo con extremos redondeados. Otras especies de </w:t>
      </w:r>
      <w:r>
        <w:rPr>
          <w:rFonts w:ascii="Times New Roman" w:eastAsia="Times New Roman" w:hAnsi="Times New Roman" w:cs="Times New Roman"/>
          <w:i/>
          <w:iCs/>
          <w:sz w:val="16"/>
          <w:szCs w:val="16"/>
        </w:rPr>
        <w:t>Clostridium</w:t>
      </w:r>
      <w:r>
        <w:t xml:space="preserve"> (como </w:t>
      </w:r>
      <w:r>
        <w:rPr>
          <w:rFonts w:ascii="Times New Roman" w:eastAsia="Times New Roman" w:hAnsi="Times New Roman" w:cs="Times New Roman"/>
          <w:i/>
          <w:iCs/>
          <w:sz w:val="16"/>
          <w:szCs w:val="16"/>
        </w:rPr>
        <w:t>C. sordelli, C. septicum</w:t>
      </w:r>
      <w:r>
        <w:t xml:space="preserve"> y </w:t>
      </w:r>
      <w:r>
        <w:rPr>
          <w:rFonts w:ascii="Times New Roman" w:eastAsia="Times New Roman" w:hAnsi="Times New Roman" w:cs="Times New Roman"/>
          <w:i/>
          <w:iCs/>
          <w:sz w:val="16"/>
          <w:szCs w:val="16"/>
        </w:rPr>
        <w:t xml:space="preserve">C. novyi) </w:t>
      </w:r>
      <w:r>
        <w:t>también pueden ocasionar mionecrosis. Es frecuente que haya otras bacterias grampositivas y gramnegativas en el cuadro mixto de la infección.</w:t>
      </w:r>
    </w:p>
    <w:p w14:paraId="6D4CC609"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La gangrena gaseosa suele ser consecuencia de contaminación de heridas abiertas en músculos. Las especies de </w:t>
      </w:r>
      <w:r>
        <w:rPr>
          <w:rFonts w:ascii="Times New Roman" w:eastAsia="Times New Roman" w:hAnsi="Times New Roman" w:cs="Times New Roman"/>
          <w:i/>
          <w:iCs/>
          <w:sz w:val="16"/>
          <w:szCs w:val="16"/>
        </w:rPr>
        <w:t>Clostridium</w:t>
      </w:r>
      <w:r>
        <w:t xml:space="preserve"> provienen de la tierra, de objetos contaminados y de excrementos de seres humanos y animales. Las heridas operatorias o traumáticas contaminadas que tienen abundante tejido desvitalizado y cuerpos extraños predisponen a la gangrena. La gangrena de origen atraumático a veces es causada por gérmenes de </w:t>
      </w:r>
      <w:r>
        <w:rPr>
          <w:rFonts w:ascii="Times New Roman" w:eastAsia="Times New Roman" w:hAnsi="Times New Roman" w:cs="Times New Roman"/>
          <w:i/>
          <w:iCs/>
          <w:sz w:val="16"/>
          <w:szCs w:val="16"/>
        </w:rPr>
        <w:t>Clostridium</w:t>
      </w:r>
      <w:r>
        <w:t xml:space="preserve"> que provienen del aparato gastrointestinal de la persona.</w:t>
      </w:r>
    </w:p>
    <w:p w14:paraId="355642FA" w14:textId="77777777" w:rsidR="00093A32" w:rsidRDefault="00093A32">
      <w:pPr>
        <w:pStyle w:val="BodyText"/>
        <w:ind w:firstLine="360"/>
      </w:pPr>
      <w:r>
        <w:t xml:space="preserve">El </w:t>
      </w:r>
      <w:r>
        <w:rPr>
          <w:b/>
          <w:bCs/>
        </w:rPr>
        <w:t xml:space="preserve">periodo de incubación </w:t>
      </w:r>
      <w:r>
        <w:t>va de 6 h a tres semanas y por lo común es de dos a cuatro días.</w:t>
      </w:r>
    </w:p>
    <w:p w14:paraId="49544677" w14:textId="77777777" w:rsidR="00093A32" w:rsidRDefault="00093A32">
      <w:pPr>
        <w:pStyle w:val="BodyText"/>
        <w:spacing w:after="160"/>
        <w:ind w:firstLine="0"/>
      </w:pPr>
      <w:r>
        <w:rPr>
          <w:b/>
          <w:bCs/>
        </w:rPr>
        <w:t>M</w:t>
      </w:r>
      <w:r>
        <w:rPr>
          <w:b/>
          <w:bCs/>
          <w:sz w:val="13"/>
          <w:szCs w:val="13"/>
        </w:rPr>
        <w:t>ÉTODOS DIAGNÓSTICOS</w:t>
      </w:r>
      <w:r>
        <w:rPr>
          <w:b/>
          <w:bCs/>
        </w:rPr>
        <w:t xml:space="preserve">: </w:t>
      </w:r>
      <w:r>
        <w:t xml:space="preserve">Es importante hacer cultivos del exudado de la herida, de las partes blandas y del músculo afectados, así como de la sangre, en busca de anaerobios. Las especies de </w:t>
      </w:r>
      <w:r>
        <w:rPr>
          <w:rFonts w:ascii="Times New Roman" w:eastAsia="Times New Roman" w:hAnsi="Times New Roman" w:cs="Times New Roman"/>
          <w:i/>
          <w:iCs/>
          <w:sz w:val="16"/>
          <w:szCs w:val="16"/>
        </w:rPr>
        <w:t>Clostridium</w:t>
      </w:r>
      <w:r>
        <w:t xml:space="preserve"> están distribuidas amplísimamente y por ello identificarlas</w:t>
      </w:r>
    </w:p>
    <w:p w14:paraId="41200E4F" w14:textId="77777777" w:rsidR="00093A32" w:rsidRDefault="00093A32">
      <w:pPr>
        <w:pStyle w:val="BodyText"/>
        <w:numPr>
          <w:ilvl w:val="0"/>
          <w:numId w:val="58"/>
        </w:numPr>
        <w:tabs>
          <w:tab w:val="left" w:pos="340"/>
        </w:tabs>
        <w:ind w:firstLine="0"/>
      </w:pPr>
      <w:bookmarkStart w:id="52" w:name="bookmark658"/>
      <w:bookmarkEnd w:id="52"/>
      <w:r>
        <w:t>No se administrarán los medicamentos que disminuyan la motilidad intestinal.</w:t>
      </w:r>
    </w:p>
    <w:p w14:paraId="05D1C6B1" w14:textId="77777777" w:rsidR="00093A32" w:rsidRDefault="00093A32">
      <w:pPr>
        <w:pStyle w:val="BodyText"/>
        <w:numPr>
          <w:ilvl w:val="0"/>
          <w:numId w:val="58"/>
        </w:numPr>
        <w:tabs>
          <w:tab w:val="left" w:pos="340"/>
        </w:tabs>
        <w:spacing w:after="220"/>
        <w:ind w:left="360" w:hanging="360"/>
      </w:pPr>
      <w:bookmarkStart w:id="53" w:name="bookmark659"/>
      <w:bookmarkEnd w:id="53"/>
      <w:r>
        <w:t>Si hay resolución de los síntomas, no es recomendable practicar estudios en busca de toxinas como método de vigilancia.</w:t>
      </w:r>
    </w:p>
    <w:p w14:paraId="5BC02D8B" w14:textId="77777777" w:rsidR="00093A32" w:rsidRDefault="00093A32">
      <w:pPr>
        <w:pStyle w:val="BodyText"/>
        <w:spacing w:after="22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durante todo el tiempo que dure la enfermedad.</w:t>
      </w:r>
    </w:p>
    <w:p w14:paraId="76A02501"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de control</w:t>
      </w:r>
      <w:r>
        <w:rPr>
          <w:b/>
          <w:bCs/>
          <w:smallCaps/>
          <w:sz w:val="20"/>
          <w:szCs w:val="20"/>
        </w:rPr>
        <w:t>:</w:t>
      </w:r>
    </w:p>
    <w:p w14:paraId="78B88CB3" w14:textId="77777777" w:rsidR="00093A32" w:rsidRDefault="00093A32">
      <w:pPr>
        <w:pStyle w:val="BodyText"/>
        <w:numPr>
          <w:ilvl w:val="0"/>
          <w:numId w:val="58"/>
        </w:numPr>
        <w:tabs>
          <w:tab w:val="left" w:pos="340"/>
        </w:tabs>
        <w:ind w:left="360" w:hanging="360"/>
      </w:pPr>
      <w:bookmarkStart w:id="54" w:name="bookmark660"/>
      <w:bookmarkEnd w:id="54"/>
      <w:r>
        <w:t xml:space="preserve">Los mejores métodos para desterrar la enfermedad por </w:t>
      </w:r>
      <w:r>
        <w:rPr>
          <w:rFonts w:ascii="Times New Roman" w:eastAsia="Times New Roman" w:hAnsi="Times New Roman" w:cs="Times New Roman"/>
          <w:i/>
          <w:iCs/>
          <w:sz w:val="16"/>
          <w:szCs w:val="16"/>
        </w:rPr>
        <w:t>C. difficile</w:t>
      </w:r>
      <w:r>
        <w:t xml:space="preserve"> son la higiene meticulosa de las manos, el manejo apropiado de desechos contaminados (incluidos pañales), la desinfección de objetos inanimados y el uso limitado de antimicrobianos.</w:t>
      </w:r>
    </w:p>
    <w:p w14:paraId="5AFA9A40" w14:textId="77777777" w:rsidR="00093A32" w:rsidRDefault="00093A32">
      <w:pPr>
        <w:pStyle w:val="BodyText"/>
        <w:numPr>
          <w:ilvl w:val="0"/>
          <w:numId w:val="58"/>
        </w:numPr>
        <w:tabs>
          <w:tab w:val="left" w:pos="340"/>
        </w:tabs>
        <w:ind w:left="360" w:hanging="360"/>
      </w:pPr>
      <w:bookmarkStart w:id="55" w:name="bookmark661"/>
      <w:bookmarkEnd w:id="55"/>
      <w:r>
        <w:t xml:space="preserve">Es esencial la limpieza muy cuidadosa de estancias y salas de baño en hospitales en que se atienden sujetos con colitis por </w:t>
      </w:r>
      <w:r>
        <w:rPr>
          <w:rFonts w:ascii="Times New Roman" w:eastAsia="Times New Roman" w:hAnsi="Times New Roman" w:cs="Times New Roman"/>
          <w:i/>
          <w:iCs/>
          <w:sz w:val="16"/>
          <w:szCs w:val="16"/>
        </w:rPr>
        <w:t>C. difficile.</w:t>
      </w:r>
      <w:r>
        <w:t xml:space="preserve"> No se ha demostrado resistencia al germicida como causa de supervivencia de </w:t>
      </w:r>
      <w:r>
        <w:rPr>
          <w:rFonts w:ascii="Times New Roman" w:eastAsia="Times New Roman" w:hAnsi="Times New Roman" w:cs="Times New Roman"/>
          <w:i/>
          <w:iCs/>
          <w:sz w:val="16"/>
          <w:szCs w:val="16"/>
        </w:rPr>
        <w:t>C. difficile</w:t>
      </w:r>
      <w:r>
        <w:t xml:space="preserve"> en el entorno.</w:t>
      </w:r>
    </w:p>
    <w:p w14:paraId="5AFC6064" w14:textId="77777777" w:rsidR="00093A32" w:rsidRDefault="00093A32">
      <w:pPr>
        <w:pStyle w:val="BodyText"/>
        <w:numPr>
          <w:ilvl w:val="0"/>
          <w:numId w:val="58"/>
        </w:numPr>
        <w:tabs>
          <w:tab w:val="left" w:pos="340"/>
        </w:tabs>
        <w:spacing w:after="100"/>
        <w:ind w:left="360" w:hanging="360"/>
      </w:pPr>
      <w:bookmarkStart w:id="56" w:name="bookmark662"/>
      <w:bookmarkEnd w:id="56"/>
      <w:r>
        <w:t xml:space="preserve">Los niños con diarrea por </w:t>
      </w:r>
      <w:r>
        <w:rPr>
          <w:rFonts w:ascii="Times New Roman" w:eastAsia="Times New Roman" w:hAnsi="Times New Roman" w:cs="Times New Roman"/>
          <w:i/>
          <w:iCs/>
          <w:sz w:val="16"/>
          <w:szCs w:val="16"/>
        </w:rPr>
        <w:t>C. difficile</w:t>
      </w:r>
      <w:r>
        <w:t xml:space="preserve"> deben estar en una zona protegida y separada en los centros de atención, o se les excluirá de la asistencia pediátrica durante todo el tiempo que dure la diarrea.</w:t>
      </w:r>
    </w:p>
    <w:p w14:paraId="1F0ABFAF" w14:textId="77777777" w:rsidR="00093A32" w:rsidRDefault="00093A32">
      <w:pPr>
        <w:pStyle w:val="Bodytext70"/>
        <w:spacing w:after="0"/>
      </w:pPr>
      <w:r>
        <w:t>Clostridios, mionecrosis</w:t>
      </w:r>
    </w:p>
    <w:p w14:paraId="7A6870DE"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(Gangrena gaseosa)</w:t>
      </w:r>
    </w:p>
    <w:p w14:paraId="13BEDBC1"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Uno de los síntomas prodrómicos de la enfermedad es el dolor agudo en el sitio de la herida, al que siguen edema, dolor al tacto, exudado y evolución del dolor. Las manifestaciones sistémicas iniciales incluyen taquicardia que no guarda proporción con el grado de la fiebre, palidez, diaforesis, hipotensión, insuficiencia renal y más tarde, alteraciones en el estado psíquico. La crepitación sugiere la infección por </w:t>
      </w:r>
      <w:r>
        <w:rPr>
          <w:rFonts w:ascii="Times New Roman" w:eastAsia="Times New Roman" w:hAnsi="Times New Roman" w:cs="Times New Roman"/>
          <w:i/>
          <w:iCs/>
          <w:sz w:val="16"/>
          <w:szCs w:val="16"/>
        </w:rPr>
        <w:t>Clostridium</w:t>
      </w:r>
      <w:r>
        <w:rPr>
          <w:i/>
          <w:iCs/>
        </w:rPr>
        <w:t>,</w:t>
      </w:r>
      <w:r>
        <w:t xml:space="preserve"> pero no es patognomónica de ella ni siempre está presente. El diagnóstico se basa en el cuadro clínico, que incluye la imagen característica del músculo necrótico en la intervención operatoria. Sin tratamiento, la gangrena gaseosa puede ocasionar mionecrosis diseminada, infección visceral supurada, septicemia y muerte del paciente en término de horas.</w:t>
      </w:r>
    </w:p>
    <w:p w14:paraId="1C012C32" w14:textId="77777777" w:rsidR="00093A32" w:rsidRDefault="00093A32">
      <w:pPr>
        <w:pStyle w:val="BodyText"/>
        <w:spacing w:line="276" w:lineRule="auto"/>
        <w:ind w:firstLine="0"/>
      </w:pPr>
      <w:r>
        <w:rPr>
          <w:b/>
          <w:bCs/>
        </w:rPr>
        <w:t>C</w:t>
      </w:r>
      <w:r>
        <w:rPr>
          <w:b/>
          <w:bCs/>
          <w:sz w:val="13"/>
          <w:szCs w:val="13"/>
        </w:rPr>
        <w:t>AUSAS</w:t>
      </w:r>
      <w:r>
        <w:rPr>
          <w:b/>
          <w:bCs/>
        </w:rPr>
        <w:t xml:space="preserve">: </w:t>
      </w:r>
      <w:r>
        <w:t xml:space="preserve">La gangrena gaseosa es causada por especies de </w:t>
      </w:r>
      <w:r>
        <w:rPr>
          <w:rFonts w:ascii="Times New Roman" w:eastAsia="Times New Roman" w:hAnsi="Times New Roman" w:cs="Times New Roman"/>
          <w:i/>
          <w:iCs/>
          <w:sz w:val="16"/>
          <w:szCs w:val="16"/>
        </w:rPr>
        <w:t>Clostridium</w:t>
      </w:r>
      <w:r>
        <w:rPr>
          <w:i/>
          <w:iCs/>
        </w:rPr>
        <w:t>,</w:t>
      </w:r>
      <w:r>
        <w:t xml:space="preserve"> más a menudo </w:t>
      </w:r>
      <w:r>
        <w:rPr>
          <w:rFonts w:ascii="Times New Roman" w:eastAsia="Times New Roman" w:hAnsi="Times New Roman" w:cs="Times New Roman"/>
          <w:i/>
          <w:iCs/>
          <w:sz w:val="16"/>
          <w:szCs w:val="16"/>
        </w:rPr>
        <w:t>C. perfringens,</w:t>
      </w:r>
      <w:r>
        <w:t xml:space="preserve"> que es un bacilo anaerobio grande y grampositivo con extremos redondeados. Otras especies de </w:t>
      </w:r>
      <w:r>
        <w:rPr>
          <w:rFonts w:ascii="Times New Roman" w:eastAsia="Times New Roman" w:hAnsi="Times New Roman" w:cs="Times New Roman"/>
          <w:i/>
          <w:iCs/>
          <w:sz w:val="16"/>
          <w:szCs w:val="16"/>
        </w:rPr>
        <w:t>Clostridium</w:t>
      </w:r>
      <w:r>
        <w:t xml:space="preserve"> (como </w:t>
      </w:r>
      <w:r>
        <w:rPr>
          <w:rFonts w:ascii="Times New Roman" w:eastAsia="Times New Roman" w:hAnsi="Times New Roman" w:cs="Times New Roman"/>
          <w:i/>
          <w:iCs/>
          <w:sz w:val="16"/>
          <w:szCs w:val="16"/>
        </w:rPr>
        <w:t>C. sordelli, C. septicum</w:t>
      </w:r>
      <w:r>
        <w:t xml:space="preserve"> y </w:t>
      </w:r>
      <w:r>
        <w:rPr>
          <w:rFonts w:ascii="Times New Roman" w:eastAsia="Times New Roman" w:hAnsi="Times New Roman" w:cs="Times New Roman"/>
          <w:i/>
          <w:iCs/>
          <w:sz w:val="16"/>
          <w:szCs w:val="16"/>
        </w:rPr>
        <w:t xml:space="preserve">C. novyi) </w:t>
      </w:r>
      <w:r>
        <w:t>también pueden ocasionar mionecrosis. Es frecuente que haya otras bacterias grampositivas y gramnegativas en el cuadro mixto de la infección.</w:t>
      </w:r>
    </w:p>
    <w:p w14:paraId="74092CAA"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La gangrena gaseosa suele ser consecuencia de contaminación de heridas abiertas en músculos. Las especies de </w:t>
      </w:r>
      <w:r>
        <w:rPr>
          <w:rFonts w:ascii="Times New Roman" w:eastAsia="Times New Roman" w:hAnsi="Times New Roman" w:cs="Times New Roman"/>
          <w:i/>
          <w:iCs/>
          <w:sz w:val="16"/>
          <w:szCs w:val="16"/>
        </w:rPr>
        <w:t>Clostridium</w:t>
      </w:r>
      <w:r>
        <w:t xml:space="preserve"> provienen de la tierra, de objetos contaminados y de excrementos de seres humanos y animales. Las heridas operatorias o traumáticas contaminadas que tienen abundante tejido desvitalizado y cuerpos extraños predisponen a la gangrena. La gangrena de origen atraumático a veces es causada por gérmenes de </w:t>
      </w:r>
      <w:r>
        <w:rPr>
          <w:rFonts w:ascii="Times New Roman" w:eastAsia="Times New Roman" w:hAnsi="Times New Roman" w:cs="Times New Roman"/>
          <w:i/>
          <w:iCs/>
          <w:sz w:val="16"/>
          <w:szCs w:val="16"/>
        </w:rPr>
        <w:t>Clostridium</w:t>
      </w:r>
      <w:r>
        <w:t xml:space="preserve"> que provienen del aparato gastrointestinal de la persona.</w:t>
      </w:r>
    </w:p>
    <w:p w14:paraId="1F035FEF" w14:textId="77777777" w:rsidR="00093A32" w:rsidRDefault="00093A32">
      <w:pPr>
        <w:pStyle w:val="BodyText"/>
        <w:ind w:firstLine="360"/>
      </w:pPr>
      <w:r>
        <w:t xml:space="preserve">El </w:t>
      </w:r>
      <w:r>
        <w:rPr>
          <w:b/>
          <w:bCs/>
        </w:rPr>
        <w:t xml:space="preserve">periodo de incubación </w:t>
      </w:r>
      <w:r>
        <w:t>va de 6 h a tres semanas y por lo común es de dos a cuatro días.</w:t>
      </w:r>
    </w:p>
    <w:p w14:paraId="5F841622" w14:textId="77777777" w:rsidR="00093A32" w:rsidRDefault="00093A32">
      <w:pPr>
        <w:pStyle w:val="BodyText"/>
        <w:spacing w:after="220"/>
        <w:ind w:firstLine="0"/>
        <w:sectPr w:rsidR="00093A32" w:rsidSect="00093A32">
          <w:headerReference w:type="even" r:id="rId162"/>
          <w:headerReference w:type="default" r:id="rId163"/>
          <w:footerReference w:type="even" r:id="rId164"/>
          <w:footerReference w:type="default" r:id="rId165"/>
          <w:headerReference w:type="first" r:id="rId166"/>
          <w:footerReference w:type="first" r:id="rId167"/>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 xml:space="preserve">Es importante hacer cultivos del exudado de la herida, de las partes blandas y del músculo afectados, así como de la sangre, en busca de anaerobios. Las especies de </w:t>
      </w:r>
      <w:r>
        <w:rPr>
          <w:rFonts w:ascii="Times New Roman" w:eastAsia="Times New Roman" w:hAnsi="Times New Roman" w:cs="Times New Roman"/>
          <w:i/>
          <w:iCs/>
          <w:sz w:val="16"/>
          <w:szCs w:val="16"/>
        </w:rPr>
        <w:t>Clostridium</w:t>
      </w:r>
      <w:r>
        <w:t xml:space="preserve"> están distribuidas amplísimamente y por ello identificarlas </w:t>
      </w:r>
    </w:p>
    <w:p w14:paraId="69520D09" w14:textId="77777777" w:rsidR="00093A32" w:rsidRDefault="00093A32">
      <w:pPr>
        <w:pStyle w:val="BodyText"/>
        <w:spacing w:after="220"/>
        <w:ind w:firstLine="0"/>
      </w:pPr>
      <w:r>
        <w:t>en una herida no tiene valor diagnóstico, salvo que existan las típicas manifestaciones clínicas. El frotis teñido con método de Gram, de la secreción de la herida, en que se identifiquen los característicos bacilos grampositivos y el que no haya polimorfonucleares o sean escasos, sugiere infección por clostridios. Las muestras tisulares y el material de aspiración (que no hayan sido obtenidos con aplicador) son adecuados para cultivo en busca de anaerobios. Algunas especies patógenas de Clostridium son extraordinariamente sensibles al oxígeno y por ello se tendrá gran cuidado de optimizar el medio de proliferación anaerobio. La radiografía de la zona afectada puede demostrar la presencia de gas en los tejidos.</w:t>
      </w:r>
    </w:p>
    <w:p w14:paraId="0BCB07B0"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06F29041" w14:textId="77777777" w:rsidR="00093A32" w:rsidRDefault="00093A32">
      <w:pPr>
        <w:pStyle w:val="BodyText"/>
        <w:numPr>
          <w:ilvl w:val="0"/>
          <w:numId w:val="58"/>
        </w:numPr>
        <w:tabs>
          <w:tab w:val="left" w:pos="340"/>
        </w:tabs>
        <w:ind w:left="360" w:hanging="360"/>
      </w:pPr>
      <w:bookmarkStart w:id="57" w:name="bookmark663"/>
      <w:bookmarkEnd w:id="57"/>
      <w:r>
        <w:t>Es indispensable la extirpación quirúrgica temprana y completa del tejido necrótico, así como la eliminación del material extraño.</w:t>
      </w:r>
    </w:p>
    <w:p w14:paraId="2294D2A0" w14:textId="77777777" w:rsidR="00093A32" w:rsidRDefault="00093A32">
      <w:pPr>
        <w:pStyle w:val="BodyText"/>
        <w:numPr>
          <w:ilvl w:val="0"/>
          <w:numId w:val="58"/>
        </w:numPr>
        <w:tabs>
          <w:tab w:val="left" w:pos="340"/>
        </w:tabs>
        <w:ind w:left="360" w:hanging="360"/>
      </w:pPr>
      <w:bookmarkStart w:id="58" w:name="bookmark664"/>
      <w:bookmarkEnd w:id="58"/>
      <w:r>
        <w:t>Es crucial combatir el choque, el desequilibrio hidroelectrolítico, la anemia hemolítica y otras complicaciones.</w:t>
      </w:r>
    </w:p>
    <w:p w14:paraId="426102C4" w14:textId="77777777" w:rsidR="00093A32" w:rsidRDefault="00093A32">
      <w:pPr>
        <w:pStyle w:val="BodyText"/>
        <w:numPr>
          <w:ilvl w:val="0"/>
          <w:numId w:val="58"/>
        </w:numPr>
        <w:tabs>
          <w:tab w:val="left" w:pos="340"/>
        </w:tabs>
        <w:ind w:left="360" w:hanging="360"/>
      </w:pPr>
      <w:bookmarkStart w:id="59" w:name="bookmark665"/>
      <w:bookmarkEnd w:id="59"/>
      <w:r>
        <w:t>Se administrarán por vía endovenosa dosis altas de penicilina G (250 000 a 400 000 U/kg de peso al día). En vez de dicho antibiótico cabe recurrir a clindamicina, metronidazol, imipenem-cilastatina o meropenem, y cloranfenicol en el caso de sujetos alérgicos a la penicilina o para combatir infecciones polimicrobianas. La combinación de penicilina G y clindamicina puede tener mayor eficacia que la de la penicilina sola.</w:t>
      </w:r>
    </w:p>
    <w:p w14:paraId="1EB3ED5A" w14:textId="77777777" w:rsidR="00093A32" w:rsidRDefault="00093A32">
      <w:pPr>
        <w:pStyle w:val="BodyText"/>
        <w:numPr>
          <w:ilvl w:val="0"/>
          <w:numId w:val="58"/>
        </w:numPr>
        <w:tabs>
          <w:tab w:val="left" w:pos="340"/>
        </w:tabs>
        <w:ind w:left="360" w:hanging="360"/>
      </w:pPr>
      <w:bookmarkStart w:id="60" w:name="bookmark666"/>
      <w:bookmarkEnd w:id="60"/>
      <w:r>
        <w:t>El oxígeno hiperbárico puede ser beneficioso, pero no se cuenta con datos adecuadamente comparativos de su eficacia.</w:t>
      </w:r>
    </w:p>
    <w:p w14:paraId="77A5487E" w14:textId="77777777" w:rsidR="00093A32" w:rsidRDefault="00093A32">
      <w:pPr>
        <w:pStyle w:val="BodyText"/>
        <w:numPr>
          <w:ilvl w:val="0"/>
          <w:numId w:val="58"/>
        </w:numPr>
        <w:tabs>
          <w:tab w:val="left" w:pos="340"/>
        </w:tabs>
        <w:spacing w:after="220"/>
        <w:ind w:firstLine="0"/>
      </w:pPr>
      <w:bookmarkStart w:id="61" w:name="bookmark667"/>
      <w:bookmarkEnd w:id="61"/>
      <w:r>
        <w:t>La aplicación de la antitoxina carece de utilidad.</w:t>
      </w:r>
    </w:p>
    <w:p w14:paraId="1ADB0FD3"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60FAC37A" w14:textId="77777777" w:rsidR="00093A32" w:rsidRDefault="00093A3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En el tratamiento de la herida, habrá que cumplir con medidas como el desbridamiento inmediato y cuidadoso de ella, el lavado de las heridas contaminadas y la extracción y eliminación de material extraño.</w:t>
      </w:r>
    </w:p>
    <w:p w14:paraId="0F2A1782" w14:textId="77777777" w:rsidR="00093A32" w:rsidRDefault="00093A32">
      <w:pPr>
        <w:pStyle w:val="BodyText"/>
        <w:spacing w:after="100"/>
        <w:ind w:firstLine="360"/>
      </w:pPr>
      <w:r>
        <w:t>La penicilina G (50 000 U/kg al día) o la clindamicina (20 a 30 mg/kg al día) pudieran ser útiles para profilaxia en personas con heridas excesivamente contaminadas.</w:t>
      </w:r>
    </w:p>
    <w:p w14:paraId="5CD49730" w14:textId="77777777" w:rsidR="00093A32" w:rsidRDefault="00093A32">
      <w:pPr>
        <w:pStyle w:val="BodyText"/>
        <w:spacing w:after="160" w:line="257" w:lineRule="auto"/>
        <w:ind w:firstLine="0"/>
      </w:pPr>
      <w:r>
        <w:rPr>
          <w:rFonts w:ascii="Arial" w:eastAsia="Arial" w:hAnsi="Arial" w:cs="Arial"/>
          <w:b/>
          <w:bCs/>
          <w:i/>
          <w:iCs/>
          <w:w w:val="70"/>
          <w:sz w:val="32"/>
          <w:szCs w:val="32"/>
        </w:rPr>
        <w:t>Clostridium perfringens,</w:t>
      </w:r>
      <w:r>
        <w:rPr>
          <w:rFonts w:ascii="Arial" w:eastAsia="Arial" w:hAnsi="Arial" w:cs="Arial"/>
          <w:b/>
          <w:bCs/>
          <w:w w:val="70"/>
          <w:sz w:val="32"/>
          <w:szCs w:val="32"/>
        </w:rPr>
        <w:t xml:space="preserve"> intoxicación alimentaria </w:t>
      </w: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intoxicación por alimentos se caracteriza por un cuadro de diarrea acuosa, dolor cólico en la zona mesoepigástrica, que va de moderado a intenso, todo ello de comienzo repentino. Pocas veces hay vómitos y fiebre y los síntomas suelen mostrar resolución en el término de 24 h. El lapso breve de incubación y de evolución, así como la ausencia de fiebre en casi todos los pacientes permite diferenciar la enfermedad alimentaria por </w:t>
      </w:r>
      <w:r>
        <w:rPr>
          <w:rFonts w:ascii="Times New Roman" w:eastAsia="Times New Roman" w:hAnsi="Times New Roman" w:cs="Times New Roman"/>
          <w:i/>
          <w:iCs/>
          <w:sz w:val="16"/>
          <w:szCs w:val="16"/>
        </w:rPr>
        <w:t>Clostridium perfringens,</w:t>
      </w:r>
      <w:r>
        <w:t xml:space="preserve"> de otras entidades, shigelosis y salmonelosis, y la poca frecuencia de los vómitos y el periodo más largo de incubación, se diferencian de los signos clínicos de enfermedades de origen alimentario vinculadas con metales pesados, enterotoxinas de </w:t>
      </w:r>
      <w:r>
        <w:rPr>
          <w:rFonts w:ascii="Times New Roman" w:eastAsia="Times New Roman" w:hAnsi="Times New Roman" w:cs="Times New Roman"/>
          <w:i/>
          <w:iCs/>
          <w:sz w:val="16"/>
          <w:szCs w:val="16"/>
        </w:rPr>
        <w:t>Staphylococcus aureus,</w:t>
      </w:r>
      <w:r>
        <w:t xml:space="preserve"> así como toxinas de pescados y mariscos. El cuadro diarreico causado por la enterotoxina de </w:t>
      </w:r>
      <w:r>
        <w:rPr>
          <w:rFonts w:ascii="Times New Roman" w:eastAsia="Times New Roman" w:hAnsi="Times New Roman" w:cs="Times New Roman"/>
          <w:i/>
          <w:iCs/>
          <w:sz w:val="16"/>
          <w:szCs w:val="16"/>
        </w:rPr>
        <w:t>Bacillus cereus</w:t>
      </w:r>
      <w:r>
        <w:t xml:space="preserve"> puede ser idéntico al producido por </w:t>
      </w:r>
      <w:r>
        <w:rPr>
          <w:rFonts w:ascii="Times New Roman" w:eastAsia="Times New Roman" w:hAnsi="Times New Roman" w:cs="Times New Roman"/>
          <w:i/>
          <w:iCs/>
          <w:sz w:val="16"/>
          <w:szCs w:val="16"/>
        </w:rPr>
        <w:t>C. perfringens</w:t>
      </w:r>
      <w:r>
        <w:t xml:space="preserve"> (véase apéndice VI, “Síndromes clínicos que surgen en enfermedades de origen alimentario”). La enteritis necrótica (conocida en algunas partes como pigbel) es causa de cuadros graves y fallecimiento atribuibles a la intoxicación por </w:t>
      </w:r>
      <w:r>
        <w:rPr>
          <w:rFonts w:ascii="Times New Roman" w:eastAsia="Times New Roman" w:hAnsi="Times New Roman" w:cs="Times New Roman"/>
          <w:i/>
          <w:iCs/>
          <w:sz w:val="16"/>
          <w:szCs w:val="16"/>
        </w:rPr>
        <w:t>C. perfringens</w:t>
      </w:r>
      <w:r>
        <w:t xml:space="preserve"> de origen alimentario en niños de Papua, Nueva Guinea.</w:t>
      </w:r>
    </w:p>
    <w:p w14:paraId="62B8F8C8" w14:textId="77777777" w:rsidR="00093A32" w:rsidRDefault="00093A32">
      <w:pPr>
        <w:pStyle w:val="BodyText"/>
        <w:spacing w:after="220"/>
        <w:ind w:firstLine="0"/>
      </w:pPr>
      <w:r>
        <w:t>en una herida no tiene valor diagnóstico, salvo que existan las típicas manifestaciones clínicas. El frotis teñido con método de Gram, de la secreción de la herida, en que se identifiquen los característicos bacilos grampositivos y el que no haya polimorfonucleares o sean escasos, sugiere infección por clostridios. Las muestras tisulares y el material de aspiración (que no hayan sido obtenidos con aplicador) son adecuados para cultivo en busca de anaerobios. Algunas especies patógenas de Clostridium son extraordinariamente sensibles al oxígeno y por ello se tendrá gran cuidado de optimizar el medio de proliferación anaerobio. La radiografía de la zona afectada puede demostrar la presencia de gas en los tejidos.</w:t>
      </w:r>
    </w:p>
    <w:p w14:paraId="6D2D0385"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72ECF09C" w14:textId="77777777" w:rsidR="00093A32" w:rsidRDefault="00093A32">
      <w:pPr>
        <w:pStyle w:val="BodyText"/>
        <w:numPr>
          <w:ilvl w:val="0"/>
          <w:numId w:val="58"/>
        </w:numPr>
        <w:tabs>
          <w:tab w:val="left" w:pos="340"/>
        </w:tabs>
        <w:ind w:left="360" w:hanging="360"/>
      </w:pPr>
      <w:bookmarkStart w:id="62" w:name="bookmark668"/>
      <w:bookmarkEnd w:id="62"/>
      <w:r>
        <w:t>Es indispensable la extirpación quirúrgica temprana y completa del tejido necrótico, así como la eliminación del material extraño.</w:t>
      </w:r>
    </w:p>
    <w:p w14:paraId="06D79513" w14:textId="77777777" w:rsidR="00093A32" w:rsidRDefault="00093A32">
      <w:pPr>
        <w:pStyle w:val="BodyText"/>
        <w:numPr>
          <w:ilvl w:val="0"/>
          <w:numId w:val="58"/>
        </w:numPr>
        <w:tabs>
          <w:tab w:val="left" w:pos="340"/>
        </w:tabs>
        <w:ind w:left="360" w:hanging="360"/>
      </w:pPr>
      <w:bookmarkStart w:id="63" w:name="bookmark669"/>
      <w:bookmarkEnd w:id="63"/>
      <w:r>
        <w:t>Es crucial combatir el choque, el desequilibrio hidroelectrolítico, la anemia hemolítica y otras complicaciones.</w:t>
      </w:r>
    </w:p>
    <w:p w14:paraId="177EABE2" w14:textId="77777777" w:rsidR="00093A32" w:rsidRDefault="00093A32">
      <w:pPr>
        <w:pStyle w:val="BodyText"/>
        <w:numPr>
          <w:ilvl w:val="0"/>
          <w:numId w:val="58"/>
        </w:numPr>
        <w:tabs>
          <w:tab w:val="left" w:pos="340"/>
        </w:tabs>
        <w:ind w:left="360" w:hanging="360"/>
      </w:pPr>
      <w:bookmarkStart w:id="64" w:name="bookmark670"/>
      <w:bookmarkEnd w:id="64"/>
      <w:r>
        <w:t>Se administrarán por vía endovenosa dosis altas de penicilina G (250 000 a 400 000 U/kg de peso al día). En vez de dicho antibiótico cabe recurrir a clindamicina, metronidazol, imipenem-cilastatina o meropenem, y cloranfenicol en el caso de sujetos alérgicos a la penicilina o para combatir infecciones polimicrobianas. La combinación de penicilina G y clindamicina puede tener mayor eficacia que la de la penicilina sola.</w:t>
      </w:r>
    </w:p>
    <w:p w14:paraId="7194B67E" w14:textId="77777777" w:rsidR="00093A32" w:rsidRDefault="00093A32">
      <w:pPr>
        <w:pStyle w:val="BodyText"/>
        <w:numPr>
          <w:ilvl w:val="0"/>
          <w:numId w:val="58"/>
        </w:numPr>
        <w:tabs>
          <w:tab w:val="left" w:pos="340"/>
        </w:tabs>
        <w:ind w:left="360" w:hanging="360"/>
      </w:pPr>
      <w:bookmarkStart w:id="65" w:name="bookmark671"/>
      <w:bookmarkEnd w:id="65"/>
      <w:r>
        <w:t>El oxígeno hiperbárico puede ser beneficioso, pero no se cuenta con datos adecuadamente comparativos de su eficacia.</w:t>
      </w:r>
    </w:p>
    <w:p w14:paraId="712A0538" w14:textId="77777777" w:rsidR="00093A32" w:rsidRDefault="00093A32">
      <w:pPr>
        <w:pStyle w:val="BodyText"/>
        <w:numPr>
          <w:ilvl w:val="0"/>
          <w:numId w:val="58"/>
        </w:numPr>
        <w:tabs>
          <w:tab w:val="left" w:pos="340"/>
        </w:tabs>
        <w:spacing w:after="220"/>
        <w:ind w:firstLine="0"/>
      </w:pPr>
      <w:bookmarkStart w:id="66" w:name="bookmark672"/>
      <w:bookmarkEnd w:id="66"/>
      <w:r>
        <w:t>La aplicación de la antitoxina carece de utilidad.</w:t>
      </w:r>
    </w:p>
    <w:p w14:paraId="74172283"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3693EE75" w14:textId="77777777" w:rsidR="00093A32" w:rsidRDefault="00093A3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En el tratamiento de la herida, habrá que cumplir con medidas como el desbridamiento inmediato y cuidadoso de ella, el lavado de las heridas contaminadas y la extracción y eliminación de material extraño.</w:t>
      </w:r>
    </w:p>
    <w:p w14:paraId="642FC383" w14:textId="77777777" w:rsidR="00093A32" w:rsidRDefault="00093A32">
      <w:pPr>
        <w:pStyle w:val="BodyText"/>
        <w:spacing w:after="100"/>
        <w:ind w:firstLine="360"/>
      </w:pPr>
      <w:r>
        <w:t>La penicilina G (50 000 U/kg al día) o la clindamicina (20 a 30 mg/kg al día) pudieran ser útiles para profilaxia en personas con heridas excesivamente contaminadas.</w:t>
      </w:r>
    </w:p>
    <w:p w14:paraId="176C5D99" w14:textId="77777777" w:rsidR="00093A32" w:rsidRDefault="00093A32">
      <w:pPr>
        <w:pStyle w:val="BodyText"/>
        <w:spacing w:after="160" w:line="257" w:lineRule="auto"/>
        <w:ind w:firstLine="0"/>
        <w:sectPr w:rsidR="00093A32" w:rsidSect="00093A32">
          <w:headerReference w:type="even" r:id="rId168"/>
          <w:headerReference w:type="default" r:id="rId169"/>
          <w:footerReference w:type="even" r:id="rId170"/>
          <w:footerReference w:type="default" r:id="rId171"/>
          <w:footnotePr>
            <w:numFmt w:val="chicago"/>
          </w:footnotePr>
          <w:type w:val="continuous"/>
          <w:pgSz w:w="8501" w:h="13022"/>
          <w:pgMar w:top="708" w:right="805" w:bottom="440" w:left="770" w:header="0" w:footer="12" w:gutter="0"/>
          <w:cols w:space="720"/>
          <w:noEndnote/>
          <w:docGrid w:linePitch="360"/>
          <w15:footnoteColumns w:val="1"/>
        </w:sectPr>
      </w:pPr>
      <w:r>
        <w:rPr>
          <w:rFonts w:ascii="Arial" w:eastAsia="Arial" w:hAnsi="Arial" w:cs="Arial"/>
          <w:b/>
          <w:bCs/>
          <w:i/>
          <w:iCs/>
          <w:w w:val="70"/>
          <w:sz w:val="32"/>
          <w:szCs w:val="32"/>
        </w:rPr>
        <w:t>Clostridium perfringens,</w:t>
      </w:r>
      <w:r>
        <w:rPr>
          <w:rFonts w:ascii="Arial" w:eastAsia="Arial" w:hAnsi="Arial" w:cs="Arial"/>
          <w:b/>
          <w:bCs/>
          <w:w w:val="70"/>
          <w:sz w:val="32"/>
          <w:szCs w:val="32"/>
        </w:rPr>
        <w:t xml:space="preserve"> intoxicación alimentaria </w:t>
      </w: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intoxicación por alimentos se caracteriza por un cuadro de diarrea acuosa, dolor cólico en la zona mesoepigástrica, que va de moderado a intenso, todo ello de comienzo repentino. Pocas veces hay vómitos y fiebre y los síntomas suelen mostrar resolución en el término de 24 h. El lapso breve de incubación y de evolución, así como la ausencia de fiebre en casi todos los pacientes permite diferenciar la enfermedad alimentaria por </w:t>
      </w:r>
      <w:r>
        <w:rPr>
          <w:rFonts w:ascii="Times New Roman" w:eastAsia="Times New Roman" w:hAnsi="Times New Roman" w:cs="Times New Roman"/>
          <w:i/>
          <w:iCs/>
          <w:sz w:val="16"/>
          <w:szCs w:val="16"/>
        </w:rPr>
        <w:t>Clostridium perfringens,</w:t>
      </w:r>
      <w:r>
        <w:t xml:space="preserve"> de otras entidades, shigelosis y salmonelosis, y la poca frecuencia de los vómitos y el periodo más largo de incubación, se diferencian de los signos clínicos de enfermedades de origen alimentario vinculadas con metales pesados, enterotoxinas de </w:t>
      </w:r>
      <w:r>
        <w:rPr>
          <w:rFonts w:ascii="Times New Roman" w:eastAsia="Times New Roman" w:hAnsi="Times New Roman" w:cs="Times New Roman"/>
          <w:i/>
          <w:iCs/>
          <w:sz w:val="16"/>
          <w:szCs w:val="16"/>
        </w:rPr>
        <w:t>Staphylococcus aureus,</w:t>
      </w:r>
      <w:r>
        <w:t xml:space="preserve"> así como toxinas de pescados y mariscos. El cuadro diarreico causado por la enterotoxina de </w:t>
      </w:r>
      <w:r>
        <w:rPr>
          <w:rFonts w:ascii="Times New Roman" w:eastAsia="Times New Roman" w:hAnsi="Times New Roman" w:cs="Times New Roman"/>
          <w:i/>
          <w:iCs/>
          <w:sz w:val="16"/>
          <w:szCs w:val="16"/>
        </w:rPr>
        <w:t>Bacillus cereus</w:t>
      </w:r>
      <w:r>
        <w:t xml:space="preserve"> puede ser idéntico al producido por </w:t>
      </w:r>
      <w:r>
        <w:rPr>
          <w:rFonts w:ascii="Times New Roman" w:eastAsia="Times New Roman" w:hAnsi="Times New Roman" w:cs="Times New Roman"/>
          <w:i/>
          <w:iCs/>
          <w:sz w:val="16"/>
          <w:szCs w:val="16"/>
        </w:rPr>
        <w:t>C. perfringens</w:t>
      </w:r>
      <w:r>
        <w:t xml:space="preserve"> (véase apéndice VI, “Síndromes clínicos que surgen en enfermedades de origen alimentario”). La enteritis necrótica (conocida en algunas partes como pigbel) es causa de cuadros graves y fallecimiento atribuibles a la intoxicación por </w:t>
      </w:r>
      <w:r>
        <w:rPr>
          <w:rFonts w:ascii="Times New Roman" w:eastAsia="Times New Roman" w:hAnsi="Times New Roman" w:cs="Times New Roman"/>
          <w:i/>
          <w:iCs/>
          <w:sz w:val="16"/>
          <w:szCs w:val="16"/>
        </w:rPr>
        <w:t>C. perfringens</w:t>
      </w:r>
      <w:r>
        <w:t xml:space="preserve"> de origen alimentario en niños de Papua, Nueva Guinea.</w:t>
      </w:r>
    </w:p>
    <w:p w14:paraId="334F645D" w14:textId="77777777" w:rsidR="00093A32" w:rsidRDefault="00093A32">
      <w:pPr>
        <w:pStyle w:val="BodyText"/>
        <w:ind w:firstLine="0"/>
      </w:pPr>
      <w:r>
        <w:rPr>
          <w:b/>
          <w:bCs/>
        </w:rPr>
        <w:t>C</w:t>
      </w:r>
      <w:r>
        <w:rPr>
          <w:b/>
          <w:bCs/>
          <w:sz w:val="13"/>
          <w:szCs w:val="13"/>
        </w:rPr>
        <w:t>AUSAS</w:t>
      </w:r>
      <w:r>
        <w:rPr>
          <w:b/>
          <w:bCs/>
        </w:rPr>
        <w:t xml:space="preserve">: </w:t>
      </w:r>
      <w:r>
        <w:t xml:space="preserve">La intoxicación por alimentos proviene de una toxina termolábil producida in vivo por </w:t>
      </w:r>
      <w:r>
        <w:rPr>
          <w:rFonts w:ascii="Times New Roman" w:eastAsia="Times New Roman" w:hAnsi="Times New Roman" w:cs="Times New Roman"/>
          <w:i/>
          <w:iCs/>
          <w:sz w:val="16"/>
          <w:szCs w:val="16"/>
        </w:rPr>
        <w:t>C. perfringens</w:t>
      </w:r>
      <w:r>
        <w:t xml:space="preserve"> tipo A; el tipo C ocasiona enteritis necròtica.</w:t>
      </w:r>
    </w:p>
    <w:p w14:paraId="07CA1CF4"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Clostridium perfringens</w:t>
      </w:r>
      <w:r>
        <w:t xml:space="preserve"> muestra distribución amplísima en el entorno y suele estar en carne de res y aves. Las esporas pueden sobrevivir la cocción; germinan y se multiplican durante las etapas de enfriamiento lento y almacenamiento a temperaturas de 20 a 60°C. Una vez ingeridos los microorganismos, surgen síntomas causados por la enterotoxina producida por ellos en la zona inferior de los intestinos. Entre los platillos que suelen causar la enfermedad están los preparados con carne de res y pollo, salsas espesas y alimentos secos o precocidos. La infección por lo común surge después de consumir alimentos en banquetes o diversas instituciones (como escuelas y campamentos), o bien los que suministran proveedores o restaurantes en que se prepara gran cantidad de viandas y se conservan calientes durante periodos largos. La enfermedad no es transmisible en forma directa, es decir, de una persona a otra.</w:t>
      </w:r>
    </w:p>
    <w:p w14:paraId="6FC575F5" w14:textId="77777777" w:rsidR="00093A32" w:rsidRDefault="00093A32">
      <w:pPr>
        <w:pStyle w:val="BodyText"/>
        <w:spacing w:after="100" w:line="271" w:lineRule="auto"/>
        <w:ind w:firstLine="360"/>
        <w:rPr>
          <w:sz w:val="16"/>
          <w:szCs w:val="16"/>
        </w:rPr>
      </w:pPr>
      <w:r>
        <w:t xml:space="preserve">El </w:t>
      </w:r>
      <w:r>
        <w:rPr>
          <w:b/>
          <w:bCs/>
        </w:rPr>
        <w:t xml:space="preserve">periodo de incubación </w:t>
      </w:r>
      <w:r>
        <w:t xml:space="preserve">es de 6 a 24 h, por lo común de 8 a 12 horas. </w:t>
      </w:r>
      <w:r>
        <w:rPr>
          <w:b/>
          <w:bCs/>
        </w:rPr>
        <w:t>M</w:t>
      </w:r>
      <w:r>
        <w:rPr>
          <w:b/>
          <w:bCs/>
          <w:sz w:val="13"/>
          <w:szCs w:val="13"/>
        </w:rPr>
        <w:t>ÉTODOS DIAGNÓSTICOS</w:t>
      </w:r>
      <w:r>
        <w:rPr>
          <w:b/>
          <w:bCs/>
        </w:rPr>
        <w:t xml:space="preserve">: </w:t>
      </w:r>
      <w:r>
        <w:t xml:space="preserve">La flora fecal de personas sanas suele contener </w:t>
      </w:r>
      <w:r>
        <w:rPr>
          <w:rFonts w:ascii="Times New Roman" w:eastAsia="Times New Roman" w:hAnsi="Times New Roman" w:cs="Times New Roman"/>
          <w:i/>
          <w:iCs/>
          <w:sz w:val="16"/>
          <w:szCs w:val="16"/>
        </w:rPr>
        <w:t xml:space="preserve">C. perfringens, </w:t>
      </w:r>
      <w:r>
        <w:t xml:space="preserve">por lo tanto, para corroborar el diagnóstico de la intoxicación en personas enfermas se necesita que haya 106 esporas del microorganismo/g de excremento obtenido en término de 48 h de haber comenzado la enfermedad. El diagnóstico también puede ser sugerido por la detección de la enterotoxina del microorganismo en excrementos, por medio de estuches comerciales. Para confirmar que la causa es </w:t>
      </w:r>
      <w:r>
        <w:rPr>
          <w:rFonts w:ascii="Times New Roman" w:eastAsia="Times New Roman" w:hAnsi="Times New Roman" w:cs="Times New Roman"/>
          <w:i/>
          <w:iCs/>
          <w:sz w:val="16"/>
          <w:szCs w:val="16"/>
        </w:rPr>
        <w:t>C. perfringens,</w:t>
      </w:r>
      <w:r>
        <w:t xml:space="preserve"> el número de microorganismos en el alimento supuestamente patógeno (desde el punto de vista epidemiológico) debe ser como mínimo 105/g. </w:t>
      </w:r>
      <w:r>
        <w:rPr>
          <w:rFonts w:ascii="Times New Roman" w:eastAsia="Times New Roman" w:hAnsi="Times New Roman" w:cs="Times New Roman"/>
          <w:i/>
          <w:iCs/>
          <w:sz w:val="16"/>
          <w:szCs w:val="16"/>
        </w:rPr>
        <w:t>C. perfringens</w:t>
      </w:r>
      <w:r>
        <w:t xml:space="preserve"> es un anaerobio, pero no se necesita un medio especial de transporte porque las esporas son resistentes. Hay que obtener muestras de excremento y no del material rectal por medio de aplicador. </w:t>
      </w:r>
      <w:r>
        <w:rPr>
          <w:b/>
          <w:bCs/>
        </w:rPr>
        <w:t>T</w:t>
      </w:r>
      <w:r>
        <w:rPr>
          <w:b/>
          <w:bCs/>
          <w:sz w:val="13"/>
          <w:szCs w:val="13"/>
        </w:rPr>
        <w:t>RATAMIENTO</w:t>
      </w:r>
      <w:r>
        <w:rPr>
          <w:b/>
          <w:bCs/>
        </w:rPr>
        <w:t xml:space="preserve">: </w:t>
      </w:r>
      <w:r>
        <w:t xml:space="preserve">Por lo común, no se necesita tratamiento. Como ocurre con otras infecciones agudas de vías gastrointestinales, conviene en ocasiones la rehidratación oral o a veces la reposición de soluciones y electrólitos por vía intravenosa para impedir o combatir la deshidratación. No está indicada la administración de antimicrobianos. Aislamiento del paciente hospitalizado: Se recomiendan precauciones estándar. </w:t>
      </w:r>
      <w:r>
        <w:rPr>
          <w:b/>
          <w:bCs/>
        </w:rPr>
        <w:t>M</w:t>
      </w:r>
      <w:r>
        <w:rPr>
          <w:b/>
          <w:bCs/>
          <w:sz w:val="13"/>
          <w:szCs w:val="13"/>
        </w:rPr>
        <w:t>EDIDAS PREVENTIVAS</w:t>
      </w:r>
      <w:r>
        <w:rPr>
          <w:b/>
          <w:bCs/>
        </w:rPr>
        <w:t xml:space="preserve">: </w:t>
      </w:r>
      <w:r>
        <w:t xml:space="preserve">Las medidas de este tipo consisten en limitar la proliferación de </w:t>
      </w:r>
      <w:r>
        <w:rPr>
          <w:rFonts w:ascii="Times New Roman" w:eastAsia="Times New Roman" w:hAnsi="Times New Roman" w:cs="Times New Roman"/>
          <w:i/>
          <w:iCs/>
          <w:sz w:val="16"/>
          <w:szCs w:val="16"/>
        </w:rPr>
        <w:t>C. perfringens</w:t>
      </w:r>
      <w:r>
        <w:t xml:space="preserve"> al cocer muy bien los alimentos y conservarlos a temperaturas mayores de 60°C o menores de 7°C. Los platillos de carne deben ser servidos calientes poco después de prepararlos por cocción. Nunca se conservarán los alimentos a temperatura ambiente para que se enfríen y es necesario refrigerarlos después que se les retira de los aparatos de calentamiento o las mesas de servicio. Habrá que calentar de nuevo los alimentos a 74°C, como mínimo, antes de servirlos. Habrá que fraccionar en cantidades pequeñas alimentos asados, caldos y platillos similares para cocción y refrigeración, y así limitar el lapso en el cual están a temperatura en que se multiplica </w:t>
      </w:r>
      <w:r>
        <w:rPr>
          <w:rFonts w:ascii="Times New Roman" w:eastAsia="Times New Roman" w:hAnsi="Times New Roman" w:cs="Times New Roman"/>
          <w:i/>
          <w:iCs/>
          <w:sz w:val="16"/>
          <w:szCs w:val="16"/>
        </w:rPr>
        <w:t>C. perfringens.</w:t>
      </w:r>
    </w:p>
    <w:p w14:paraId="054B367D" w14:textId="77777777" w:rsidR="00093A32" w:rsidRDefault="00093A32">
      <w:pPr>
        <w:pStyle w:val="Bodytext70"/>
        <w:spacing w:after="0"/>
      </w:pPr>
      <w:r>
        <w:t>Coccidioidomicosis</w:t>
      </w:r>
    </w:p>
    <w:p w14:paraId="3175FDE7" w14:textId="77777777" w:rsidR="00093A32" w:rsidRDefault="00093A32">
      <w:pPr>
        <w:pStyle w:val="BodyText"/>
        <w:ind w:firstLine="0"/>
      </w:pPr>
      <w:r>
        <w:rPr>
          <w:b/>
          <w:bCs/>
        </w:rPr>
        <w:t>M</w:t>
      </w:r>
      <w:r>
        <w:rPr>
          <w:b/>
          <w:bCs/>
          <w:sz w:val="13"/>
          <w:szCs w:val="13"/>
        </w:rPr>
        <w:t>ANIFESTACIONES CLÍNICAS</w:t>
      </w:r>
      <w:r>
        <w:rPr>
          <w:b/>
          <w:bCs/>
        </w:rPr>
        <w:t xml:space="preserve">: </w:t>
      </w:r>
      <w:r>
        <w:t>La infección primaria se adquiere por vía respiratoria; en 60% de los niños es asintomática y cede por sí sola. El cuadro sintomático puede asemejarse al de influencia, pues incluye malestar generalizado, fiebre, tos, mialgia, cefalea y dolor retrosternal. A veces se observan maculopápulas eritematosas difusas, eritema multiforme, eritema nudoso, artralgias, o estas dos últimas manifestaciones juntas, y pudieran ser las únicas evidencias clínicas en algunos niños. Las lesiones pulmonares crónicas son raras, pero incluso 5% de los niños infectados pueden mostrar residuos asintomáticos en radiografías de pulmones (como quistes o lesiones numulares).</w:t>
      </w:r>
    </w:p>
    <w:p w14:paraId="169A4C01" w14:textId="77777777" w:rsidR="00093A32" w:rsidRDefault="00093A32">
      <w:pPr>
        <w:pStyle w:val="BodyText"/>
        <w:ind w:firstLine="0"/>
      </w:pPr>
      <w:r>
        <w:rPr>
          <w:b/>
          <w:bCs/>
        </w:rPr>
        <w:t>C</w:t>
      </w:r>
      <w:r>
        <w:rPr>
          <w:b/>
          <w:bCs/>
          <w:sz w:val="13"/>
          <w:szCs w:val="13"/>
        </w:rPr>
        <w:t>AUSAS</w:t>
      </w:r>
      <w:r>
        <w:rPr>
          <w:b/>
          <w:bCs/>
        </w:rPr>
        <w:t xml:space="preserve">: </w:t>
      </w:r>
      <w:r>
        <w:t xml:space="preserve">La intoxicación por alimentos proviene de una toxina termolábil producida in vivo por </w:t>
      </w:r>
      <w:r>
        <w:rPr>
          <w:rFonts w:ascii="Times New Roman" w:eastAsia="Times New Roman" w:hAnsi="Times New Roman" w:cs="Times New Roman"/>
          <w:i/>
          <w:iCs/>
          <w:sz w:val="16"/>
          <w:szCs w:val="16"/>
        </w:rPr>
        <w:t>C. perfringens</w:t>
      </w:r>
      <w:r>
        <w:t xml:space="preserve"> tipo A; el tipo C ocasiona enteritis necròtica.</w:t>
      </w:r>
    </w:p>
    <w:p w14:paraId="386287F9"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Clostridium perfringens</w:t>
      </w:r>
      <w:r>
        <w:t xml:space="preserve"> muestra distribución amplísima en el entorno y suele estar en carne de res y aves. Las esporas pueden sobrevivir la cocción; germinan y se multiplican durante las etapas de enfriamiento lento y almacenamiento a temperaturas de 20 a 60°C. Una vez ingeridos los microorganismos, surgen síntomas causados por la enterotoxina producida por ellos en la zona inferior de los intestinos. Entre los platillos que suelen causar la enfermedad están los preparados con carne de res y pollo, salsas espesas y alimentos secos o precocidos. La infección por lo común surge después de consumir alimentos en banquetes o diversas instituciones (como escuelas y campamentos), o bien los que suministran proveedores o restaurantes en que se prepara gran cantidad de viandas y se conservan calientes durante periodos largos. La enfermedad no es transmisible en forma directa, es decir, de una persona a otra.</w:t>
      </w:r>
    </w:p>
    <w:p w14:paraId="37072B7B" w14:textId="77777777" w:rsidR="00093A32" w:rsidRDefault="00093A32">
      <w:pPr>
        <w:pStyle w:val="BodyText"/>
        <w:spacing w:after="100" w:line="271" w:lineRule="auto"/>
        <w:ind w:firstLine="360"/>
        <w:rPr>
          <w:sz w:val="16"/>
          <w:szCs w:val="16"/>
        </w:rPr>
      </w:pPr>
      <w:r>
        <w:t xml:space="preserve">El </w:t>
      </w:r>
      <w:r>
        <w:rPr>
          <w:b/>
          <w:bCs/>
        </w:rPr>
        <w:t xml:space="preserve">periodo de incubación </w:t>
      </w:r>
      <w:r>
        <w:t xml:space="preserve">es de 6 a 24 h, por lo común de 8 a 12 horas. </w:t>
      </w:r>
      <w:r>
        <w:rPr>
          <w:b/>
          <w:bCs/>
        </w:rPr>
        <w:t>M</w:t>
      </w:r>
      <w:r>
        <w:rPr>
          <w:b/>
          <w:bCs/>
          <w:sz w:val="13"/>
          <w:szCs w:val="13"/>
        </w:rPr>
        <w:t>ÉTODOS DIAGNÓSTICOS</w:t>
      </w:r>
      <w:r>
        <w:rPr>
          <w:b/>
          <w:bCs/>
        </w:rPr>
        <w:t xml:space="preserve">: </w:t>
      </w:r>
      <w:r>
        <w:t xml:space="preserve">La flora fecal de personas sanas suele contener </w:t>
      </w:r>
      <w:r>
        <w:rPr>
          <w:rFonts w:ascii="Times New Roman" w:eastAsia="Times New Roman" w:hAnsi="Times New Roman" w:cs="Times New Roman"/>
          <w:i/>
          <w:iCs/>
          <w:sz w:val="16"/>
          <w:szCs w:val="16"/>
        </w:rPr>
        <w:t xml:space="preserve">C. perfringens, </w:t>
      </w:r>
      <w:r>
        <w:t xml:space="preserve">por lo tanto, para corroborar el diagnóstico de la intoxicación en personas enfermas se necesita que haya 106 esporas del microorganismo/g de excremento obtenido en término de 48 h de haber comenzado la enfermedad. El diagnóstico también puede ser sugerido por la detección de la enterotoxina del microorganismo en excrementos, por medio de estuches comerciales. Para confirmar que la causa es </w:t>
      </w:r>
      <w:r>
        <w:rPr>
          <w:rFonts w:ascii="Times New Roman" w:eastAsia="Times New Roman" w:hAnsi="Times New Roman" w:cs="Times New Roman"/>
          <w:i/>
          <w:iCs/>
          <w:sz w:val="16"/>
          <w:szCs w:val="16"/>
        </w:rPr>
        <w:t>C. perfringens,</w:t>
      </w:r>
      <w:r>
        <w:t xml:space="preserve"> el número de microorganismos en el alimento supuestamente patógeno (desde el punto de vista epidemiológico) debe ser como mínimo 105/g. </w:t>
      </w:r>
      <w:r>
        <w:rPr>
          <w:rFonts w:ascii="Times New Roman" w:eastAsia="Times New Roman" w:hAnsi="Times New Roman" w:cs="Times New Roman"/>
          <w:i/>
          <w:iCs/>
          <w:sz w:val="16"/>
          <w:szCs w:val="16"/>
        </w:rPr>
        <w:t>C. perfringens</w:t>
      </w:r>
      <w:r>
        <w:t xml:space="preserve"> es un anaerobio, pero no se necesita un medio especial de transporte porque las esporas son resistentes. Hay que obtener muestras de excremento y no del material rectal por medio de aplicador. </w:t>
      </w:r>
      <w:r>
        <w:rPr>
          <w:b/>
          <w:bCs/>
        </w:rPr>
        <w:t>T</w:t>
      </w:r>
      <w:r>
        <w:rPr>
          <w:b/>
          <w:bCs/>
          <w:sz w:val="13"/>
          <w:szCs w:val="13"/>
        </w:rPr>
        <w:t>RATAMIENTO</w:t>
      </w:r>
      <w:r>
        <w:rPr>
          <w:b/>
          <w:bCs/>
        </w:rPr>
        <w:t xml:space="preserve">: </w:t>
      </w:r>
      <w:r>
        <w:t xml:space="preserve">Por lo común, no se necesita tratamiento. Como ocurre con otras infecciones agudas de vías gastrointestinales, conviene en ocasiones la rehidratación oral o a veces la reposición de soluciones y electrólitos por vía intravenosa para impedir o combatir la deshidratación. No está indicada la administración de antimicrobianos. Aislamiento del paciente hospitalizado: Se recomiendan precauciones estándar. </w:t>
      </w:r>
      <w:r>
        <w:rPr>
          <w:b/>
          <w:bCs/>
        </w:rPr>
        <w:t>M</w:t>
      </w:r>
      <w:r>
        <w:rPr>
          <w:b/>
          <w:bCs/>
          <w:sz w:val="13"/>
          <w:szCs w:val="13"/>
        </w:rPr>
        <w:t>EDIDAS PREVENTIVAS</w:t>
      </w:r>
      <w:r>
        <w:rPr>
          <w:b/>
          <w:bCs/>
        </w:rPr>
        <w:t xml:space="preserve">: </w:t>
      </w:r>
      <w:r>
        <w:t xml:space="preserve">Las medidas de este tipo consisten en limitar la proliferación de </w:t>
      </w:r>
      <w:r>
        <w:rPr>
          <w:rFonts w:ascii="Times New Roman" w:eastAsia="Times New Roman" w:hAnsi="Times New Roman" w:cs="Times New Roman"/>
          <w:i/>
          <w:iCs/>
          <w:sz w:val="16"/>
          <w:szCs w:val="16"/>
        </w:rPr>
        <w:t>C. perfringens</w:t>
      </w:r>
      <w:r>
        <w:t xml:space="preserve"> al cocer muy bien los alimentos y conservarlos a temperaturas mayores de 60°C o menores de 7°C. Los platillos de carne deben ser servidos calientes poco después de prepararlos por cocción. Nunca se conservarán los alimentos a temperatura ambiente para que se enfríen y es necesario refrigerarlos después que se les retira de los aparatos de calentamiento o las mesas de servicio. Habrá que calentar de nuevo los alimentos a 74°C, como mínimo, antes de servirlos. Habrá que fraccionar en cantidades pequeñas alimentos asados, caldos y platillos similares para cocción y refrigeración, y así limitar el lapso en el cual están a temperatura en que se multiplica </w:t>
      </w:r>
      <w:r>
        <w:rPr>
          <w:rFonts w:ascii="Times New Roman" w:eastAsia="Times New Roman" w:hAnsi="Times New Roman" w:cs="Times New Roman"/>
          <w:i/>
          <w:iCs/>
          <w:sz w:val="16"/>
          <w:szCs w:val="16"/>
        </w:rPr>
        <w:t>C. perfringens.</w:t>
      </w:r>
    </w:p>
    <w:p w14:paraId="291BE73A" w14:textId="77777777" w:rsidR="00093A32" w:rsidRDefault="00093A32">
      <w:pPr>
        <w:pStyle w:val="Bodytext70"/>
        <w:spacing w:after="0"/>
      </w:pPr>
      <w:r>
        <w:t>Coccidioidomicosis</w:t>
      </w:r>
    </w:p>
    <w:p w14:paraId="2E8251DF" w14:textId="77777777" w:rsidR="00093A32" w:rsidRDefault="00093A32">
      <w:pPr>
        <w:pStyle w:val="BodyText"/>
        <w:ind w:firstLine="0"/>
        <w:sectPr w:rsidR="00093A32" w:rsidSect="00093A32">
          <w:headerReference w:type="even" r:id="rId172"/>
          <w:headerReference w:type="default" r:id="rId173"/>
          <w:footerReference w:type="even" r:id="rId174"/>
          <w:footerReference w:type="default" r:id="rId175"/>
          <w:footnotePr>
            <w:numFmt w:val="chicago"/>
          </w:footnotePr>
          <w:type w:val="continuous"/>
          <w:pgSz w:w="8501" w:h="13022"/>
          <w:pgMar w:top="708" w:right="805" w:bottom="440" w:left="770" w:header="0" w:footer="12" w:gutter="0"/>
          <w:cols w:space="720"/>
          <w:noEndnote/>
          <w:docGrid w:linePitch="360"/>
          <w15:footnoteColumns w:val="1"/>
        </w:sectPr>
      </w:pPr>
      <w:r>
        <w:rPr>
          <w:b/>
          <w:bCs/>
        </w:rPr>
        <w:t>M</w:t>
      </w:r>
      <w:r>
        <w:rPr>
          <w:b/>
          <w:bCs/>
          <w:sz w:val="13"/>
          <w:szCs w:val="13"/>
        </w:rPr>
        <w:t>ANIFESTACIONES CLÍNICAS</w:t>
      </w:r>
      <w:r>
        <w:rPr>
          <w:b/>
          <w:bCs/>
        </w:rPr>
        <w:t xml:space="preserve">: </w:t>
      </w:r>
      <w:r>
        <w:t>La infección primaria se adquiere por vía respiratoria; en 60% de los niños es asintomática y cede por sí sola. El cuadro sintomático puede asemejarse al de influencia, pues incluye malestar generalizado, fiebre, tos, mialgia, cefalea y dolor retrosternal. A veces se observan maculopápulas eritematosas difusas, eritema multiforme, eritema nudoso, artralgias, o estas dos últimas manifestaciones juntas, y pudieran ser las únicas evidencias clínicas en algunos niños. Las lesiones pulmonares crónicas son raras, pero incluso 5% de los niños infectados pueden mostrar residuos asintomáticos en radiografías de pulmones (como quistes o lesiones numulares).</w:t>
      </w:r>
    </w:p>
    <w:p w14:paraId="588B9B85" w14:textId="77777777" w:rsidR="00093A32" w:rsidRDefault="00093A32">
      <w:pPr>
        <w:pStyle w:val="BodyText"/>
        <w:ind w:firstLine="360"/>
      </w:pPr>
      <w:r>
        <w:t>Rara vez la infección primaria es extrapulmonar, suele surgir después de traumatismo e incluye lesiones cutáneas o infecciones de tejidos blandos que se acompañan de linfadenitis regional.</w:t>
      </w:r>
    </w:p>
    <w:p w14:paraId="7EDA3067" w14:textId="77777777" w:rsidR="00093A32" w:rsidRDefault="00093A32">
      <w:pPr>
        <w:pStyle w:val="BodyText"/>
        <w:ind w:firstLine="360"/>
      </w:pPr>
      <w:r>
        <w:t>En menos de 1% de las personas infectadas surge enfermedad diseminada. Los sitios afectados son piel, huesos y articulaciones, sistema nervioso central (SNC) y pulmones. En lactantes es frecuente observar diseminación limitada a uno o más sitios. La meningitis es una manifestación grave de enfermedad diseminada y casi siempre es letal sin tratamiento. Rara vez la infección es congénita.</w:t>
      </w:r>
    </w:p>
    <w:p w14:paraId="137FDFA0"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Coccidioides immitis</w:t>
      </w:r>
      <w:r>
        <w:t xml:space="preserve"> es un hongo dimórfico. En la tierra, existe en fase de hifas. Los artroconidios infectantes (como esporas) producidos por algunas hifas viajan por el aire e infectan al hospedador después de inhalación o inoculación. En los tejidos, las esporas se agrandan hasta formar esférulas y una vez maduras, liberan en esporas que terminarán por transformarse en nuevas esférulas y así continuar el ciclo tisular. </w:t>
      </w: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Coccidioides immitis</w:t>
      </w:r>
      <w:r>
        <w:t xml:space="preserve"> aparece ampliamente en el suelo y es endémico en la zona suroccidental de Estados Unidos, que incluye California, Arizona, Nuevo México, Texas y el área noroccidental de Utah; el norte de México y algunas zonas de América Central y del Sur. Las personas se infectan al inhalar artroconidios en el polvo que arrastró el viento. En áreas endémicas después de tormentas de polvo, sismos, excavaciones arqueológicas o actividades de recreo puede haber grupos de casos de coccidioidomicosis. Después de la infección se logra inmunidad permanente. No hay transmisión directa de la enfermedad de una persona a otra. Personas de raza negra y filipinos, embarazadas, neonatos, ancianos e individuos inmunodeficientes muestran un mayor peligro de diseminación y muerte. En personas que no residen habitualmente en regiones endémicas, pero que las han visitado, surge una proporción pequeña de casos nuevos.</w:t>
      </w:r>
    </w:p>
    <w:p w14:paraId="2BB2A883" w14:textId="77777777" w:rsidR="00093A32" w:rsidRDefault="00093A32">
      <w:pPr>
        <w:pStyle w:val="BodyText"/>
        <w:ind w:firstLine="360"/>
      </w:pPr>
      <w:r>
        <w:t xml:space="preserve">De manera típica, el </w:t>
      </w:r>
      <w:r>
        <w:rPr>
          <w:b/>
          <w:bCs/>
        </w:rPr>
        <w:t xml:space="preserve">periodo de incubación </w:t>
      </w:r>
      <w:r>
        <w:t>va de 10 a 16 días; el lapso mínimo es menos de una semana, y el máximo, de alrededor de un mes.</w:t>
      </w:r>
    </w:p>
    <w:p w14:paraId="7FF76395"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de coccidioidomicosis se confirma mejor con métodos serológicos, histopatológicos y cultivos. Los primeros son útiles para confirmar la sospecha diagnóstica y aportan información pronóstica. Es posible detectar la respuesta de inmunoglobulina (Ig) M por medio de la prueba de aglutinación de látex, inmunoanálisis enzimático </w:t>
      </w:r>
      <w:r>
        <w:rPr>
          <w:i/>
          <w:iCs/>
        </w:rPr>
        <w:t>(</w:t>
      </w:r>
      <w:r>
        <w:rPr>
          <w:rFonts w:ascii="Times New Roman" w:eastAsia="Times New Roman" w:hAnsi="Times New Roman" w:cs="Times New Roman"/>
          <w:i/>
          <w:iCs/>
          <w:sz w:val="16"/>
          <w:szCs w:val="16"/>
        </w:rPr>
        <w:t>enzyme immunoassay</w:t>
      </w:r>
      <w:r>
        <w:rPr>
          <w:i/>
          <w:iCs/>
        </w:rPr>
        <w:t>,</w:t>
      </w:r>
      <w:r>
        <w:t xml:space="preserve"> EIA), inmunodifusión o prueba de precipitina en tubo. La aglutinación de látex es un estudio rápido y sensible, aunque inespecífico, por lo que si los resultados son positivos, deberán ser confirmados por otras pruebas. Una a tres semanas de que surgen los síntomas aparece la respuesta de IgM, y dura tres a cuatro meses en casi todos los pacientes.</w:t>
      </w:r>
    </w:p>
    <w:p w14:paraId="50B43B98" w14:textId="77777777" w:rsidR="00093A32" w:rsidRDefault="00093A32">
      <w:pPr>
        <w:pStyle w:val="BodyText"/>
        <w:ind w:firstLine="360"/>
      </w:pPr>
      <w:r>
        <w:t>La respuesta de IgG se detecta por inmunodifusión, EIA o fijación de complemento. Los anticuerpos que fijan complemento del suero por lo común están en concentraciones pequeñas y su presencia es transitoria en caso de que no haya síntomas o sean leves. Surgen títulos persistentemente altos (</w:t>
      </w:r>
      <w:r>
        <w:rPr>
          <w:rFonts w:ascii="Arial" w:eastAsia="Arial" w:hAnsi="Arial" w:cs="Arial"/>
        </w:rPr>
        <w:t>&gt;</w:t>
      </w:r>
      <w:r>
        <w:t>1:32) en la enfermedad grave y casi siempre en la infección diseminada. Los anticuerpos en líquido cefalorraquídeo (LCR) también se detectan por fijación de complemento. El incremento de los títulos en suero y LCR denota enfermedad progresiva, y el decremento, mejoría. Hay que interpretar con cautela los títulos bajos o no detectables en pacientes inmunodeficientes.</w:t>
      </w:r>
    </w:p>
    <w:p w14:paraId="2D5F28C9" w14:textId="77777777" w:rsidR="00093A32" w:rsidRDefault="00093A32">
      <w:pPr>
        <w:pStyle w:val="BodyText"/>
        <w:ind w:firstLine="360"/>
      </w:pPr>
      <w:r>
        <w:t xml:space="preserve">Es posible identificar en muestras infectadas de líquidos corporales y en fragmentos de biopsia de lesiones cutáneas u órganos, esférulas que llegan a tener 80 pm de diámetro. Es posible cultivar el microorganismo, pero conlleva riesgos para el personal de laboratorio porque las esférulas se transforman en micelios con artroconidios en las placas para medios de cultivos. Si la imagen del cultivo es sospechosa, habrá que sellarlo y manipularlo con equipo y métodos especiales de seguridad. Una sonda de DNA permite identificar </w:t>
      </w:r>
      <w:r>
        <w:rPr>
          <w:rFonts w:ascii="Times New Roman" w:eastAsia="Times New Roman" w:hAnsi="Times New Roman" w:cs="Times New Roman"/>
          <w:i/>
          <w:iCs/>
          <w:sz w:val="16"/>
          <w:szCs w:val="16"/>
        </w:rPr>
        <w:t>C. immitis</w:t>
      </w:r>
      <w:r>
        <w:t xml:space="preserve"> en cultivos, con lo que disminuye el peligro de exposición al hongo infectante.</w:t>
      </w:r>
    </w:p>
    <w:p w14:paraId="36AC7672" w14:textId="77777777" w:rsidR="00093A32" w:rsidRDefault="00093A32">
      <w:pPr>
        <w:pStyle w:val="BodyText"/>
        <w:ind w:firstLine="360"/>
      </w:pPr>
      <w:r>
        <w:t xml:space="preserve">La prueba cutánea puede ser un indicador útil de exposición, y en consecuencia se utiliza más bien en estudios epidemiológicos. La reacción de hipersensibilidad tardía a una prueba cutánea con coccidioidina o esferulina denota que hubo o hay infección. La prueba con esferulina se prefiere para uso general, y la conversión de un resultado negativo a otro positivo en un sujeto con un síndrome clínicamente compatible sugiere cabalmente coccidioidomicosis. La positividad de la prueba cutánea puede ocurrir 10 a 45 días después de la infección, pero la anergia es frecuente en casos de enfermedad diseminada. En la actualidad ya no se practican dichas pruebas cutáneas en Estados Unidos. </w:t>
      </w:r>
      <w:r>
        <w:rPr>
          <w:b/>
          <w:bCs/>
        </w:rPr>
        <w:t>T</w:t>
      </w:r>
      <w:r>
        <w:rPr>
          <w:b/>
          <w:bCs/>
          <w:sz w:val="13"/>
          <w:szCs w:val="13"/>
        </w:rPr>
        <w:t>RATAMIENTO</w:t>
      </w:r>
      <w:r>
        <w:rPr>
          <w:b/>
          <w:bCs/>
        </w:rPr>
        <w:t xml:space="preserve">: </w:t>
      </w:r>
      <w:r>
        <w:t>Los antimicóticos no están indicados en casos de infección primaria no complicada.</w:t>
      </w:r>
    </w:p>
    <w:p w14:paraId="1148BB93" w14:textId="77777777" w:rsidR="00093A32" w:rsidRDefault="00093A32">
      <w:pPr>
        <w:pStyle w:val="BodyText"/>
        <w:ind w:firstLine="360"/>
      </w:pPr>
      <w:r>
        <w:t>La anfotericina B es el fármaco recomendado en un inicio contra la infección diseminada, progresiva y grave que no afecta el sistema nervioso central (SNC), así como en sujetos inmunodeficientes, que incluyen niños con infección por virus de inmunodeficiencia humana (VIH) (véase “Fármacos contra micosis invasoras y graves de otro tipo”, cuadro 4-6). Se recomienda usar fluconazol en infección del SNC. Dicho antimicótico y el itraconazol también son útiles para tratar infecciones diseminadas menos graves. En el caso de infecciones del SNC que no mejoren con fluconazol, al tratamiento intravenoso con anfotericina B se agrega la instilación repetitiva de dicho fármaco por vía intrarraquídea (LCR). El reservorio subcutáneo facilita la administración en el espacio cisternal o el ventrículo lateral del encéfalo. Con el fluconazol y el itraconazol ingeribles se ha logrado suprimir meningitis por coccidios de muchos pacientes, pero se necesita administrarlos permanentemente. Es recomendable consultar con un especialista para tratar a los niños con ataque meníngeo.</w:t>
      </w:r>
    </w:p>
    <w:p w14:paraId="2E50A6CF" w14:textId="77777777" w:rsidR="00093A32" w:rsidRDefault="00093A32">
      <w:pPr>
        <w:pStyle w:val="BodyText"/>
        <w:ind w:firstLine="360"/>
      </w:pPr>
      <w:r>
        <w:t>En algunas infecciones localizadas con fondo de saco, fístulas o abscesos, se ha instilado localmente la anfotericina B o utilizado para lavar heridas.</w:t>
      </w:r>
    </w:p>
    <w:p w14:paraId="671C13B6" w14:textId="77777777" w:rsidR="00093A32" w:rsidRDefault="00093A32">
      <w:pPr>
        <w:pStyle w:val="BodyText"/>
        <w:ind w:firstLine="360"/>
      </w:pPr>
      <w:r>
        <w:t>La duración de la terapia con anfotericina B es variable y depende de los sitios afectados, la respuesta clínica y los resultados de estudios micológicos e inmunológicos. En términos generales, se continúa el tratamiento hasta que las pruebas clínicas y de laboratorio indiquen que ha cedido la infección activa. El lapso mínimo del tratamiento en el caso de la coccidioidomicosis diseminada es de un mes. No se ha precisado la duración necesaria del tratamiento con productos azólicos, excepto en individuos con infección del SNC o infección primaria por VIH, situaciones en las cuales la terapia supresora debe ser permanente.</w:t>
      </w:r>
    </w:p>
    <w:p w14:paraId="3B2D1604" w14:textId="77777777" w:rsidR="00093A32" w:rsidRDefault="00093A32">
      <w:pPr>
        <w:pStyle w:val="BodyText"/>
        <w:ind w:firstLine="360"/>
      </w:pPr>
      <w:r>
        <w:t>En el caso de lesiones localizadas, sintomáticas, persistentes, resistentes o progresivas se ha recomendado practicar el desbridamiento quirúrgico o la extirpación de lesiones en hueso y pulmones.</w:t>
      </w:r>
    </w:p>
    <w:p w14:paraId="4BB27CAE" w14:textId="77777777" w:rsidR="00093A32" w:rsidRDefault="00093A32">
      <w:pPr>
        <w:pStyle w:val="BodyText"/>
        <w:ind w:firstLine="360"/>
        <w:sectPr w:rsidR="00093A32" w:rsidSect="00093A32">
          <w:headerReference w:type="even" r:id="rId176"/>
          <w:headerReference w:type="default" r:id="rId177"/>
          <w:footerReference w:type="even" r:id="rId178"/>
          <w:footerReference w:type="default" r:id="rId179"/>
          <w:headerReference w:type="first" r:id="rId180"/>
          <w:footerReference w:type="first" r:id="rId181"/>
          <w:footnotePr>
            <w:numFmt w:val="chicago"/>
          </w:footnotePr>
          <w:pgSz w:w="8501" w:h="13022"/>
          <w:pgMar w:top="708" w:right="805" w:bottom="440" w:left="770" w:header="0" w:footer="3" w:gutter="0"/>
          <w:cols w:space="720"/>
          <w:noEndnote/>
          <w:titlePg/>
          <w:docGrid w:linePitch="360"/>
          <w15:footnoteColumns w:val="1"/>
        </w:sectPr>
      </w:pPr>
      <w:r>
        <w:t xml:space="preserve">Aislamiento del paciente hospitalizado: Se recomienda seguir precauciones estándar. Se tendrá enorme cuidado al manipular, cambiar y descartar apósitos, enyesados y materiales similares que hayan sido contaminados con artroconidios. </w:t>
      </w:r>
      <w:r>
        <w:rPr>
          <w:b/>
          <w:bCs/>
        </w:rPr>
        <w:t>M</w:t>
      </w:r>
      <w:r>
        <w:rPr>
          <w:b/>
          <w:bCs/>
          <w:sz w:val="13"/>
          <w:szCs w:val="13"/>
        </w:rPr>
        <w:t>EDIDAS PREVENTIVAS</w:t>
      </w:r>
      <w:r>
        <w:rPr>
          <w:b/>
          <w:bCs/>
        </w:rPr>
        <w:t xml:space="preserve">: </w:t>
      </w:r>
      <w:r>
        <w:t>Se recomienda emprender medidas para erradicar el polvo en zonas endémicas, sitios de construcción, proyectos arqueológicos y puntos en los que otras actividades perturben excesivamente la tierra y el suelo. Es importante recomendar a personas inmunodeficientes que residen en áreas epidémicas o que viajarán a ellas que no se expongan a actividades que puedan dispersar esporas al producir aerosoles en la tierra contaminada.</w:t>
      </w:r>
    </w:p>
    <w:p w14:paraId="19660843" w14:textId="77777777" w:rsidR="00093A32" w:rsidRDefault="00093A32">
      <w:pPr>
        <w:pStyle w:val="Bodytext70"/>
        <w:spacing w:after="0"/>
      </w:pPr>
      <w:r>
        <w:t>Coronavirus</w:t>
      </w:r>
    </w:p>
    <w:p w14:paraId="7A57BF23" w14:textId="77777777" w:rsidR="00093A32" w:rsidRDefault="00093A32">
      <w:pPr>
        <w:pStyle w:val="BodyText"/>
        <w:ind w:firstLine="0"/>
      </w:pPr>
      <w:r>
        <w:rPr>
          <w:b/>
          <w:bCs/>
        </w:rPr>
        <w:t>M</w:t>
      </w:r>
      <w:r>
        <w:rPr>
          <w:b/>
          <w:bCs/>
          <w:sz w:val="13"/>
          <w:szCs w:val="13"/>
        </w:rPr>
        <w:t>ANIFESTACIONES CLÍNICAS</w:t>
      </w:r>
      <w:r>
        <w:rPr>
          <w:b/>
          <w:bCs/>
        </w:rPr>
        <w:t xml:space="preserve">: </w:t>
      </w:r>
      <w:r>
        <w:t>Las partículas en cuestión constituyen una causa frecuente de infección de vías respiratorias superiores en adultos y niños, y en ocasiones se ha dicho que intervienen en la enfermedad de la porción baja de dichas vías. Los signos y los síntomas son compatibles con los trastornos mencionados. Según algunos informes, las partículas similares a coronavirus, de las cuales no se ha confirmado su identidad como este tipo de virus, han ocasionado varios brotes de diarrea en salas de cuna y, en raras ocasiones, enteritis necrosante neonatal.</w:t>
      </w:r>
    </w:p>
    <w:p w14:paraId="134CA8E3" w14:textId="77777777" w:rsidR="00093A32" w:rsidRDefault="00093A32">
      <w:pPr>
        <w:pStyle w:val="BodyText"/>
        <w:ind w:firstLine="0"/>
      </w:pPr>
      <w:r>
        <w:rPr>
          <w:b/>
          <w:bCs/>
        </w:rPr>
        <w:t>C</w:t>
      </w:r>
      <w:r>
        <w:rPr>
          <w:b/>
          <w:bCs/>
          <w:sz w:val="13"/>
          <w:szCs w:val="13"/>
        </w:rPr>
        <w:t>AUSAS</w:t>
      </w:r>
      <w:r>
        <w:rPr>
          <w:b/>
          <w:bCs/>
        </w:rPr>
        <w:t xml:space="preserve">: </w:t>
      </w:r>
      <w:r>
        <w:t>Las partículas patológicas son virus de RNA grandes (80 a 160 nm de diámetro), recubiertas de una capa liposoluble y pleomórficas (esféricas o elípticas). Se han identificado como mínimo dos grupos antigénicos diferentes de los coronavirus de vías respiratorias.</w:t>
      </w:r>
    </w:p>
    <w:p w14:paraId="7EF7DA03" w14:textId="77777777" w:rsidR="00093A32" w:rsidRDefault="00093A32">
      <w:pPr>
        <w:pStyle w:val="BodyText"/>
        <w:ind w:firstLine="0"/>
      </w:pPr>
      <w:r>
        <w:rPr>
          <w:b/>
          <w:bCs/>
        </w:rPr>
        <w:t>A</w:t>
      </w:r>
      <w:r>
        <w:rPr>
          <w:b/>
          <w:bCs/>
          <w:sz w:val="13"/>
          <w:szCs w:val="13"/>
        </w:rPr>
        <w:t>SPECTOS EPIDEMIOLÓGICOS</w:t>
      </w:r>
      <w:r>
        <w:rPr>
          <w:b/>
          <w:bCs/>
        </w:rPr>
        <w:t xml:space="preserve">: </w:t>
      </w:r>
      <w:r>
        <w:t>Los coronavirus de seres humanos son transmitidos por secreciones de vías respiratorias, y tal mecanismo es facilitado por el contacto muy cercano. Algunos coronavirus de animales tienen antígenos comunes con las cepas de seres humanos, pero ninguna prueba ha corroborado que los animales sean reservorios o vectores de la enfermedad en personas. La distribución de los virus es mundial. En climas templados surgen brotes en el invierno, y durante ellos los niños de corta edad son los que muestran la frecuencia máxima de infección. Se desconoce el periodo de contagiosidad, pero quizá persista durante todo el tiempo en que duran los síntomas de vías respiratorias.</w:t>
      </w:r>
    </w:p>
    <w:p w14:paraId="0573A539" w14:textId="77777777" w:rsidR="00093A32" w:rsidRDefault="00093A32">
      <w:pPr>
        <w:pStyle w:val="BodyText"/>
        <w:ind w:firstLine="360"/>
      </w:pPr>
      <w:r>
        <w:t xml:space="preserve">El </w:t>
      </w:r>
      <w:r>
        <w:rPr>
          <w:b/>
          <w:bCs/>
        </w:rPr>
        <w:t xml:space="preserve">periodo de incubación </w:t>
      </w:r>
      <w:r>
        <w:t>por lo común es de dos a cinco días.</w:t>
      </w:r>
    </w:p>
    <w:p w14:paraId="40962033" w14:textId="77777777" w:rsidR="00093A32" w:rsidRDefault="00093A32">
      <w:pPr>
        <w:pStyle w:val="BodyText"/>
        <w:ind w:firstLine="0"/>
      </w:pPr>
      <w:r>
        <w:rPr>
          <w:b/>
          <w:bCs/>
        </w:rPr>
        <w:t>M</w:t>
      </w:r>
      <w:r>
        <w:rPr>
          <w:b/>
          <w:bCs/>
          <w:sz w:val="13"/>
          <w:szCs w:val="13"/>
        </w:rPr>
        <w:t>ÉTODOS DIAGNÓSTICOS</w:t>
      </w:r>
      <w:r>
        <w:rPr>
          <w:b/>
          <w:bCs/>
        </w:rPr>
        <w:t xml:space="preserve">: </w:t>
      </w:r>
      <w:r>
        <w:t>No se cuenta en el comercio con métodos diagnósticos, que incluirían cuantificaciones de anticuerpos, en el caso de infecciones por coronavirus en seres humanos. Tampoco se pueden aislar casi ninguna de las cepas por los métodos utilizados comúnmente en los laboratorios de virología diagnóstica. Se han visualizado las partículas víricas por el microscopio inmunoelectrónico, y los antígenos víricos se han conocido por inmunoensayo.</w:t>
      </w:r>
    </w:p>
    <w:p w14:paraId="5A5E099C" w14:textId="77777777" w:rsidR="00093A32" w:rsidRDefault="00093A32">
      <w:pPr>
        <w:pStyle w:val="BodyText"/>
        <w:ind w:firstLine="0"/>
      </w:pPr>
      <w:r>
        <w:rPr>
          <w:b/>
          <w:bCs/>
        </w:rPr>
        <w:t>T</w:t>
      </w:r>
      <w:r>
        <w:rPr>
          <w:b/>
          <w:bCs/>
          <w:sz w:val="13"/>
          <w:szCs w:val="13"/>
        </w:rPr>
        <w:t>RATAMIENTO</w:t>
      </w:r>
      <w:r>
        <w:rPr>
          <w:b/>
          <w:bCs/>
        </w:rPr>
        <w:t xml:space="preserve">: </w:t>
      </w:r>
      <w:r>
        <w:t>Medidas de sostén.</w:t>
      </w:r>
    </w:p>
    <w:p w14:paraId="64A391A4"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cumplir con precauciones estándar.</w:t>
      </w:r>
    </w:p>
    <w:p w14:paraId="721736F6"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7FA47B44" w14:textId="77777777" w:rsidR="00093A32" w:rsidRDefault="00093A32">
      <w:pPr>
        <w:pStyle w:val="Bodytext70"/>
        <w:spacing w:after="0"/>
      </w:pPr>
      <w:r>
        <w:t>Criptosporidiosis</w:t>
      </w:r>
    </w:p>
    <w:p w14:paraId="6419E24D" w14:textId="77777777" w:rsidR="00093A32" w:rsidRDefault="00093A32">
      <w:pPr>
        <w:pStyle w:val="BodyText"/>
        <w:ind w:firstLine="0"/>
      </w:pPr>
      <w:r>
        <w:rPr>
          <w:b/>
          <w:bCs/>
        </w:rPr>
        <w:t>M</w:t>
      </w:r>
      <w:r>
        <w:rPr>
          <w:b/>
          <w:bCs/>
          <w:sz w:val="13"/>
          <w:szCs w:val="13"/>
        </w:rPr>
        <w:t>ANIFESTACIONES CLÍNICAS</w:t>
      </w:r>
      <w:r>
        <w:rPr>
          <w:b/>
          <w:bCs/>
        </w:rPr>
        <w:t xml:space="preserve">: </w:t>
      </w:r>
      <w:r>
        <w:t>La manifestación más común de la criptosporidiosis es la diarrea acuosa, no sanguinolenta y frecuente, aunque la infección puede ser asintomática. Otros síntomas incluyen cólicos abdominales, fatiga, vómitos, anorexia y pérdida ponderal. La fiebre y los vómitos son relativamente frecuentes en niños, y a veces originan el diagnóstico erróneo de gastroenteritis vírica. En personas inmunocompetentes infectadas, incluidos niños, el cuadro diarreico cede por sí solo y suele durar uno a 20 días (media, 10 días). En personas inmunodeficientes, y en particular las infectadas por el virus de inmunodeficiencia humana (VIH), puede surgir diarrea intensa y crónica que origine malnutrición, deshidratación y muerte. En las personas mencionadas surgen a veces infecciones de pulmones, vías biliares o la forma diseminada de la infección, aunque ésta por lo regular está circunscrita a las vías gastrointestinales.</w:t>
      </w:r>
    </w:p>
    <w:p w14:paraId="500B94E4" w14:textId="77777777" w:rsidR="00093A32" w:rsidRDefault="00093A32">
      <w:pPr>
        <w:pStyle w:val="BodyText"/>
        <w:spacing w:after="100"/>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Cryptosporidium parvum</w:t>
      </w:r>
      <w:r>
        <w:t xml:space="preserve"> es un protozoo coccidio esporógeno. Los oocistos son excretados en los excrementos y constituyen la forma infecciosa. la enfermedad hasta que se restauren las medidas para tratar adecuadamente los abastos de agua. Los niños con diarrea no deben utilizar el agua de sitios de recreo públicos (como piscinas, lagos o represas) y los que tienen el diagnóstico de criptosporidiosis tampoco deben utilizar tales masas de agua durante dos semanas después de haber tenido los síntomas.</w:t>
      </w:r>
    </w:p>
    <w:p w14:paraId="675BBE66" w14:textId="77777777" w:rsidR="00093A32" w:rsidRDefault="00093A32">
      <w:pPr>
        <w:pStyle w:val="Bodytext70"/>
        <w:spacing w:after="0"/>
      </w:pPr>
      <w:r>
        <w:rPr>
          <w:i/>
          <w:iCs/>
        </w:rPr>
        <w:t>Cryptococcus neoformans,</w:t>
      </w:r>
      <w:r>
        <w:t xml:space="preserve"> infecciones</w:t>
      </w:r>
    </w:p>
    <w:p w14:paraId="45A44B83"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(Criptococosis)</w:t>
      </w:r>
    </w:p>
    <w:p w14:paraId="4AF1AF1D"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 infección primaria se adquiere al inhalar los elementos micóticos en aerosol provenientes de la tierra contaminada, y a menudo es asintomática o leve. El ataque de pulmones, en caso de ser sintomático, se caracteriza por tos, hemoptisis, dolor retrosternal y síntomas de orden general. En las radiografías de tórax se observan a veces un nódulo solitario o infiltrados focales o difusos. A veces hay diseminación hematógena al sistema nervioso central, huesos y articulaciones, piel y mucosas, pero tal situación es rara en niños sin defectos en la inmunidad mediadas por células (personas que han recibido un trasplante, niños con cánceres, enfermedades del tejido conjuntivo o sarcoidosis, o personas que reciben corticosteroides por largo tiempo). Por lo común están infectados varios sitios, pero predominan las manifestaciones de ataque en un solo sitio. La meningitis criptococócica, que es la forma más grave y frecuente de la enfermedad, suele seguir una evolución indolente. Los síntomas son característicos de meningitis, meningoencefalitis o lesiones expansivas, pero a veces se manifiestan sólo por cambios en el comportamiento. En individuos con infección por virus de inmunodeficiencia humana (VIH) se observa fungemia criptococócica sin ataque manifiesto de órganos, pero tal situación es rara en niños. </w:t>
      </w:r>
      <w:r>
        <w:rPr>
          <w:b/>
          <w:bCs/>
        </w:rPr>
        <w:t>C</w:t>
      </w:r>
      <w:r>
        <w:rPr>
          <w:b/>
          <w:bCs/>
          <w:sz w:val="13"/>
          <w:szCs w:val="13"/>
        </w:rPr>
        <w:t>AUSAS</w:t>
      </w:r>
      <w:r>
        <w:rPr>
          <w:b/>
          <w:bCs/>
        </w:rPr>
        <w:t xml:space="preserve">: </w:t>
      </w:r>
      <w:r>
        <w:t xml:space="preserve">La única especie del género </w:t>
      </w:r>
      <w:r>
        <w:rPr>
          <w:rFonts w:ascii="Times New Roman" w:eastAsia="Times New Roman" w:hAnsi="Times New Roman" w:cs="Times New Roman"/>
          <w:i/>
          <w:iCs/>
          <w:sz w:val="16"/>
          <w:szCs w:val="16"/>
        </w:rPr>
        <w:t>Cryptococcus</w:t>
      </w:r>
      <w:r>
        <w:t xml:space="preserve"> que ha sido considerada como patógeno para los seres humanos es </w:t>
      </w:r>
      <w:r>
        <w:rPr>
          <w:rFonts w:ascii="Times New Roman" w:eastAsia="Times New Roman" w:hAnsi="Times New Roman" w:cs="Times New Roman"/>
          <w:i/>
          <w:iCs/>
          <w:sz w:val="16"/>
          <w:szCs w:val="16"/>
        </w:rPr>
        <w:t>Cryptococcus neoformans,</w:t>
      </w:r>
      <w:r>
        <w:t xml:space="preserve"> levadura encapsulada que prolifera a 37 grados centígrados.</w:t>
      </w:r>
    </w:p>
    <w:p w14:paraId="34D7D329"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Cryptococcus neoformans</w:t>
      </w:r>
      <w:r>
        <w:t xml:space="preserve"> var neoformans se aísla más bien de la tierra y el suelo contaminados de excrementos de aves, y es la que provoca casi todos los casos de infecciones en seres humanos, sobre todo en los hospedadores inmunodeficientes. </w:t>
      </w:r>
      <w:r>
        <w:rPr>
          <w:rFonts w:ascii="Times New Roman" w:eastAsia="Times New Roman" w:hAnsi="Times New Roman" w:cs="Times New Roman"/>
          <w:i/>
          <w:iCs/>
          <w:sz w:val="16"/>
          <w:szCs w:val="16"/>
        </w:rPr>
        <w:t>Cryptococcus neoformans</w:t>
      </w:r>
      <w:r>
        <w:t xml:space="preserve"> var gattii aparece más a menudo en regiones tropicales y subtropicales y origina un cuadro patológico principalmente en personas inmunocompetentes. No hay transmisión directa, es decir, de una persona a otra. Las especies de </w:t>
      </w:r>
      <w:r>
        <w:rPr>
          <w:rFonts w:ascii="Times New Roman" w:eastAsia="Times New Roman" w:hAnsi="Times New Roman" w:cs="Times New Roman"/>
          <w:i/>
          <w:iCs/>
          <w:sz w:val="16"/>
          <w:szCs w:val="16"/>
        </w:rPr>
        <w:t>Cryptococcus</w:t>
      </w:r>
      <w:r>
        <w:t xml:space="preserve"> infectan 5 a 10% de los adultos con síndrome de inmunodeficiencia adquirida, pero la infección es rara en niños infectados por el virus de dicha enfermedad.</w:t>
      </w:r>
    </w:p>
    <w:p w14:paraId="56CCADC0" w14:textId="77777777" w:rsidR="00093A32" w:rsidRDefault="00093A32">
      <w:pPr>
        <w:pStyle w:val="BodyText"/>
        <w:ind w:firstLine="360"/>
      </w:pPr>
      <w:r>
        <w:t xml:space="preserve">El </w:t>
      </w:r>
      <w:r>
        <w:rPr>
          <w:b/>
          <w:bCs/>
        </w:rPr>
        <w:t xml:space="preserve">periodo de incubación </w:t>
      </w:r>
      <w:r>
        <w:t>se desconoce.</w:t>
      </w:r>
    </w:p>
    <w:p w14:paraId="05328122" w14:textId="77777777" w:rsidR="00093A32" w:rsidRDefault="00093A32">
      <w:pPr>
        <w:pStyle w:val="BodyText"/>
        <w:ind w:firstLine="0"/>
        <w:sectPr w:rsidR="00093A32" w:rsidSect="00093A32">
          <w:headerReference w:type="even" r:id="rId182"/>
          <w:headerReference w:type="default" r:id="rId183"/>
          <w:footerReference w:type="even" r:id="rId184"/>
          <w:footerReference w:type="default" r:id="rId185"/>
          <w:headerReference w:type="first" r:id="rId186"/>
          <w:footerReference w:type="first" r:id="rId187"/>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Es posible visualizar levaduras encapsuladas por medio de tinta china u otros colorantes de muestras de líquido cefalorraquídeo (LCR) que contengan 10</w:t>
      </w:r>
      <w:r>
        <w:rPr>
          <w:vertAlign w:val="superscript"/>
        </w:rPr>
        <w:t>3</w:t>
      </w:r>
      <w:r>
        <w:t xml:space="preserve"> o más unidades formadoras de colonias de la levadura por mililitro. Para el diagnóstico definitivo se necesita aislar el microorganismo de líquidos corporales o muestras de tejido. El procedimiento más sensible para identificar </w:t>
      </w:r>
      <w:r>
        <w:rPr>
          <w:rFonts w:ascii="Times New Roman" w:eastAsia="Times New Roman" w:hAnsi="Times New Roman" w:cs="Times New Roman"/>
          <w:i/>
          <w:iCs/>
          <w:sz w:val="16"/>
          <w:szCs w:val="16"/>
        </w:rPr>
        <w:t>C. neoformans</w:t>
      </w:r>
      <w:r>
        <w:t xml:space="preserve"> en cultivos de sangre es la lisis-centrifugación. Es mejor no utilizar medios que contengan cicloheximida, que inhibe la proliferación del microorganismo patógeno. La glucosa- agar de Sabouraud es un medio óptimo para aislar </w:t>
      </w:r>
      <w:r>
        <w:rPr>
          <w:rFonts w:ascii="Times New Roman" w:eastAsia="Times New Roman" w:hAnsi="Times New Roman" w:cs="Times New Roman"/>
          <w:i/>
          <w:iCs/>
          <w:sz w:val="16"/>
          <w:szCs w:val="16"/>
        </w:rPr>
        <w:t>Cryptococcus</w:t>
      </w:r>
      <w:r>
        <w:t xml:space="preserve">, de esputo, material de lavado broncopulmonar, tejidos o muestras de LCR. En la muestra de dicho líquido quizá se detecten pocos microorganismos y a veces se necesita extraer un gran volumen del mismo para identificar los gérmenes. Métodos excelentes para un diagnóstico </w:t>
      </w:r>
    </w:p>
    <w:p w14:paraId="7D90BBC8" w14:textId="77777777" w:rsidR="00093A32" w:rsidRDefault="00093A32">
      <w:pPr>
        <w:pStyle w:val="BodyText"/>
        <w:ind w:firstLine="0"/>
      </w:pPr>
      <w:r>
        <w:t>rápido son la pruebas de aglutinación de látex y el inmunoanálisis enzimàtico para detectar el antígeno polisacárido capsular de criptococo de muestras en suero o LCR. El antígeno se detecta en muestras de LCR o suero incluso en un 90% de pacientes con meningitis criptococócica. Es útil la prueba en busca de anticuerpos criptococócicos, pero la cutirreacción carece de utilidad.</w:t>
      </w:r>
    </w:p>
    <w:p w14:paraId="3480DDF8" w14:textId="77777777" w:rsidR="00093A32" w:rsidRDefault="00093A32">
      <w:pPr>
        <w:pStyle w:val="BodyText"/>
        <w:ind w:firstLine="0"/>
      </w:pPr>
      <w:r>
        <w:rPr>
          <w:b/>
          <w:bCs/>
        </w:rPr>
        <w:t>T</w:t>
      </w:r>
      <w:r>
        <w:rPr>
          <w:b/>
          <w:bCs/>
          <w:sz w:val="13"/>
          <w:szCs w:val="13"/>
        </w:rPr>
        <w:t>RATAMIENTO</w:t>
      </w:r>
      <w:r>
        <w:rPr>
          <w:b/>
          <w:bCs/>
        </w:rPr>
        <w:t xml:space="preserve">: </w:t>
      </w:r>
      <w:r>
        <w:t xml:space="preserve">La anfotericina B (véase “Fármacos contra micosis invasoras y otras de gravedad en niños”, sección 4), en combinación con flucitosina ingerible, son los fármacos indicados en niños con infecciones meníngeas y de otro tipo, graves por criptococos. Es posible que la combinación de un antimicótico con la flucitosina sea mejor que la sola anfotericina B. La flucitosina induce supresión de médula ósea, lo cual obliga a menudo a interrumpir su administración particularmente en pacientes infectados de VIH. Otros efectos adversos de la flucitosina incluye disfunción hepática y renal, erupciones, diarreas, colitis ulcerosa y hemorragia de vías gastrointestinales, especialmente en personas con hiperazoemia. Cuando se utiliza flucitosina, habrá que medir frecuentemente las concentraciones séricas de ella y conservarlas entre 40 y 60 mg/ml. Los niños con meningitis deben recibir combinaciones de fármacos durante dos semanas como mínimo, o hasta que los cultivos de LCR señalen negatividad; habrá que completar con la anfotericina B como mínimo seis semanas de tratamiento total o 10 semanas si se administra fluconazol para la terapia. En vez de la anfotericina B regular en niños con disfunción renal, cabe recurrir a las presentaciones lípidas del fármaco. Los niños con infecciones por VIH deben ser tratados por periodos largos, en comparación con los pacientes no infectados por dichos virus, y también pacientes inmunosuprimidos como consecuencia de trasplante de órganos. Las personas con enfermedad menos grave pueden ser tratadas con fluconazol o itraconazol, pero son escasos los datos del empleo de ambos en niños con infección por </w:t>
      </w:r>
      <w:r>
        <w:rPr>
          <w:rFonts w:ascii="Times New Roman" w:eastAsia="Times New Roman" w:hAnsi="Times New Roman" w:cs="Times New Roman"/>
          <w:i/>
          <w:iCs/>
          <w:sz w:val="16"/>
          <w:szCs w:val="16"/>
        </w:rPr>
        <w:t>C. neoformans.</w:t>
      </w:r>
      <w:r>
        <w:t xml:space="preserve"> Otra opción terapéutica posible en el caso de pacientes infectados por VIH con la forma menos grave de la enfermedad es la combinación de fluconazol y flucitosina; los efectos tóxicos propios de este régimen suelen limitar su utilidad.</w:t>
      </w:r>
    </w:p>
    <w:p w14:paraId="4ED045BD" w14:textId="77777777" w:rsidR="00093A32" w:rsidRDefault="00093A32">
      <w:pPr>
        <w:pStyle w:val="BodyText"/>
        <w:ind w:firstLine="360"/>
      </w:pPr>
      <w:r>
        <w:t>Los niños con infección por VIH que han completado la terapia inicial contra la criptococosis deben recibir durante toda su vida fármacos supresores, como serían dosis bajas de fluconazol. Se cuenta con datos en adultos (pero no en niños), sobre la interrupción de esta profilaxia secundaria después de la reconstitución inmunitaria como consecuencia del uso de antirretrovíricos fuertemente activos.</w:t>
      </w:r>
    </w:p>
    <w:p w14:paraId="27104AEA"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3716B206" w14:textId="77777777" w:rsidR="00093A32" w:rsidRDefault="00093A32">
      <w:pPr>
        <w:pStyle w:val="Other0"/>
        <w:spacing w:after="100" w:line="257" w:lineRule="auto"/>
        <w:ind w:firstLine="0"/>
      </w:pPr>
      <w:r>
        <w:rPr>
          <w:b/>
          <w:bCs/>
          <w:smallCaps/>
          <w:sz w:val="20"/>
          <w:szCs w:val="20"/>
        </w:rPr>
        <w:t>M</w:t>
      </w:r>
      <w:r>
        <w:rPr>
          <w:b/>
          <w:bCs/>
          <w:smallCaps/>
          <w:sz w:val="16"/>
          <w:szCs w:val="16"/>
        </w:rPr>
        <w:t>edidas profilácticas</w:t>
      </w:r>
      <w:r>
        <w:rPr>
          <w:b/>
          <w:bCs/>
          <w:smallCaps/>
          <w:sz w:val="20"/>
          <w:szCs w:val="20"/>
        </w:rPr>
        <w:t>:</w:t>
      </w:r>
      <w:r>
        <w:t xml:space="preserve"> Ninguna.</w:t>
      </w:r>
    </w:p>
    <w:p w14:paraId="7CB860CD" w14:textId="77777777" w:rsidR="00093A32" w:rsidRDefault="00093A32">
      <w:pPr>
        <w:pStyle w:val="Bodytext70"/>
        <w:spacing w:after="0"/>
      </w:pPr>
      <w:r>
        <w:t xml:space="preserve">Cutánea, </w:t>
      </w:r>
      <w:r>
        <w:rPr>
          <w:i/>
          <w:iCs/>
        </w:rPr>
        <w:t>larva migrans</w:t>
      </w:r>
    </w:p>
    <w:p w14:paraId="48668365" w14:textId="77777777" w:rsidR="00093A32" w:rsidRDefault="00093A32">
      <w:pPr>
        <w:pStyle w:val="BodyText"/>
        <w:ind w:firstLine="0"/>
      </w:pPr>
      <w:r>
        <w:rPr>
          <w:b/>
          <w:bCs/>
        </w:rPr>
        <w:t>M</w:t>
      </w:r>
      <w:r>
        <w:rPr>
          <w:b/>
          <w:bCs/>
          <w:sz w:val="13"/>
          <w:szCs w:val="13"/>
        </w:rPr>
        <w:t>ANIFESTACIONES CLÍNICAS</w:t>
      </w:r>
      <w:r>
        <w:rPr>
          <w:b/>
          <w:bCs/>
        </w:rPr>
        <w:t xml:space="preserve">: </w:t>
      </w:r>
      <w:r>
        <w:t>Las larvas de nematodos producen pápulas rojizas pruriginosas en el sitio de penetración en la piel, cuadro llamado como larva migrans. Conforme las larvas migran por la piel y avanzan milímetros o centímetros al día, surgen “túneles o bulas serpiginosas pruriginosas”. La actividad de las larvas puede continuar semanas o meses, aunque al final cesa por sí sola. El túnel serpiginoso que avanza por debajo de la piel, con el prurito intenso que ocasiona, es un signo prácticamente patognomónico. En raras ocasiones, cuando hay un número importante de parásitos, la neumonitis puede ser grave (síndrome de Loeffler) y después de lesiones de la piel puede surgir miositis. A veces las larvas llegan al intestino y ocasionan enteritis eosinófila.</w:t>
      </w:r>
    </w:p>
    <w:p w14:paraId="1FCB9B53" w14:textId="77777777" w:rsidR="00093A32" w:rsidRDefault="00093A32">
      <w:pPr>
        <w:pStyle w:val="Bodytext70"/>
        <w:spacing w:after="0"/>
      </w:pPr>
      <w:r>
        <w:t>Coronavirus</w:t>
      </w:r>
    </w:p>
    <w:p w14:paraId="61128CA0" w14:textId="77777777" w:rsidR="00093A32" w:rsidRDefault="00093A32">
      <w:pPr>
        <w:pStyle w:val="BodyText"/>
        <w:ind w:firstLine="0"/>
      </w:pPr>
      <w:r>
        <w:rPr>
          <w:b/>
          <w:bCs/>
        </w:rPr>
        <w:t>M</w:t>
      </w:r>
      <w:r>
        <w:rPr>
          <w:b/>
          <w:bCs/>
          <w:sz w:val="13"/>
          <w:szCs w:val="13"/>
        </w:rPr>
        <w:t>ANIFESTACIONES CLÍNICAS</w:t>
      </w:r>
      <w:r>
        <w:rPr>
          <w:b/>
          <w:bCs/>
        </w:rPr>
        <w:t xml:space="preserve">: </w:t>
      </w:r>
      <w:r>
        <w:t>Las partículas en cuestión constituyen una causa frecuente de infección de vías respiratorias superiores en adultos y niños, y en ocasiones se ha dicho que intervienen en la enfermedad de la porción baja de dichas vías. Los signos y los síntomas son compatibles con los trastornos mencionados. Según algunos informes, las partículas similares a coronavirus, de las cuales no se ha confirmado su identidad como este tipo de virus, han ocasionado varios brotes de diarrea en salas de cuna y, en raras ocasiones, enteritis necrosante neonatal.</w:t>
      </w:r>
    </w:p>
    <w:p w14:paraId="1FA9CF49" w14:textId="77777777" w:rsidR="00093A32" w:rsidRDefault="00093A32">
      <w:pPr>
        <w:pStyle w:val="BodyText"/>
        <w:ind w:firstLine="0"/>
      </w:pPr>
      <w:r>
        <w:rPr>
          <w:b/>
          <w:bCs/>
        </w:rPr>
        <w:t>C</w:t>
      </w:r>
      <w:r>
        <w:rPr>
          <w:b/>
          <w:bCs/>
          <w:sz w:val="13"/>
          <w:szCs w:val="13"/>
        </w:rPr>
        <w:t>AUSAS</w:t>
      </w:r>
      <w:r>
        <w:rPr>
          <w:b/>
          <w:bCs/>
        </w:rPr>
        <w:t xml:space="preserve">: </w:t>
      </w:r>
      <w:r>
        <w:t>Las partículas patológicas son virus de RNA grandes (80 a 160 nm de diámetro), recubiertas de una capa liposoluble y pleomórficas (esféricas o elípticas). Se han identificado como mínimo dos grupos antigénicos diferentes de los coronavirus de vías respiratorias.</w:t>
      </w:r>
    </w:p>
    <w:p w14:paraId="5081F258" w14:textId="77777777" w:rsidR="00093A32" w:rsidRDefault="00093A32">
      <w:pPr>
        <w:pStyle w:val="BodyText"/>
        <w:ind w:firstLine="0"/>
      </w:pPr>
      <w:r>
        <w:rPr>
          <w:b/>
          <w:bCs/>
        </w:rPr>
        <w:t>A</w:t>
      </w:r>
      <w:r>
        <w:rPr>
          <w:b/>
          <w:bCs/>
          <w:sz w:val="13"/>
          <w:szCs w:val="13"/>
        </w:rPr>
        <w:t>SPECTOS EPIDEMIOLÓGICOS</w:t>
      </w:r>
      <w:r>
        <w:rPr>
          <w:b/>
          <w:bCs/>
        </w:rPr>
        <w:t xml:space="preserve">: </w:t>
      </w:r>
      <w:r>
        <w:t>Los coronavirus de seres humanos son transmitidos por secreciones de vías respiratorias, y tal mecanismo es facilitado por el contacto muy cercano. Algunos coronavirus de animales tienen antígenos comunes con las cepas de seres humanos, pero ninguna prueba ha corroborado que los animales sean reservorios o vectores de la enfermedad en personas. La distribución de los virus es mundial. En climas templados surgen brotes en el invierno, y durante ellos los niños de corta edad son los que muestran la frecuencia máxima de infección. Se desconoce el periodo de contagiosidad, pero quizá persista durante todo el tiempo en que duran los síntomas de vías respiratorias.</w:t>
      </w:r>
    </w:p>
    <w:p w14:paraId="243AF71B" w14:textId="77777777" w:rsidR="00093A32" w:rsidRDefault="00093A32">
      <w:pPr>
        <w:pStyle w:val="BodyText"/>
        <w:ind w:firstLine="360"/>
      </w:pPr>
      <w:r>
        <w:t xml:space="preserve">El </w:t>
      </w:r>
      <w:r>
        <w:rPr>
          <w:b/>
          <w:bCs/>
        </w:rPr>
        <w:t xml:space="preserve">periodo de incubación </w:t>
      </w:r>
      <w:r>
        <w:t>por lo común es de dos a cinco días.</w:t>
      </w:r>
    </w:p>
    <w:p w14:paraId="0526982F" w14:textId="77777777" w:rsidR="00093A32" w:rsidRDefault="00093A32">
      <w:pPr>
        <w:pStyle w:val="BodyText"/>
        <w:ind w:firstLine="0"/>
      </w:pPr>
      <w:r>
        <w:rPr>
          <w:b/>
          <w:bCs/>
        </w:rPr>
        <w:t>M</w:t>
      </w:r>
      <w:r>
        <w:rPr>
          <w:b/>
          <w:bCs/>
          <w:sz w:val="13"/>
          <w:szCs w:val="13"/>
        </w:rPr>
        <w:t>ÉTODOS DIAGNÓSTICOS</w:t>
      </w:r>
      <w:r>
        <w:rPr>
          <w:b/>
          <w:bCs/>
        </w:rPr>
        <w:t xml:space="preserve">: </w:t>
      </w:r>
      <w:r>
        <w:t>No se cuenta en el comercio con métodos diagnósticos, que incluirían cuantificaciones de anticuerpos, en el caso de infecciones por coronavirus en seres humanos. Tampoco se pueden aislar casi ninguna de las cepas por los métodos utilizados comúnmente en los laboratorios de virología diagnóstica. Se han visualizado las partículas víricas por el microscopio inmunoelectrónico, y los antígenos víricos se han conocido por inmunoensayo.</w:t>
      </w:r>
    </w:p>
    <w:p w14:paraId="34A90097" w14:textId="77777777" w:rsidR="00093A32" w:rsidRDefault="00093A32">
      <w:pPr>
        <w:pStyle w:val="BodyText"/>
        <w:ind w:firstLine="0"/>
      </w:pPr>
      <w:r>
        <w:rPr>
          <w:b/>
          <w:bCs/>
        </w:rPr>
        <w:t>T</w:t>
      </w:r>
      <w:r>
        <w:rPr>
          <w:b/>
          <w:bCs/>
          <w:sz w:val="13"/>
          <w:szCs w:val="13"/>
        </w:rPr>
        <w:t>RATAMIENTO</w:t>
      </w:r>
      <w:r>
        <w:rPr>
          <w:b/>
          <w:bCs/>
        </w:rPr>
        <w:t xml:space="preserve">: </w:t>
      </w:r>
      <w:r>
        <w:t>Medidas de sostén.</w:t>
      </w:r>
    </w:p>
    <w:p w14:paraId="52887F90"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cumplir con precauciones estándar.</w:t>
      </w:r>
    </w:p>
    <w:p w14:paraId="5992A7EE"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6A412F86" w14:textId="77777777" w:rsidR="00093A32" w:rsidRDefault="00093A32">
      <w:pPr>
        <w:pStyle w:val="Bodytext70"/>
        <w:spacing w:after="0"/>
      </w:pPr>
      <w:r>
        <w:t>Criptosporidiosis</w:t>
      </w:r>
    </w:p>
    <w:p w14:paraId="61C90E41" w14:textId="77777777" w:rsidR="00093A32" w:rsidRDefault="00093A32">
      <w:pPr>
        <w:pStyle w:val="BodyText"/>
        <w:ind w:firstLine="0"/>
      </w:pPr>
      <w:r>
        <w:rPr>
          <w:b/>
          <w:bCs/>
        </w:rPr>
        <w:t>M</w:t>
      </w:r>
      <w:r>
        <w:rPr>
          <w:b/>
          <w:bCs/>
          <w:sz w:val="13"/>
          <w:szCs w:val="13"/>
        </w:rPr>
        <w:t>ANIFESTACIONES CLÍNICAS</w:t>
      </w:r>
      <w:r>
        <w:rPr>
          <w:b/>
          <w:bCs/>
        </w:rPr>
        <w:t xml:space="preserve">: </w:t>
      </w:r>
      <w:r>
        <w:t>La manifestación más común de la criptosporidiosis es la diarrea acuosa, no sanguinolenta y frecuente, aunque la infección puede ser asintomática. Otros síntomas incluyen cólicos abdominales, fatiga, vómitos, anorexia y pérdida ponderal. La fiebre y los vómitos son relativamente frecuentes en niños, y a veces originan el diagnóstico erróneo de gastroenteritis vírica. En personas inmunocompetentes infectadas, incluidos niños, el cuadro diarreico cede por sí solo y suele durar uno a 20 días (media, 10 días). En personas inmunodeficientes, y en particular las infectadas por el virus de inmunodeficiencia humana (VIH), puede surgir diarrea intensa y crónica que origine malnutrición, deshidratación y muerte. En las personas mencionadas surgen a veces infecciones de pulmones, vías biliares o la forma diseminada de la infección, aunque ésta por lo regular está circunscrita a las vías gastrointestinales.</w:t>
      </w:r>
    </w:p>
    <w:p w14:paraId="7934C700" w14:textId="77777777" w:rsidR="00093A32" w:rsidRDefault="00093A32">
      <w:pPr>
        <w:pStyle w:val="BodyText"/>
        <w:ind w:firstLine="0"/>
        <w:sectPr w:rsidR="00093A32" w:rsidSect="00093A32">
          <w:headerReference w:type="even" r:id="rId188"/>
          <w:headerReference w:type="default" r:id="rId189"/>
          <w:footerReference w:type="even" r:id="rId190"/>
          <w:footerReference w:type="default" r:id="rId191"/>
          <w:headerReference w:type="first" r:id="rId192"/>
          <w:footerReference w:type="first" r:id="rId193"/>
          <w:footnotePr>
            <w:numFmt w:val="chicago"/>
          </w:footnotePr>
          <w:pgSz w:w="8501" w:h="13022"/>
          <w:pgMar w:top="708" w:right="805" w:bottom="440" w:left="770" w:header="0" w:footer="3" w:gutter="0"/>
          <w:cols w:space="720"/>
          <w:noEndnote/>
          <w:titlePg/>
          <w:docGrid w:linePitch="360"/>
          <w15:footnoteColumns w:val="1"/>
        </w:sectPr>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Cryptosporidium parvum</w:t>
      </w:r>
      <w:r>
        <w:t xml:space="preserve"> es un protozoo coccidio esporógeno. Los oocistos son excretados en los excrementos y constituyen la forma infecciosa.</w:t>
      </w:r>
    </w:p>
    <w:p w14:paraId="78C340B6"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Se ha identificado </w:t>
      </w:r>
      <w:r>
        <w:rPr>
          <w:rFonts w:ascii="Times New Roman" w:eastAsia="Times New Roman" w:hAnsi="Times New Roman" w:cs="Times New Roman"/>
          <w:i/>
          <w:iCs/>
          <w:sz w:val="16"/>
          <w:szCs w:val="16"/>
        </w:rPr>
        <w:t>Cryptosporidium parvum</w:t>
      </w:r>
      <w:r>
        <w:t xml:space="preserve"> en diversos hospedadores, incluidos mamíferos, aves y reptiles. Brotes extensos de origen hídrico han provenido de la contaminación de abastos de agua públicos y la exposición al agua en piscinas contaminadas. En los niños, la incidencia de la enfermedad alcanza su máximo en verano y comienzos del otoño que corresponde a la estación de natación al aire libre. Los seres humanos pueden contagiarse de ganado de granja, particularmente animales jóvenes, incluidos los retenidos en zoológicos de convivencia con niños o las mascotas. Se ha sabido de transmisión directa de una persona a otra y origina brotes en centros de atención pediátrica; las cifras publicadas de ataque han variado de 30 a 60%. </w:t>
      </w:r>
      <w:r>
        <w:rPr>
          <w:rFonts w:ascii="Times New Roman" w:eastAsia="Times New Roman" w:hAnsi="Times New Roman" w:cs="Times New Roman"/>
          <w:i/>
          <w:iCs/>
          <w:sz w:val="16"/>
          <w:szCs w:val="16"/>
        </w:rPr>
        <w:t>Cryptosporidium parvum</w:t>
      </w:r>
      <w:r>
        <w:t xml:space="preserve"> también ocasiona diarrea de los viajeros. El oocisto del parásito es resistente al cloro, por ello es de máxima importancia que los sistemas de filtración de agua funcionen de manera apropiada para la buena calidad de los abastos públicos de dicho líquido. Muchos de los filtros de arena utilizados en piscinas no eliminan los oocistos del agua contaminada.</w:t>
      </w:r>
    </w:p>
    <w:p w14:paraId="75966DBD" w14:textId="77777777" w:rsidR="00093A32" w:rsidRDefault="00093A32">
      <w:pPr>
        <w:pStyle w:val="BodyText"/>
        <w:ind w:firstLine="380"/>
      </w:pPr>
      <w:r>
        <w:t xml:space="preserve">La mediana del </w:t>
      </w:r>
      <w:r>
        <w:rPr>
          <w:b/>
          <w:bCs/>
        </w:rPr>
        <w:t xml:space="preserve">periodo de incubación </w:t>
      </w:r>
      <w:r>
        <w:t xml:space="preserve">es de siete días, con límites de dos a 14 días. Siete días, en promedio, después de que desaparecieron los síntomas, se siguen detectando oocistos en los excrementos. En casi todas las personas la dispersión o excreción de </w:t>
      </w:r>
      <w:r>
        <w:rPr>
          <w:rFonts w:ascii="Times New Roman" w:eastAsia="Times New Roman" w:hAnsi="Times New Roman" w:cs="Times New Roman"/>
          <w:i/>
          <w:iCs/>
          <w:sz w:val="16"/>
          <w:szCs w:val="16"/>
        </w:rPr>
        <w:t>C. parvum</w:t>
      </w:r>
      <w:r>
        <w:t xml:space="preserve"> cesa en término de dos semanas, pero en otros tal fenómeno persiste incluso por dos meses.</w:t>
      </w:r>
    </w:p>
    <w:p w14:paraId="26FCF3F5" w14:textId="77777777" w:rsidR="00093A32" w:rsidRDefault="00093A32">
      <w:pPr>
        <w:pStyle w:val="BodyText"/>
        <w:ind w:firstLine="0"/>
      </w:pPr>
      <w:r>
        <w:rPr>
          <w:b/>
          <w:bCs/>
        </w:rPr>
        <w:t>P</w:t>
      </w:r>
      <w:r>
        <w:rPr>
          <w:b/>
          <w:bCs/>
          <w:sz w:val="13"/>
          <w:szCs w:val="13"/>
        </w:rPr>
        <w:t>RUEBAS DIAGNÓSTICAS</w:t>
      </w:r>
      <w:r>
        <w:rPr>
          <w:b/>
          <w:bCs/>
        </w:rPr>
        <w:t xml:space="preserve">: </w:t>
      </w:r>
      <w:r>
        <w:t xml:space="preserve">La detección de oocistos en el estudio microscópico de muestras de excrementos tiene valor diagnóstico. Por desgracia, los métodos habituales de laboratorio en excrementos en busca de huevos y parásitos no detectarán </w:t>
      </w:r>
      <w:r>
        <w:rPr>
          <w:rFonts w:ascii="Times New Roman" w:eastAsia="Times New Roman" w:hAnsi="Times New Roman" w:cs="Times New Roman"/>
          <w:i/>
          <w:iCs/>
          <w:sz w:val="16"/>
          <w:szCs w:val="16"/>
        </w:rPr>
        <w:t>C. parvum,</w:t>
      </w:r>
      <w:r>
        <w:t xml:space="preserve"> de tal forma que los médicos deben solicitar al personal de tales dependencias que busquen de manera específica el microorganismo. Se utiliza el método de flotación en sacarosa o el método de formol-acetato de etilo para concentrar los oocistos en las heces antes de aplicar el colorante acidorresistente modificado de Kinyoun. En el comercio se cuenta con una tinción de conjugado de fluoresceína basado en anticuerpos monoclonales para detectar oocistos en los excrementos, así como el método de inmunoanálisis enzimático </w:t>
      </w:r>
      <w:r>
        <w:rPr>
          <w:i/>
          <w:iCs/>
        </w:rPr>
        <w:t>(</w:t>
      </w:r>
      <w:r>
        <w:rPr>
          <w:rFonts w:ascii="Times New Roman" w:eastAsia="Times New Roman" w:hAnsi="Times New Roman" w:cs="Times New Roman"/>
          <w:i/>
          <w:iCs/>
          <w:sz w:val="16"/>
          <w:szCs w:val="16"/>
        </w:rPr>
        <w:t>enzyme immunoassay</w:t>
      </w:r>
      <w:r>
        <w:rPr>
          <w:i/>
          <w:iCs/>
        </w:rPr>
        <w:t>,</w:t>
      </w:r>
      <w:r>
        <w:t xml:space="preserve"> EIA) para identificar el antígeno en el mismo material. En el caso de los métodos EIA, pueden surgir resultados falsos positivos y negativos, y hay que pensar en la confirmación del diagnóstico por estudios microscópicos. El enfermo puede excretar de manera intermitente el microorganismo y por ello habrá que estudiar como mínimo tres muestras de excremento reunidas en días separados antes de calificar de negativos los resultados de las pruebas. Los oocistos son pequeños (4 a 6 pm de diámetro) y es fácil no advertirlos en un rastreo rápido de un preparado. Los microorganismos también se identifican en tejido de biopsia o líquido abdominales. </w:t>
      </w:r>
      <w:r>
        <w:rPr>
          <w:b/>
          <w:bCs/>
        </w:rPr>
        <w:t>T</w:t>
      </w:r>
      <w:r>
        <w:rPr>
          <w:b/>
          <w:bCs/>
          <w:sz w:val="13"/>
          <w:szCs w:val="13"/>
        </w:rPr>
        <w:t>RATAMIENTO</w:t>
      </w:r>
      <w:r>
        <w:rPr>
          <w:b/>
          <w:bCs/>
        </w:rPr>
        <w:t xml:space="preserve">: </w:t>
      </w:r>
      <w:r>
        <w:t xml:space="preserve">En Estados Unidos la </w:t>
      </w:r>
      <w:r>
        <w:rPr>
          <w:rFonts w:ascii="Times New Roman" w:eastAsia="Times New Roman" w:hAnsi="Times New Roman" w:cs="Times New Roman"/>
          <w:i/>
          <w:iCs/>
          <w:sz w:val="16"/>
          <w:szCs w:val="16"/>
        </w:rPr>
        <w:t>Food and Drug Administration</w:t>
      </w:r>
      <w:r>
        <w:t xml:space="preserve"> ha aprobado un ciclo de tres días a base de una suspensión de nitazoxanida ingerible para tratar a niños con diarrea atribuible a </w:t>
      </w:r>
      <w:r>
        <w:rPr>
          <w:rFonts w:ascii="Times New Roman" w:eastAsia="Times New Roman" w:hAnsi="Times New Roman" w:cs="Times New Roman"/>
          <w:i/>
          <w:iCs/>
          <w:sz w:val="16"/>
          <w:szCs w:val="16"/>
        </w:rPr>
        <w:t>C. parvum</w:t>
      </w:r>
      <w:r>
        <w:t xml:space="preserve"> y </w:t>
      </w:r>
      <w:r>
        <w:rPr>
          <w:rFonts w:ascii="Times New Roman" w:eastAsia="Times New Roman" w:hAnsi="Times New Roman" w:cs="Times New Roman"/>
          <w:i/>
          <w:iCs/>
          <w:sz w:val="16"/>
          <w:szCs w:val="16"/>
        </w:rPr>
        <w:t>Giardia lamblia.</w:t>
      </w:r>
      <w:r>
        <w:t xml:space="preserve"> La paromomicina, sola o con azitromicina dihidratada, tiene eficacia mínima. En pacientes inmunodeficientes que muestran criptosporidiosis, la ingestión de un concentrado de inmunoglobulina humana o de calostro bovino ha sido beneficiosa. En niños infectados por VIH, la mejoría del recuento de células CD4 que produce la administración de antirretrovíricos puede mejorar la evolución de la enfermedad.</w:t>
      </w:r>
    </w:p>
    <w:p w14:paraId="5127C110" w14:textId="77777777" w:rsidR="00093A32" w:rsidRDefault="00093A32">
      <w:pPr>
        <w:pStyle w:val="BodyText"/>
        <w:ind w:firstLine="0"/>
      </w:pPr>
      <w:r>
        <w:rPr>
          <w:b/>
          <w:bCs/>
        </w:rPr>
        <w:t>A</w:t>
      </w:r>
      <w:r>
        <w:rPr>
          <w:b/>
          <w:bCs/>
          <w:sz w:val="13"/>
          <w:szCs w:val="13"/>
        </w:rPr>
        <w:t>ISLAMIENTO DEL PACIENTE HOSPITALIZADO</w:t>
      </w:r>
      <w:r>
        <w:rPr>
          <w:b/>
          <w:bCs/>
        </w:rPr>
        <w:t xml:space="preserve">: </w:t>
      </w:r>
      <w:r>
        <w:t>Además de las precauciones estándar, se recomienda cumplir con las precauciones para evitar la transmisión por contacto en niños con pañales o incontinentes.</w:t>
      </w:r>
    </w:p>
    <w:p w14:paraId="7D267274" w14:textId="77777777" w:rsidR="00093A32" w:rsidRDefault="00093A32">
      <w:pPr>
        <w:pStyle w:val="BodyText"/>
        <w:spacing w:after="100"/>
        <w:ind w:firstLine="0"/>
      </w:pPr>
      <w:r>
        <w:rPr>
          <w:b/>
          <w:bCs/>
        </w:rPr>
        <w:t>M</w:t>
      </w:r>
      <w:r>
        <w:rPr>
          <w:b/>
          <w:bCs/>
          <w:sz w:val="13"/>
          <w:szCs w:val="13"/>
        </w:rPr>
        <w:t>EDIDAS PREVENTIVAS</w:t>
      </w:r>
      <w:r>
        <w:rPr>
          <w:b/>
          <w:bCs/>
        </w:rPr>
        <w:t xml:space="preserve">: </w:t>
      </w:r>
      <w:r>
        <w:t>En brotes de origen hídrico atribuibles a agua potable contaminada, habrá que distribuir avisos de hervir el líquido para evitar la aparición de la enfermedad hasta que se restauren las medidas para tratar adecuadamente los abastos de agua. Los niños con diarrea no deben utilizar el agua de sitios de recreo públicos (como piscinas, lagos o represas) y los que tienen el diagnóstico de criptosporidiosis tampoco deben utilizar tales masas de agua durante dos semanas después de haber tenido los síntomas.</w:t>
      </w:r>
    </w:p>
    <w:p w14:paraId="4701BEB5" w14:textId="77777777" w:rsidR="00093A32" w:rsidRDefault="00093A32">
      <w:pPr>
        <w:pStyle w:val="Bodytext70"/>
        <w:spacing w:after="0"/>
      </w:pPr>
      <w:r>
        <w:rPr>
          <w:i/>
          <w:iCs/>
        </w:rPr>
        <w:t>Cryptococcus neoformans,</w:t>
      </w:r>
      <w:r>
        <w:t xml:space="preserve"> infecciones</w:t>
      </w:r>
    </w:p>
    <w:p w14:paraId="28FDF541"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(Criptococosis)</w:t>
      </w:r>
    </w:p>
    <w:p w14:paraId="31B68DBD"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 infección primaria se adquiere al inhalar los elementos micóticos en aerosol provenientes de la tierra contaminada, y a menudo es asintomática o leve. El ataque de pulmones, en caso de ser sintomático, se caracteriza por tos, hemoptisis, dolor retrosternal y síntomas de orden general. En las radiografías de tórax se observan a veces un nódulo solitario o infiltrados focales o difusos. A veces hay diseminación hematógena al sistema nervioso central, huesos y articulaciones, piel y mucosas, pero tal situación es rara en niños sin defectos en la inmunidad mediadas por células (personas que han recibido un trasplante, niños con cánceres, enfermedades del tejido conjuntivo o sarcoidosis, o personas que reciben corticosteroides por largo tiempo). Por lo común están infectados varios sitios, pero predominan las manifestaciones de ataque en un solo sitio. La meningitis criptococócica, que es la forma más grave y frecuente de la enfermedad, suele seguir una evolución indolente. Los síntomas son característicos de meningitis, meningoencefalitis o lesiones expansivas, pero a veces se manifiestan sólo por cambios en el comportamiento. En individuos con infección por virus de inmunodeficiencia humana (VIH) se observa fungemia criptococócica sin ataque manifiesto de órganos, pero tal situación es rara en niños. </w:t>
      </w:r>
      <w:r>
        <w:rPr>
          <w:b/>
          <w:bCs/>
        </w:rPr>
        <w:t>C</w:t>
      </w:r>
      <w:r>
        <w:rPr>
          <w:b/>
          <w:bCs/>
          <w:sz w:val="13"/>
          <w:szCs w:val="13"/>
        </w:rPr>
        <w:t>AUSAS</w:t>
      </w:r>
      <w:r>
        <w:rPr>
          <w:b/>
          <w:bCs/>
        </w:rPr>
        <w:t xml:space="preserve">: </w:t>
      </w:r>
      <w:r>
        <w:t xml:space="preserve">La única especie del género </w:t>
      </w:r>
      <w:r>
        <w:rPr>
          <w:rFonts w:ascii="Times New Roman" w:eastAsia="Times New Roman" w:hAnsi="Times New Roman" w:cs="Times New Roman"/>
          <w:i/>
          <w:iCs/>
          <w:sz w:val="16"/>
          <w:szCs w:val="16"/>
        </w:rPr>
        <w:t>Cryptococcus</w:t>
      </w:r>
      <w:r>
        <w:t xml:space="preserve"> que ha sido considerada como patógeno para los seres humanos es </w:t>
      </w:r>
      <w:r>
        <w:rPr>
          <w:rFonts w:ascii="Times New Roman" w:eastAsia="Times New Roman" w:hAnsi="Times New Roman" w:cs="Times New Roman"/>
          <w:i/>
          <w:iCs/>
          <w:sz w:val="16"/>
          <w:szCs w:val="16"/>
        </w:rPr>
        <w:t>Cryptococcus neoformans,</w:t>
      </w:r>
      <w:r>
        <w:t xml:space="preserve"> levadura encapsulada que prolifera a 37 grados centígrados.</w:t>
      </w:r>
    </w:p>
    <w:p w14:paraId="43685E4E"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Cryptococcus neoformans</w:t>
      </w:r>
      <w:r>
        <w:t xml:space="preserve"> var neoformans se aísla más bien de la tierra y el suelo contaminados de excrementos de aves, y es la que provoca casi todos los casos de infecciones en seres humanos, sobre todo en los hospedadores inmunodeficientes. </w:t>
      </w:r>
      <w:r>
        <w:rPr>
          <w:rFonts w:ascii="Times New Roman" w:eastAsia="Times New Roman" w:hAnsi="Times New Roman" w:cs="Times New Roman"/>
          <w:i/>
          <w:iCs/>
          <w:sz w:val="16"/>
          <w:szCs w:val="16"/>
        </w:rPr>
        <w:t>Cryptococcus neoformans</w:t>
      </w:r>
      <w:r>
        <w:t xml:space="preserve"> var gattii aparece más a menudo en regiones tropicales y subtropicales y origina un cuadro patológico principalmente en personas inmunocompetentes. No hay transmisión directa, es decir, de una persona a otra. Las especies de </w:t>
      </w:r>
      <w:r>
        <w:rPr>
          <w:rFonts w:ascii="Times New Roman" w:eastAsia="Times New Roman" w:hAnsi="Times New Roman" w:cs="Times New Roman"/>
          <w:i/>
          <w:iCs/>
          <w:sz w:val="16"/>
          <w:szCs w:val="16"/>
        </w:rPr>
        <w:t>Cryptococcus</w:t>
      </w:r>
      <w:r>
        <w:t xml:space="preserve"> infectan 5 a 10% de los adultos con síndrome de inmunodeficiencia adquirida, pero la infección es rara en niños infectados por el virus de dicha enfermedad.</w:t>
      </w:r>
    </w:p>
    <w:p w14:paraId="15F6BD97" w14:textId="77777777" w:rsidR="00093A32" w:rsidRDefault="00093A32">
      <w:pPr>
        <w:pStyle w:val="BodyText"/>
        <w:ind w:firstLine="360"/>
      </w:pPr>
      <w:r>
        <w:t xml:space="preserve">El </w:t>
      </w:r>
      <w:r>
        <w:rPr>
          <w:b/>
          <w:bCs/>
        </w:rPr>
        <w:t xml:space="preserve">periodo de incubación </w:t>
      </w:r>
      <w:r>
        <w:t>se desconoce.</w:t>
      </w:r>
    </w:p>
    <w:p w14:paraId="35D408DF" w14:textId="77777777" w:rsidR="00093A32" w:rsidRDefault="00093A32">
      <w:pPr>
        <w:pStyle w:val="BodyText"/>
        <w:ind w:firstLine="0"/>
        <w:sectPr w:rsidR="00093A32" w:rsidSect="00093A32">
          <w:headerReference w:type="even" r:id="rId194"/>
          <w:headerReference w:type="default" r:id="rId195"/>
          <w:footerReference w:type="even" r:id="rId196"/>
          <w:footerReference w:type="default" r:id="rId197"/>
          <w:headerReference w:type="first" r:id="rId198"/>
          <w:footerReference w:type="first" r:id="rId199"/>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Es posible visualizar levaduras encapsuladas por medio de tinta china u otros colorantes de muestras de líquido cefalorraquídeo (LCR) que contengan 10</w:t>
      </w:r>
      <w:r>
        <w:rPr>
          <w:vertAlign w:val="superscript"/>
        </w:rPr>
        <w:t>3</w:t>
      </w:r>
      <w:r>
        <w:t xml:space="preserve"> o más unidades formadoras de colonias de la levadura por mililitro. Para el diagnóstico definitivo se necesita aislar el microorganismo de líquidos corporales o muestras de tejido. El procedimiento más sensible para identificar </w:t>
      </w:r>
      <w:r>
        <w:rPr>
          <w:rFonts w:ascii="Times New Roman" w:eastAsia="Times New Roman" w:hAnsi="Times New Roman" w:cs="Times New Roman"/>
          <w:i/>
          <w:iCs/>
          <w:sz w:val="16"/>
          <w:szCs w:val="16"/>
        </w:rPr>
        <w:t>C. neoformans</w:t>
      </w:r>
      <w:r>
        <w:t xml:space="preserve"> en cultivos de sangre es la lisis-centrifugación. Es mejor no utilizar medios que contengan cicloheximida, que inhibe la proliferación del microorganismo patógeno. La glucosa- agar de Sabouraud es un medio óptimo para aislar </w:t>
      </w:r>
      <w:r>
        <w:rPr>
          <w:rFonts w:ascii="Times New Roman" w:eastAsia="Times New Roman" w:hAnsi="Times New Roman" w:cs="Times New Roman"/>
          <w:i/>
          <w:iCs/>
          <w:sz w:val="16"/>
          <w:szCs w:val="16"/>
        </w:rPr>
        <w:t>Cryptococcus</w:t>
      </w:r>
      <w:r>
        <w:t xml:space="preserve">, de esputo, material de lavado broncopulmonar, tejidos o muestras de LCR. En la muestra de dicho líquido quizá se detecten pocos microorganismos y a veces se necesita extraer un gran volumen del mismo para identificar los gérmenes. Métodos excelentes para un diagnóstico </w:t>
      </w:r>
    </w:p>
    <w:p w14:paraId="226523A3" w14:textId="77777777" w:rsidR="00093A32" w:rsidRDefault="00093A32">
      <w:pPr>
        <w:pStyle w:val="BodyText"/>
        <w:ind w:firstLine="0"/>
      </w:pPr>
      <w:r>
        <w:t>rápido son la pruebas de aglutinación de látex y el inmunoanálisis enzimàtico para detectar el antígeno polisacárido capsular de criptococo de muestras en suero o LCR. El antígeno se detecta en muestras de LCR o suero incluso en un 90% de pacientes con meningitis criptococócica. Es útil la prueba en busca de anticuerpos criptococócicos, pero la cutirreacción carece de utilidad.</w:t>
      </w:r>
    </w:p>
    <w:p w14:paraId="1D14E8C7" w14:textId="77777777" w:rsidR="00093A32" w:rsidRDefault="00093A32">
      <w:pPr>
        <w:pStyle w:val="BodyText"/>
        <w:ind w:firstLine="0"/>
      </w:pPr>
      <w:r>
        <w:rPr>
          <w:b/>
          <w:bCs/>
        </w:rPr>
        <w:t>T</w:t>
      </w:r>
      <w:r>
        <w:rPr>
          <w:b/>
          <w:bCs/>
          <w:sz w:val="13"/>
          <w:szCs w:val="13"/>
        </w:rPr>
        <w:t>RATAMIENTO</w:t>
      </w:r>
      <w:r>
        <w:rPr>
          <w:b/>
          <w:bCs/>
        </w:rPr>
        <w:t xml:space="preserve">: </w:t>
      </w:r>
      <w:r>
        <w:t xml:space="preserve">La anfotericina B (véase “Fármacos contra micosis invasoras y otras de gravedad en niños”, sección 4), en combinación con flucitosina ingerible, son los fármacos indicados en niños con infecciones meníngeas y de otro tipo, graves por criptococos. Es posible que la combinación de un antimicótico con la flucitosina sea mejor que la sola anfotericina B. La flucitosina induce supresión de médula ósea, lo cual obliga a menudo a interrumpir su administración particularmente en pacientes infectados de VIH. Otros efectos adversos de la flucitosina incluye disfunción hepática y renal, erupciones, diarreas, colitis ulcerosa y hemorragia de vías gastrointestinales, especialmente en personas con hiperazoemia. Cuando se utiliza flucitosina, habrá que medir frecuentemente las concentraciones séricas de ella y conservarlas entre 40 y 60 mg/ml. Los niños con meningitis deben recibir combinaciones de fármacos durante dos semanas como mínimo, o hasta que los cultivos de LCR señalen negatividad; habrá que completar con la anfotericina B como mínimo seis semanas de tratamiento total o 10 semanas si se administra fluconazol para la terapia. En vez de la anfotericina B regular en niños con disfunción renal, cabe recurrir a las presentaciones lípidas del fármaco. Los niños con infecciones por VIH deben ser tratados por periodos largos, en comparación con los pacientes no infectados por dichos virus, y también pacientes inmunosuprimidos como consecuencia de trasplante de órganos. Las personas con enfermedad menos grave pueden ser tratadas con fluconazol o itraconazol, pero son escasos los datos del empleo de ambos en niños con infección por </w:t>
      </w:r>
      <w:r>
        <w:rPr>
          <w:rFonts w:ascii="Times New Roman" w:eastAsia="Times New Roman" w:hAnsi="Times New Roman" w:cs="Times New Roman"/>
          <w:i/>
          <w:iCs/>
          <w:sz w:val="16"/>
          <w:szCs w:val="16"/>
        </w:rPr>
        <w:t>C. neoformans.</w:t>
      </w:r>
      <w:r>
        <w:t xml:space="preserve"> Otra opción terapéutica posible en el caso de pacientes infectados por VIH con la forma menos grave de la enfermedad es la combinación de fluconazol y flucitosina; los efectos tóxicos propios de este régimen suelen limitar su utilidad.</w:t>
      </w:r>
    </w:p>
    <w:p w14:paraId="4632D57C" w14:textId="77777777" w:rsidR="00093A32" w:rsidRDefault="00093A32">
      <w:pPr>
        <w:pStyle w:val="BodyText"/>
        <w:ind w:firstLine="360"/>
      </w:pPr>
      <w:r>
        <w:t>Los niños con infección por VIH que han completado la terapia inicial contra la criptococosis deben recibir durante toda su vida fármacos supresores, como serían dosis bajas de fluconazol. Se cuenta con datos en adultos (pero no en niños), sobre la interrupción de esta profilaxia secundaria después de la reconstitución inmunitaria como consecuencia del uso de antirretrovíricos fuertemente activos.</w:t>
      </w:r>
    </w:p>
    <w:p w14:paraId="2734E2EB"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32F2284A" w14:textId="77777777" w:rsidR="00093A32" w:rsidRDefault="00093A32">
      <w:pPr>
        <w:pStyle w:val="Other0"/>
        <w:spacing w:after="100" w:line="257" w:lineRule="auto"/>
        <w:ind w:firstLine="0"/>
      </w:pPr>
      <w:r>
        <w:rPr>
          <w:b/>
          <w:bCs/>
          <w:smallCaps/>
          <w:sz w:val="20"/>
          <w:szCs w:val="20"/>
        </w:rPr>
        <w:t>M</w:t>
      </w:r>
      <w:r>
        <w:rPr>
          <w:b/>
          <w:bCs/>
          <w:smallCaps/>
          <w:sz w:val="16"/>
          <w:szCs w:val="16"/>
        </w:rPr>
        <w:t>edidas profilácticas</w:t>
      </w:r>
      <w:r>
        <w:rPr>
          <w:b/>
          <w:bCs/>
          <w:smallCaps/>
          <w:sz w:val="20"/>
          <w:szCs w:val="20"/>
        </w:rPr>
        <w:t>:</w:t>
      </w:r>
      <w:r>
        <w:t xml:space="preserve"> Ninguna.</w:t>
      </w:r>
    </w:p>
    <w:p w14:paraId="0F006D56" w14:textId="77777777" w:rsidR="00093A32" w:rsidRDefault="00093A32">
      <w:pPr>
        <w:pStyle w:val="Bodytext70"/>
        <w:spacing w:after="0"/>
      </w:pPr>
      <w:r>
        <w:t xml:space="preserve">Cutánea, </w:t>
      </w:r>
      <w:r>
        <w:rPr>
          <w:i/>
          <w:iCs/>
        </w:rPr>
        <w:t>larva migrans</w:t>
      </w:r>
    </w:p>
    <w:p w14:paraId="1E6F368A" w14:textId="77777777" w:rsidR="00093A32" w:rsidRDefault="00093A32">
      <w:pPr>
        <w:pStyle w:val="BodyText"/>
        <w:ind w:firstLine="0"/>
      </w:pPr>
      <w:r>
        <w:rPr>
          <w:b/>
          <w:bCs/>
        </w:rPr>
        <w:t>M</w:t>
      </w:r>
      <w:r>
        <w:rPr>
          <w:b/>
          <w:bCs/>
          <w:sz w:val="13"/>
          <w:szCs w:val="13"/>
        </w:rPr>
        <w:t>ANIFESTACIONES CLÍNICAS</w:t>
      </w:r>
      <w:r>
        <w:rPr>
          <w:b/>
          <w:bCs/>
        </w:rPr>
        <w:t xml:space="preserve">: </w:t>
      </w:r>
      <w:r>
        <w:t>Las larvas de nematodos producen pápulas rojizas pruriginosas en el sitio de penetración en la piel, cuadro llamado como larva migrans. Conforme las larvas migran por la piel y avanzan milímetros o centímetros al día, surgen “túneles o bulas serpiginosas pruriginosas”. La actividad de las larvas puede continuar semanas o meses, aunque al final cesa por sí sola. El túnel serpiginoso que avanza por debajo de la piel, con el prurito intenso que ocasiona, es un signo prácticamente patognomónico. En raras ocasiones, cuando hay un número importante de parásitos, la neumonitis puede ser grave (síndrome de Loeffler) y después de lesiones de la piel puede surgir miositis. A veces las larvas llegan al intestino y ocasionan enteritis eosinófila.</w:t>
      </w:r>
    </w:p>
    <w:p w14:paraId="2B8C0BC0" w14:textId="77777777" w:rsidR="00093A32" w:rsidRDefault="00093A32">
      <w:pPr>
        <w:pStyle w:val="BodyText"/>
        <w:ind w:firstLine="0"/>
      </w:pPr>
      <w:r>
        <w:rPr>
          <w:b/>
          <w:bCs/>
        </w:rPr>
        <w:t>C</w:t>
      </w:r>
      <w:r>
        <w:rPr>
          <w:b/>
          <w:bCs/>
          <w:sz w:val="13"/>
          <w:szCs w:val="13"/>
        </w:rPr>
        <w:t>AUSA</w:t>
      </w:r>
      <w:r>
        <w:rPr>
          <w:b/>
          <w:bCs/>
        </w:rPr>
        <w:t xml:space="preserve">: </w:t>
      </w:r>
      <w:r>
        <w:t xml:space="preserve">Larvas infectantes de ancilostomas de gatos y perros </w:t>
      </w:r>
      <w:r>
        <w:rPr>
          <w:rFonts w:ascii="Times New Roman" w:eastAsia="Times New Roman" w:hAnsi="Times New Roman" w:cs="Times New Roman"/>
          <w:i/>
          <w:iCs/>
          <w:sz w:val="16"/>
          <w:szCs w:val="16"/>
        </w:rPr>
        <w:t>(Ancylostoma braziliense</w:t>
      </w:r>
      <w:r>
        <w:t xml:space="preserve"> y </w:t>
      </w:r>
      <w:r>
        <w:rPr>
          <w:rFonts w:ascii="Times New Roman" w:eastAsia="Times New Roman" w:hAnsi="Times New Roman" w:cs="Times New Roman"/>
          <w:i/>
          <w:iCs/>
          <w:sz w:val="16"/>
          <w:szCs w:val="16"/>
        </w:rPr>
        <w:t>Ancylostoma caninum)</w:t>
      </w:r>
      <w:r>
        <w:t xml:space="preserve"> son generalmente los organismos causales. Otros de los agentes que a veces originan el cuadro son nemátodos que penetran la piel.</w:t>
      </w:r>
    </w:p>
    <w:p w14:paraId="36AB8065" w14:textId="77777777" w:rsidR="00093A32" w:rsidRDefault="00093A32">
      <w:pPr>
        <w:pStyle w:val="BodyText"/>
        <w:ind w:firstLine="0"/>
      </w:pPr>
      <w:r>
        <w:rPr>
          <w:b/>
          <w:bCs/>
        </w:rPr>
        <w:t>A</w:t>
      </w:r>
      <w:r>
        <w:rPr>
          <w:b/>
          <w:bCs/>
          <w:sz w:val="13"/>
          <w:szCs w:val="13"/>
        </w:rPr>
        <w:t>SPECTOS EPIDEMIOLÓGICOS</w:t>
      </w:r>
      <w:r>
        <w:rPr>
          <w:b/>
          <w:bCs/>
        </w:rPr>
        <w:t xml:space="preserve">: </w:t>
      </w:r>
      <w:r>
        <w:t>La larva migrans cutánea es una enfermedad de niños, personas que trabajan de servicios públicos, jardineros, nudistas y otros que se ponen en contacto con la tierra contaminada con excrementos de gatos y perros. En Estados Unidos la enfermedad prevalece en la zona sureste.</w:t>
      </w:r>
    </w:p>
    <w:p w14:paraId="6C696CA5" w14:textId="77777777" w:rsidR="00093A32" w:rsidRDefault="00093A32">
      <w:pPr>
        <w:pStyle w:val="BodyText"/>
        <w:ind w:firstLine="0"/>
      </w:pPr>
      <w:r>
        <w:rPr>
          <w:b/>
          <w:bCs/>
        </w:rPr>
        <w:t>M</w:t>
      </w:r>
      <w:r>
        <w:rPr>
          <w:b/>
          <w:bCs/>
          <w:sz w:val="13"/>
          <w:szCs w:val="13"/>
        </w:rPr>
        <w:t xml:space="preserve">ÉTODOS </w:t>
      </w:r>
      <w:r>
        <w:rPr>
          <w:b/>
          <w:bCs/>
          <w:smallCaps/>
          <w:sz w:val="16"/>
          <w:szCs w:val="16"/>
        </w:rPr>
        <w:t>diagnósticos</w:t>
      </w:r>
      <w:r>
        <w:rPr>
          <w:b/>
          <w:bCs/>
          <w:smallCaps/>
          <w:sz w:val="20"/>
          <w:szCs w:val="20"/>
        </w:rPr>
        <w:t>:</w:t>
      </w:r>
      <w:r>
        <w:t xml:space="preserve"> El diagnóstico se confirma predominantemente por el cuadro clínico, razón por la cual no conviene obtener material de biopsia. En forma típica, en los fragmentos de biopsia se observa un infiltrado inflamatorio eosinófilo, pero no el parásito en migración. En algunos casos se advierte eosinofilia. Las larvas han sido detectadas en esputo y en material de lavado de estómago en sujetos con neumonitis, complicación rara. En laboratorios de investigación se practican inmunoanálisis enzimáticos o inmunotransferencia con antígenos de </w:t>
      </w:r>
      <w:r>
        <w:rPr>
          <w:rFonts w:ascii="Times New Roman" w:eastAsia="Times New Roman" w:hAnsi="Times New Roman" w:cs="Times New Roman"/>
          <w:i/>
          <w:iCs/>
          <w:sz w:val="16"/>
          <w:szCs w:val="16"/>
        </w:rPr>
        <w:t>A. caninum,</w:t>
      </w:r>
      <w:r>
        <w:t xml:space="preserve"> pero no se justifica su empleo en la práctica diaria.</w:t>
      </w:r>
    </w:p>
    <w:p w14:paraId="2379DA7F" w14:textId="77777777" w:rsidR="00093A32" w:rsidRDefault="00093A32">
      <w:pPr>
        <w:pStyle w:val="BodyText"/>
        <w:ind w:firstLine="0"/>
      </w:pPr>
      <w:r>
        <w:rPr>
          <w:b/>
          <w:bCs/>
        </w:rPr>
        <w:t>T</w:t>
      </w:r>
      <w:r>
        <w:rPr>
          <w:b/>
          <w:bCs/>
          <w:sz w:val="13"/>
          <w:szCs w:val="13"/>
        </w:rPr>
        <w:t>RATAMIENTO</w:t>
      </w:r>
      <w:r>
        <w:rPr>
          <w:b/>
          <w:bCs/>
        </w:rPr>
        <w:t xml:space="preserve">: </w:t>
      </w:r>
      <w:r>
        <w:t>El cuadro por lo común cede por sí solo y después de semanas o meses hay cura espontánea. La farmacoterapia recomendada incluye la ingestión de albendazol o ivermectina o el tiabendazol tópico.</w:t>
      </w:r>
    </w:p>
    <w:p w14:paraId="14C00AFD" w14:textId="77777777" w:rsidR="00093A32" w:rsidRDefault="00093A32">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Es importante que la piel no se ponga en contacto con la tierra húmeda contaminada con excrementos de animales. En climas cálidos, habrá que usar desinfectantes para eliminar excrementos de perros y gatos.</w:t>
      </w:r>
    </w:p>
    <w:p w14:paraId="26723F03" w14:textId="77777777" w:rsidR="00093A32" w:rsidRDefault="00093A32">
      <w:pPr>
        <w:pStyle w:val="Bodytext70"/>
        <w:spacing w:after="0"/>
      </w:pPr>
      <w:r>
        <w:rPr>
          <w:i/>
          <w:iCs/>
        </w:rPr>
        <w:t>Cyclospora,</w:t>
      </w:r>
      <w:r>
        <w:t xml:space="preserve"> infecciones</w:t>
      </w:r>
    </w:p>
    <w:p w14:paraId="07E82B49"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(Ciclosporiasis)</w:t>
      </w:r>
    </w:p>
    <w:p w14:paraId="70D15726"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El signo más frecuente de la ciclosporiasis es la diarrea acuosa, profusa y no sanguinolenta. También se pueden observar vómitos, fatiga, anorexia, distensión o cólicos abdominales y pérdida ponderal. Los episodios de diarrea alternan con los de estreñimiento. En cerca de la mitad de los enfermos hay fiebre seguida de infección; por lo común cede por sí sola, pero la diarrea y los síntomas sistémicos persisten por semanas. También es común que reaparezcan los síntomas en individuos no tratados, y en pacientes inmunodeficientes pueden persistir por largo tiempo.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Cyclospora cayetanensis</w:t>
      </w:r>
      <w:r>
        <w:t xml:space="preserve"> es un coccidio parásito; en épocas anteriores se le llamaba “corpúsculo similar a cianobacteria” o “corpúsculo similar a coccidio”. Por los excrementos se expulsan oocistos no infectantes ni espurulados. La espurulación fuera del hospedador hace que surjan microorganismos infecciosos.</w:t>
      </w:r>
    </w:p>
    <w:p w14:paraId="2A093F86" w14:textId="77777777" w:rsidR="00093A32" w:rsidRDefault="00093A32">
      <w:pPr>
        <w:pStyle w:val="BodyText"/>
        <w:ind w:firstLine="0"/>
        <w:rPr>
          <w:sz w:val="16"/>
          <w:szCs w:val="16"/>
        </w:rPr>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Cyclospora cayetanensis</w:t>
      </w:r>
      <w:r>
        <w:t xml:space="preserve"> tiene distribución mundial, aunque es endémico en algunos países como Nepal, Perú y Haití. Algunos brotes han provenido del consumo de alimentos y agua contaminados (como productos agrícolas). Según informes, una de las causas de diarrea de los viajeros y de casos ocasionales del mismo trastorno adquirido en la comunidad ha sido </w:t>
      </w:r>
      <w:r>
        <w:rPr>
          <w:rFonts w:ascii="Times New Roman" w:eastAsia="Times New Roman" w:hAnsi="Times New Roman" w:cs="Times New Roman"/>
          <w:i/>
          <w:iCs/>
          <w:sz w:val="16"/>
          <w:szCs w:val="16"/>
        </w:rPr>
        <w:t>Cyclospora cayetanensis.</w:t>
      </w:r>
    </w:p>
    <w:p w14:paraId="3FD6AEC1" w14:textId="77777777" w:rsidR="00093A32" w:rsidRDefault="00093A32">
      <w:pPr>
        <w:pStyle w:val="BodyText"/>
        <w:ind w:firstLine="360"/>
      </w:pPr>
      <w:r>
        <w:t>No se ha corroborado la transmisión directa de una persona a otra, tal vez porque los oocistos excretados necesitan días o semanas en un entorno favorable para esporular y tornarse infectantes.</w:t>
      </w:r>
    </w:p>
    <w:p w14:paraId="29FAE8FF" w14:textId="77777777" w:rsidR="00093A32" w:rsidRDefault="00093A32">
      <w:pPr>
        <w:pStyle w:val="BodyText"/>
        <w:spacing w:after="60"/>
        <w:ind w:firstLine="360"/>
      </w:pPr>
      <w:r>
        <w:t xml:space="preserve">El </w:t>
      </w:r>
      <w:r>
        <w:rPr>
          <w:b/>
          <w:bCs/>
        </w:rPr>
        <w:t xml:space="preserve">periodo de incubación </w:t>
      </w:r>
      <w:r>
        <w:t xml:space="preserve">es de uno a siete días (límites, uno a 14 días). </w:t>
      </w:r>
      <w:r>
        <w:rPr>
          <w:b/>
          <w:bCs/>
        </w:rPr>
        <w:t>M</w:t>
      </w:r>
      <w:r>
        <w:rPr>
          <w:b/>
          <w:bCs/>
          <w:sz w:val="13"/>
          <w:szCs w:val="13"/>
        </w:rPr>
        <w:t>ÉTODOS DIAGNÓSTICOS</w:t>
      </w:r>
      <w:r>
        <w:rPr>
          <w:b/>
          <w:bCs/>
        </w:rPr>
        <w:t xml:space="preserve">: </w:t>
      </w:r>
      <w:r>
        <w:t>El diagnóstico se confirma al identificar oocistos en los excrementos (8 a 10 pm de diámetro). Los microorganismos se visualizan después de tinción modificada para acidorresistentes, pero también se detectan con un colorante a</w:t>
      </w:r>
    </w:p>
    <w:p w14:paraId="19C95209" w14:textId="77777777" w:rsidR="00093A32" w:rsidRDefault="00093A32">
      <w:pPr>
        <w:pStyle w:val="BodyText"/>
        <w:ind w:firstLine="0"/>
      </w:pPr>
      <w:r>
        <w:rPr>
          <w:b/>
          <w:bCs/>
        </w:rPr>
        <w:t>C</w:t>
      </w:r>
      <w:r>
        <w:rPr>
          <w:b/>
          <w:bCs/>
          <w:sz w:val="13"/>
          <w:szCs w:val="13"/>
        </w:rPr>
        <w:t>AUSA</w:t>
      </w:r>
      <w:r>
        <w:rPr>
          <w:b/>
          <w:bCs/>
        </w:rPr>
        <w:t xml:space="preserve">: </w:t>
      </w:r>
      <w:r>
        <w:t xml:space="preserve">Larvas infectantes de ancilostomas de gatos y perros </w:t>
      </w:r>
      <w:r>
        <w:rPr>
          <w:rFonts w:ascii="Times New Roman" w:eastAsia="Times New Roman" w:hAnsi="Times New Roman" w:cs="Times New Roman"/>
          <w:i/>
          <w:iCs/>
          <w:sz w:val="16"/>
          <w:szCs w:val="16"/>
        </w:rPr>
        <w:t>(Ancylostoma braziliense</w:t>
      </w:r>
      <w:r>
        <w:t xml:space="preserve"> y </w:t>
      </w:r>
      <w:r>
        <w:rPr>
          <w:rFonts w:ascii="Times New Roman" w:eastAsia="Times New Roman" w:hAnsi="Times New Roman" w:cs="Times New Roman"/>
          <w:i/>
          <w:iCs/>
          <w:sz w:val="16"/>
          <w:szCs w:val="16"/>
        </w:rPr>
        <w:t>Ancylostoma caninum)</w:t>
      </w:r>
      <w:r>
        <w:t xml:space="preserve"> son generalmente los organismos causales. Otros de los agentes que a veces originan el cuadro son nemátodos que penetran la piel.</w:t>
      </w:r>
    </w:p>
    <w:p w14:paraId="5B5CDD1D" w14:textId="77777777" w:rsidR="00093A32" w:rsidRDefault="00093A32">
      <w:pPr>
        <w:pStyle w:val="BodyText"/>
        <w:ind w:firstLine="0"/>
      </w:pPr>
      <w:r>
        <w:rPr>
          <w:b/>
          <w:bCs/>
        </w:rPr>
        <w:t>A</w:t>
      </w:r>
      <w:r>
        <w:rPr>
          <w:b/>
          <w:bCs/>
          <w:sz w:val="13"/>
          <w:szCs w:val="13"/>
        </w:rPr>
        <w:t>SPECTOS EPIDEMIOLÓGICOS</w:t>
      </w:r>
      <w:r>
        <w:rPr>
          <w:b/>
          <w:bCs/>
        </w:rPr>
        <w:t xml:space="preserve">: </w:t>
      </w:r>
      <w:r>
        <w:t>La larva migrans cutánea es una enfermedad de niños, personas que trabajan de servicios públicos, jardineros, nudistas y otros que se ponen en contacto con la tierra contaminada con excrementos de gatos y perros. En Estados Unidos la enfermedad prevalece en la zona sureste.</w:t>
      </w:r>
    </w:p>
    <w:p w14:paraId="149B8412" w14:textId="77777777" w:rsidR="00093A32" w:rsidRDefault="00093A32">
      <w:pPr>
        <w:pStyle w:val="BodyText"/>
        <w:ind w:firstLine="0"/>
      </w:pPr>
      <w:r>
        <w:rPr>
          <w:b/>
          <w:bCs/>
        </w:rPr>
        <w:t>M</w:t>
      </w:r>
      <w:r>
        <w:rPr>
          <w:b/>
          <w:bCs/>
          <w:sz w:val="13"/>
          <w:szCs w:val="13"/>
        </w:rPr>
        <w:t xml:space="preserve">ÉTODOS </w:t>
      </w:r>
      <w:r>
        <w:rPr>
          <w:b/>
          <w:bCs/>
          <w:smallCaps/>
          <w:sz w:val="16"/>
          <w:szCs w:val="16"/>
        </w:rPr>
        <w:t>diagnósticos</w:t>
      </w:r>
      <w:r>
        <w:rPr>
          <w:b/>
          <w:bCs/>
          <w:smallCaps/>
          <w:sz w:val="20"/>
          <w:szCs w:val="20"/>
        </w:rPr>
        <w:t>:</w:t>
      </w:r>
      <w:r>
        <w:t xml:space="preserve"> El diagnóstico se confirma predominantemente por el cuadro clínico, razón por la cual no conviene obtener material de biopsia. En forma típica, en los fragmentos de biopsia se observa un infiltrado inflamatorio eosinófilo, pero no el parásito en migración. En algunos casos se advierte eosinofilia. Las larvas han sido detectadas en esputo y en material de lavado de estómago en sujetos con neumonitis, complicación rara. En laboratorios de investigación se practican inmunoanálisis enzimáticos o inmunotransferencia con antígenos de </w:t>
      </w:r>
      <w:r>
        <w:rPr>
          <w:rFonts w:ascii="Times New Roman" w:eastAsia="Times New Roman" w:hAnsi="Times New Roman" w:cs="Times New Roman"/>
          <w:i/>
          <w:iCs/>
          <w:sz w:val="16"/>
          <w:szCs w:val="16"/>
        </w:rPr>
        <w:t>A. caninum,</w:t>
      </w:r>
      <w:r>
        <w:t xml:space="preserve"> pero no se justifica su empleo en la práctica diaria.</w:t>
      </w:r>
    </w:p>
    <w:p w14:paraId="2D26548C" w14:textId="77777777" w:rsidR="00093A32" w:rsidRDefault="00093A32">
      <w:pPr>
        <w:pStyle w:val="BodyText"/>
        <w:ind w:firstLine="0"/>
      </w:pPr>
      <w:r>
        <w:rPr>
          <w:b/>
          <w:bCs/>
        </w:rPr>
        <w:t>T</w:t>
      </w:r>
      <w:r>
        <w:rPr>
          <w:b/>
          <w:bCs/>
          <w:sz w:val="13"/>
          <w:szCs w:val="13"/>
        </w:rPr>
        <w:t>RATAMIENTO</w:t>
      </w:r>
      <w:r>
        <w:rPr>
          <w:b/>
          <w:bCs/>
        </w:rPr>
        <w:t xml:space="preserve">: </w:t>
      </w:r>
      <w:r>
        <w:t>El cuadro por lo común cede por sí solo y después de semanas o meses hay cura espontánea. La farmacoterapia recomendada incluye la ingestión de albendazol o ivermectina o el tiabendazol tópico.</w:t>
      </w:r>
    </w:p>
    <w:p w14:paraId="32864691" w14:textId="77777777" w:rsidR="00093A32" w:rsidRDefault="00093A32">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Es importante que la piel no se ponga en contacto con la tierra húmeda contaminada con excrementos de animales. En climas cálidos, habrá que usar desinfectantes para eliminar excrementos de perros y gatos.</w:t>
      </w:r>
    </w:p>
    <w:p w14:paraId="644DFBFF" w14:textId="77777777" w:rsidR="00093A32" w:rsidRDefault="00093A32">
      <w:pPr>
        <w:pStyle w:val="Bodytext70"/>
        <w:spacing w:after="0"/>
      </w:pPr>
      <w:r>
        <w:rPr>
          <w:i/>
          <w:iCs/>
        </w:rPr>
        <w:t>Cyclospora,</w:t>
      </w:r>
      <w:r>
        <w:t xml:space="preserve"> infecciones</w:t>
      </w:r>
    </w:p>
    <w:p w14:paraId="1EC93EE1"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(Ciclosporiasis)</w:t>
      </w:r>
    </w:p>
    <w:p w14:paraId="297DFE07"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El signo más frecuente de la ciclosporiasis es la diarrea acuosa, profusa y no sanguinolenta. También se pueden observar vómitos, fatiga, anorexia, distensión o cólicos abdominales y pérdida ponderal. Los episodios de diarrea alternan con los de estreñimiento. En cerca de la mitad de los enfermos hay fiebre seguida de infección; por lo común cede por sí sola, pero la diarrea y los síntomas sistémicos persisten por semanas. También es común que reaparezcan los síntomas en individuos no tratados, y en pacientes inmunodeficientes pueden persistir por largo tiempo.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Cyclospora cayetanensis</w:t>
      </w:r>
      <w:r>
        <w:t xml:space="preserve"> es un coccidio parásito; en épocas anteriores se le llamaba “corpúsculo similar a cianobacteria” o “corpúsculo similar a coccidio”. Por los excrementos se expulsan oocistos no infectantes ni espurulados. La espurulación fuera del hospedador hace que surjan microorganismos infecciosos.</w:t>
      </w:r>
    </w:p>
    <w:p w14:paraId="61872689" w14:textId="77777777" w:rsidR="00093A32" w:rsidRDefault="00093A32">
      <w:pPr>
        <w:pStyle w:val="BodyText"/>
        <w:ind w:firstLine="0"/>
        <w:rPr>
          <w:sz w:val="16"/>
          <w:szCs w:val="16"/>
        </w:rPr>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Cyclospora cayetanensis</w:t>
      </w:r>
      <w:r>
        <w:t xml:space="preserve"> tiene distribución mundial, aunque es endémico en algunos países como Nepal, Perú y Haití. Algunos brotes han provenido del consumo de alimentos y agua contaminados (como productos agrícolas). Según informes, una de las causas de diarrea de los viajeros y de casos ocasionales del mismo trastorno adquirido en la comunidad ha sido </w:t>
      </w:r>
      <w:r>
        <w:rPr>
          <w:rFonts w:ascii="Times New Roman" w:eastAsia="Times New Roman" w:hAnsi="Times New Roman" w:cs="Times New Roman"/>
          <w:i/>
          <w:iCs/>
          <w:sz w:val="16"/>
          <w:szCs w:val="16"/>
        </w:rPr>
        <w:t>Cyclospora cayetanensis.</w:t>
      </w:r>
    </w:p>
    <w:p w14:paraId="18DE475D" w14:textId="77777777" w:rsidR="00093A32" w:rsidRDefault="00093A32">
      <w:pPr>
        <w:pStyle w:val="BodyText"/>
        <w:ind w:firstLine="360"/>
      </w:pPr>
      <w:r>
        <w:t>No se ha corroborado la transmisión directa de una persona a otra, tal vez porque los oocistos excretados necesitan días o semanas en un entorno favorable para esporular y tornarse infectantes.</w:t>
      </w:r>
    </w:p>
    <w:p w14:paraId="22647C59" w14:textId="77777777" w:rsidR="00093A32" w:rsidRDefault="00093A32">
      <w:pPr>
        <w:pStyle w:val="BodyText"/>
        <w:ind w:firstLine="360"/>
        <w:sectPr w:rsidR="00093A32" w:rsidSect="00093A32">
          <w:headerReference w:type="even" r:id="rId200"/>
          <w:headerReference w:type="default" r:id="rId201"/>
          <w:footerReference w:type="even" r:id="rId202"/>
          <w:footerReference w:type="default" r:id="rId203"/>
          <w:headerReference w:type="first" r:id="rId204"/>
          <w:footerReference w:type="first" r:id="rId205"/>
          <w:footnotePr>
            <w:numFmt w:val="chicago"/>
          </w:footnotePr>
          <w:pgSz w:w="8501" w:h="13022"/>
          <w:pgMar w:top="708" w:right="805" w:bottom="440" w:left="770" w:header="0" w:footer="3" w:gutter="0"/>
          <w:cols w:space="720"/>
          <w:noEndnote/>
          <w:titlePg/>
          <w:docGrid w:linePitch="360"/>
          <w15:footnoteColumns w:val="1"/>
        </w:sectPr>
      </w:pPr>
      <w:r>
        <w:t xml:space="preserve">El </w:t>
      </w:r>
      <w:r>
        <w:rPr>
          <w:b/>
          <w:bCs/>
        </w:rPr>
        <w:t xml:space="preserve">periodo de incubación </w:t>
      </w:r>
      <w:r>
        <w:t xml:space="preserve">es de uno a siete días (límites, uno a 14 días). </w:t>
      </w:r>
      <w:r>
        <w:rPr>
          <w:b/>
          <w:bCs/>
        </w:rPr>
        <w:t>M</w:t>
      </w:r>
      <w:r>
        <w:rPr>
          <w:b/>
          <w:bCs/>
          <w:sz w:val="13"/>
          <w:szCs w:val="13"/>
        </w:rPr>
        <w:t>ÉTODOS DIAGNÓSTICOS</w:t>
      </w:r>
      <w:r>
        <w:rPr>
          <w:b/>
          <w:bCs/>
        </w:rPr>
        <w:t xml:space="preserve">: </w:t>
      </w:r>
      <w:r>
        <w:t xml:space="preserve">El diagnóstico se confirma al identificar oocistos en los excrementos (8 a 10 pm de diámetro). Los microorganismos se visualizan después de tinción modificada para acidorresistentes, pero también se detectan con un colorante a </w:t>
      </w:r>
    </w:p>
    <w:p w14:paraId="040339B4" w14:textId="77777777" w:rsidR="00093A32" w:rsidRDefault="00093A32">
      <w:pPr>
        <w:pStyle w:val="BodyText"/>
        <w:ind w:firstLine="0"/>
      </w:pPr>
      <w:r>
        <w:t>base de safranina, así como por el calentamiento de las extensiones de excrementos y por autofluorescencia.</w:t>
      </w:r>
    </w:p>
    <w:p w14:paraId="0AC959ED" w14:textId="77777777" w:rsidR="00093A32" w:rsidRDefault="00093A32">
      <w:pPr>
        <w:pStyle w:val="BodyText"/>
        <w:ind w:firstLine="0"/>
      </w:pPr>
      <w:r>
        <w:rPr>
          <w:b/>
          <w:bCs/>
        </w:rPr>
        <w:t>T</w:t>
      </w:r>
      <w:r>
        <w:rPr>
          <w:b/>
          <w:bCs/>
          <w:sz w:val="13"/>
          <w:szCs w:val="13"/>
        </w:rPr>
        <w:t>RATAMIENTO</w:t>
      </w:r>
      <w:r>
        <w:rPr>
          <w:b/>
          <w:bCs/>
        </w:rPr>
        <w:t xml:space="preserve">: </w:t>
      </w:r>
      <w:r>
        <w:t>La administración de trimetoprim-sulfametoxazol durante siete a 10 días es eficaz. Las personas infectadas del virus de inmunodeficiencia humana pueden necesitar dosis más altas y un lapso más largo de sostén.</w:t>
      </w:r>
    </w:p>
    <w:p w14:paraId="698BA107"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en niños con pañales o incontinentes durante todo el lapso que dure la enfermedad.</w:t>
      </w:r>
    </w:p>
    <w:p w14:paraId="2CAD71C5" w14:textId="77777777" w:rsidR="00093A32" w:rsidRDefault="00093A32">
      <w:pPr>
        <w:pStyle w:val="BodyText"/>
        <w:spacing w:after="100"/>
        <w:ind w:firstLine="0"/>
      </w:pPr>
      <w:r>
        <w:rPr>
          <w:b/>
          <w:bCs/>
        </w:rPr>
        <w:t>M</w:t>
      </w:r>
      <w:r>
        <w:rPr>
          <w:b/>
          <w:bCs/>
          <w:sz w:val="13"/>
          <w:szCs w:val="13"/>
        </w:rPr>
        <w:t>EDIDAS PREVENTIVAS</w:t>
      </w:r>
      <w:r>
        <w:rPr>
          <w:b/>
          <w:bCs/>
        </w:rPr>
        <w:t xml:space="preserve">: </w:t>
      </w:r>
      <w:r>
        <w:t>Los productos agrícolas frescos deben lavarse perfectamente antes de su consumo; sin embargo, dicha precaución no elimina del todo el peligro de transmisión.</w:t>
      </w:r>
    </w:p>
    <w:p w14:paraId="14F25F72" w14:textId="77777777" w:rsidR="00093A32" w:rsidRDefault="00093A32">
      <w:pPr>
        <w:pStyle w:val="Bodytext70"/>
        <w:spacing w:after="0"/>
      </w:pPr>
      <w:r>
        <w:t>Difteria</w:t>
      </w:r>
    </w:p>
    <w:p w14:paraId="314459D4"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difteria por lo común asume la forma clínica de nasofaringitis membranosa o laringotraqueítis obstructiva. Las infecciones locales ocasionan febrícula y el comienzo gradual de las manifestaciones en un lapso de uno a dos días. Con menor frecuencia, el cuadro inicial es de infección cutánea, vaginal, de conjuntivas u oídos. La difteria cutánea es más frecuente en áreas tropicales y personas sin hogar. Entre las complicaciones graves de la enfermedad están obstrucción de vías respiratorias altas causadas por formación extensa de membranas, miocarditis tóxica y neuropatías periféricas.</w:t>
      </w:r>
    </w:p>
    <w:p w14:paraId="2636E372"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Corynebacterium diphtheriae</w:t>
      </w:r>
      <w:r>
        <w:t xml:space="preserve"> es un bacilo pleomórfico, no móvil, no esporógeno, grampositivo que capta irregularmente algunos colorantes y que tiene cuatro tipos de colonias (mitis, intermedius, bellanti y gravis). Las cepas pueden ser toxígenas o no. La toxina extracelular comprende un dominio A, enzimáticamente activo, y un dominio B, de unión, que permite la penetración del dominio A al interior de las células. El gen de la toxina es transportado por una familia de fagos de corinebacterias afines. La toxina inactiva el factor-2 de elongación y con ello inhibe la síntesis de proteínas en células del miocardio y de nervios periféricos.</w:t>
      </w:r>
    </w:p>
    <w:p w14:paraId="22C0668E"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Los seres humanos constituyen el único reservorio identificado de </w:t>
      </w:r>
      <w:r>
        <w:rPr>
          <w:rFonts w:ascii="Times New Roman" w:eastAsia="Times New Roman" w:hAnsi="Times New Roman" w:cs="Times New Roman"/>
          <w:i/>
          <w:iCs/>
          <w:sz w:val="16"/>
          <w:szCs w:val="16"/>
        </w:rPr>
        <w:t>C. diphtheriae,</w:t>
      </w:r>
      <w:r>
        <w:t xml:space="preserve"> que aparece en secreciones de lesiones de vías nasales, faringe, ojos y piel, dos a seis semanas después de la infección. Las personas que han recibido un antimicrobiano apropiado generalmente transmiten la infección menos de cuatro días. La transmisión es consecuencia más bien del contacto cercano con un paciente o un portador; en raras ocasiones, los objetos inanimados y algunos alimentos pueden servir de vehículos de transmisión. La infección se observa en individuos vacunados en forma completa, parcial o no vacunados, pero la enfermedad es más frecuente y más grave en personas no vacunadas o que han recibido vacunación insuficiente. La incidencia de difteria respiratoria es máxima en el otoño y el invierno, pero pueden surgir epidemias veraniegas en climas húmedos y cálidos en que prevalecen las infecciones de la piel. Después de 1990 surgió difteria epidémica en todos los estados independientes de la antigua Unión Soviética, incluida Rusia, Ucrania y las repúblicas del centro de Asia. Los índices de letalidad variaron de 3 a 23% en tales epidemias.</w:t>
      </w:r>
    </w:p>
    <w:p w14:paraId="4A2B1CC4" w14:textId="77777777" w:rsidR="00093A32" w:rsidRDefault="00093A32">
      <w:pPr>
        <w:pStyle w:val="BodyText"/>
        <w:ind w:firstLine="360"/>
      </w:pPr>
      <w:r>
        <w:t xml:space="preserve">El </w:t>
      </w:r>
      <w:r>
        <w:rPr>
          <w:b/>
          <w:bCs/>
        </w:rPr>
        <w:t xml:space="preserve">periodo de incubación </w:t>
      </w:r>
      <w:r>
        <w:t xml:space="preserve">por lo común es de dos a siete días, pero a veces es más largo. </w:t>
      </w:r>
      <w:r>
        <w:rPr>
          <w:b/>
          <w:bCs/>
        </w:rPr>
        <w:t>M</w:t>
      </w:r>
      <w:r>
        <w:rPr>
          <w:b/>
          <w:bCs/>
          <w:sz w:val="13"/>
          <w:szCs w:val="13"/>
        </w:rPr>
        <w:t>ÉTODOS DIAGNÓSTICOS</w:t>
      </w:r>
      <w:r>
        <w:rPr>
          <w:b/>
          <w:bCs/>
        </w:rPr>
        <w:t xml:space="preserve">: </w:t>
      </w:r>
      <w:r>
        <w:t>Es importante obtener de las lesiones de las vías nasales, faringe o cualquier mucosa o piel, muestras para cultivos; habrá que obtenerlas de un plano por debajo de la membrana, o inclusive parte de la misma debe ser enviada para</w:t>
      </w:r>
    </w:p>
    <w:p w14:paraId="72FB7A78" w14:textId="77777777" w:rsidR="00093A32" w:rsidRDefault="00093A32">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todos los pacientes de TSS atribuible a </w:t>
      </w:r>
      <w:r>
        <w:rPr>
          <w:rFonts w:ascii="Times New Roman" w:eastAsia="Times New Roman" w:hAnsi="Times New Roman" w:cs="Times New Roman"/>
          <w:i/>
          <w:iCs/>
          <w:sz w:val="16"/>
          <w:szCs w:val="16"/>
        </w:rPr>
        <w:t>5. pyogenes</w:t>
      </w:r>
      <w:r>
        <w:t xml:space="preserve"> se recomienda seguir las precauciones estándar, así como las que evitan la transmisión por gotículas y contactos. La transmisión directa de </w:t>
      </w:r>
      <w:r>
        <w:rPr>
          <w:rFonts w:ascii="Times New Roman" w:eastAsia="Times New Roman" w:hAnsi="Times New Roman" w:cs="Times New Roman"/>
          <w:i/>
          <w:iCs/>
          <w:sz w:val="16"/>
          <w:szCs w:val="16"/>
        </w:rPr>
        <w:t>5. aureus</w:t>
      </w:r>
      <w:r>
        <w:t xml:space="preserve"> en TSS es poco común, por lo que se necesitan sólo las precauciones estándar.</w:t>
      </w:r>
    </w:p>
    <w:p w14:paraId="349643AF" w14:textId="77777777" w:rsidR="00093A32" w:rsidRDefault="00093A3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medidas preventivas de TSS mediada por </w:t>
      </w:r>
      <w:r>
        <w:rPr>
          <w:rFonts w:ascii="Times New Roman" w:eastAsia="Times New Roman" w:hAnsi="Times New Roman" w:cs="Times New Roman"/>
          <w:i/>
          <w:iCs/>
          <w:sz w:val="16"/>
          <w:szCs w:val="16"/>
        </w:rPr>
        <w:t>5. pyogenes</w:t>
      </w:r>
      <w:r>
        <w:t xml:space="preserve"> son iguales a las que se siguen en otras formas de infecciones estreptocócicas del grupo A invasoras y graves (véase “Estreptococos del grupo A, infecciones”, en esta sección).</w:t>
      </w:r>
    </w:p>
    <w:p w14:paraId="03AF4E3F" w14:textId="77777777" w:rsidR="00093A32" w:rsidRDefault="00093A32">
      <w:pPr>
        <w:pStyle w:val="BodyText"/>
        <w:spacing w:after="100"/>
        <w:ind w:firstLine="360"/>
      </w:pPr>
      <w:r>
        <w:t xml:space="preserve">En el caso de TSS mediada por </w:t>
      </w:r>
      <w:r>
        <w:rPr>
          <w:rFonts w:ascii="Times New Roman" w:eastAsia="Times New Roman" w:hAnsi="Times New Roman" w:cs="Times New Roman"/>
          <w:i/>
          <w:iCs/>
          <w:sz w:val="16"/>
          <w:szCs w:val="16"/>
        </w:rPr>
        <w:t>5. aureus,</w:t>
      </w:r>
      <w:r>
        <w:t xml:space="preserve"> las medidas preventivas son iguales a las que se siguen en otras formas de enfermedades graves por estafilococos (véase “Estafilococos, infecciones”, en esta sección).</w:t>
      </w:r>
    </w:p>
    <w:p w14:paraId="775966CE" w14:textId="77777777" w:rsidR="00093A32" w:rsidRDefault="00093A32">
      <w:pPr>
        <w:pStyle w:val="Bodytext70"/>
        <w:spacing w:after="0"/>
      </w:pPr>
      <w:r>
        <w:t>Citomegálico, virus, infecciones</w:t>
      </w:r>
    </w:p>
    <w:p w14:paraId="3BC9D536"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manifestaciones de la infección por dicho virus varían con la edad del hospedador y su estado de inmunocompetencia. Los cuadros asintomáticos son los más frecuentes, particularmente en niños. En adolescentes y adultos surge un síndrome similar al de la mononucleosis infecciosa, que comprende fiebre duradera y hepatitis mínima, en ausencia de producción de anticuerpos heterófilos. Se observan neumonía, colitis y retinitis en hospedadores inmunodeficientes (particularmente entre quienes son tratados contra cánceres), en personas infectadas del virus de inmunodeficiencia humana (VIH) y en pacientes que reciben inmunosupresores por algún trasplante de órganos.</w:t>
      </w:r>
    </w:p>
    <w:p w14:paraId="49055381" w14:textId="77777777" w:rsidR="00093A32" w:rsidRDefault="00093A32">
      <w:pPr>
        <w:pStyle w:val="BodyText"/>
        <w:ind w:firstLine="360"/>
      </w:pPr>
      <w:r>
        <w:t>La infección congénita tiene manifestaciones muy diversas, aunque por lo común no origina síntomas. Se observa que algunos productos infectados en forma congénita que no muestran síntomas al nacer más tarde tienen hipoacusia o discapacidades del aprendizaje. En promedio, 10% de los pequeños con infección congénita tienen ataque profundo que se manifiesta ya desde el nacimiento, con signos que incluyen retardo del crecimiento intrauterino, ictericia, púrpura, hepatosplenomegalia, microcefalia, calcificaciones intracerebrales y retinitis.</w:t>
      </w:r>
    </w:p>
    <w:p w14:paraId="6C61625D" w14:textId="77777777" w:rsidR="00093A32" w:rsidRDefault="00093A32">
      <w:pPr>
        <w:pStyle w:val="BodyText"/>
        <w:ind w:firstLine="360"/>
      </w:pPr>
      <w:r>
        <w:t>La infección adquirida al nacer el producto o poco después, por las secreciones cervicouterinas de la gestante o de la leche materna, generalmente no se acompaña de enfermedad clínica. La infección que es consecuencia de transfusión de sangre o hemoderivados de donantes seropositivos (que tienen virus citomegálico) a pequeños pretérmino, ha ocasionado síntomas sistémicos, incluida la enfermedad de la porción baja de las vías respiratorias.</w:t>
      </w:r>
    </w:p>
    <w:p w14:paraId="6F077634" w14:textId="77777777" w:rsidR="00093A32" w:rsidRDefault="00093A32">
      <w:pPr>
        <w:pStyle w:val="BodyText"/>
        <w:ind w:firstLine="0"/>
      </w:pPr>
      <w:r>
        <w:rPr>
          <w:b/>
          <w:bCs/>
        </w:rPr>
        <w:t>C</w:t>
      </w:r>
      <w:r>
        <w:rPr>
          <w:b/>
          <w:bCs/>
          <w:sz w:val="13"/>
          <w:szCs w:val="13"/>
        </w:rPr>
        <w:t>AUSA</w:t>
      </w:r>
      <w:r>
        <w:rPr>
          <w:b/>
          <w:bCs/>
        </w:rPr>
        <w:t xml:space="preserve">: </w:t>
      </w:r>
      <w:r>
        <w:t>Virus citomegálico humano, que posee DNA y es miembro del grupo de virus herpéticos.</w:t>
      </w:r>
    </w:p>
    <w:p w14:paraId="0C4EA2CD" w14:textId="77777777" w:rsidR="00093A32" w:rsidRDefault="00093A32">
      <w:pPr>
        <w:pStyle w:val="BodyText"/>
        <w:ind w:firstLine="0"/>
      </w:pPr>
      <w:r>
        <w:rPr>
          <w:b/>
          <w:bCs/>
        </w:rPr>
        <w:t>A</w:t>
      </w:r>
      <w:r>
        <w:rPr>
          <w:b/>
          <w:bCs/>
          <w:sz w:val="13"/>
          <w:szCs w:val="13"/>
        </w:rPr>
        <w:t>SPECTOS EPIDEMIOLÓGICOS</w:t>
      </w:r>
      <w:r>
        <w:rPr>
          <w:b/>
          <w:bCs/>
        </w:rPr>
        <w:t xml:space="preserve">: </w:t>
      </w:r>
      <w:r>
        <w:t>El virus citomegálico muestra enorme especificidad de especie y se sabe que sólo las cepas humanas producen enfermedad clínica. La partícula está distribuida ampliamente y muestra transmisión horizontal (contacto directo de persona a persona con secreciones que contienen el virus); en sentido vertical (de la madre al producto antes del parto, durante él o después de ocurrido) y por transfusiones de sangre, plaquetas y leucocitos provenientes de personas infectadas (véase “Aspectos de seguridad en el uso de sangre y hemoderivados: disminución del riesgo de infecciones transmitidas en transfusiones”, sección 2). Las infecciones no tienen predilección por estaciones del año. El virus persiste en forma latente después de una infección primaria, y años después puede reactivarse, particularmente en casos de inmunosupresión.</w:t>
      </w:r>
    </w:p>
    <w:p w14:paraId="3FC85A54" w14:textId="77777777" w:rsidR="00093A32" w:rsidRDefault="00093A32">
      <w:pPr>
        <w:pStyle w:val="BodyText"/>
        <w:ind w:firstLine="360"/>
      </w:pPr>
      <w:r>
        <w:t>La transmisión horizontal probablemente es resultado de contaminación por saliva, pero también pudiera intervenir el contacto con orina infectada. Se ha corroborado la propagación del virus en círculos hogareños y centros de atención pediátrica. Los índices de excreción en los centros mencionados pueden llegar a 70% en niños de uno a tres años de vida. Los menores de corta edad transmiten el virus a sus padres y otros cuidadores como el personal de atención pediátrica (véase también “Niños en el sistema asistencial extrahogareño”, sección 2). En adolescentes y adultos también surge la transmisión sexual, tal como se corrobora por la presencia del virus en líquidos seminales y cervicouterinos.</w:t>
      </w:r>
    </w:p>
    <w:p w14:paraId="043E29C7" w14:textId="77777777" w:rsidR="00093A32" w:rsidRDefault="00093A32">
      <w:pPr>
        <w:pStyle w:val="BodyText"/>
        <w:ind w:firstLine="360"/>
      </w:pPr>
      <w:r>
        <w:t>Las personas sanas seropositivas muestran el virus en estado de latencia en sus leucocitos y tejidos; por tal motivo, las transfusiones de sangre y el trasplante de órganos por ellos donados pueden transmitir la partícula. Hay mayor posibilidad que surja enfermedad grave por el virus si el receptor es seronegativo o es un prematuro. El virus latente por lo común mostrará reactivación en personas inmunosuprimidas y puede causar enfermedad si la inmunosupresión es profunda (como en el caso de individuos con el síndrome de inmunodeficiencia adquirida y quienes han recibido órganos sólidos y médula ósea en trasplante).</w:t>
      </w:r>
    </w:p>
    <w:p w14:paraId="5FD561ED" w14:textId="77777777" w:rsidR="00093A32" w:rsidRDefault="00093A32">
      <w:pPr>
        <w:pStyle w:val="BodyText"/>
        <w:ind w:firstLine="360"/>
      </w:pPr>
      <w:r>
        <w:t xml:space="preserve">La transmisión vertical del virus a un lactante ocurre por alguno de los mecanismos siguientes: 1) </w:t>
      </w:r>
      <w:r>
        <w:rPr>
          <w:rFonts w:ascii="Times New Roman" w:eastAsia="Times New Roman" w:hAnsi="Times New Roman" w:cs="Times New Roman"/>
          <w:i/>
          <w:iCs/>
          <w:sz w:val="16"/>
          <w:szCs w:val="16"/>
        </w:rPr>
        <w:t>in utero</w:t>
      </w:r>
      <w:r>
        <w:t xml:space="preserve"> por el paso transplacentario del virus por la sangre de la madre; 2) al nacer el producto y pasar por el conducto infectado del parto; o 3) en fase posnatal por ingestión de leche materna que posea el virus citomegálico. En promedio, 1% de todos los productos vivos son infectados in utero y excretan el virus al nacer. La infección fetal in utero puede surgir después de la infección primaria de la gestante o de la reactivación de la infección durante el embarazo, pero las secuelas son mucho más frecuentes en pequeños expuestos a la infección primaria de su madre, y 10 a 20% tienen retardo mental diagnosticado o sordera neurosensorial en la niñez, y 10%, manifestaciones ya evidentes al nacer.</w:t>
      </w:r>
    </w:p>
    <w:p w14:paraId="181AA880" w14:textId="77777777" w:rsidR="00093A32" w:rsidRDefault="00093A32">
      <w:pPr>
        <w:pStyle w:val="BodyText"/>
        <w:ind w:firstLine="360"/>
      </w:pPr>
      <w:r>
        <w:t>La infección cervicouterina de la mujer es frecuente y origina exposición de muchos pequeños al virus, en el conducto del parto. Las cifras de excreción por el cuello uterino son muy altas en madres jóvenes en grupos socioeconómicos bajos. La neumonía intersticial causada por el virus puede surgir en los primeros meses de vida del pequeño, pero casi todos los lactantes infectados permanecen asintomáticos. En forma semejante, a pesar de que el cuadro sintomático puede aparecer en productos seronegativos alimentados con leche materna infectada, casi todos los pequeños infectados por tal mecanismo no terminan por mostrar enfermedad clínica, muy posiblemente por la presencia de anticuerpos maternos transferidos de manera pasiva. Entre los pequeños que adquieren infección de secreciones cervicouterinas de la madre o de la leche materna, los prematuros están expuestos a mayor peligro de tener la enfermedad sintomática y sus secuelas, en comparación con los pequeños a término.</w:t>
      </w:r>
    </w:p>
    <w:p w14:paraId="51BF0373" w14:textId="77777777" w:rsidR="00093A32" w:rsidRDefault="00093A32">
      <w:pPr>
        <w:pStyle w:val="BodyText"/>
        <w:ind w:firstLine="360"/>
      </w:pPr>
      <w:r>
        <w:t xml:space="preserve">Se desconoce el </w:t>
      </w:r>
      <w:r>
        <w:rPr>
          <w:b/>
          <w:bCs/>
        </w:rPr>
        <w:t xml:space="preserve">periodo de incubación </w:t>
      </w:r>
      <w:r>
        <w:t>en la transmisión horizontal de las infecciones por virus citomegálico en círculos hogareños. La infección se manifiesta casi siempre tres a 12 semanas después de transfusiones de sangre, y uno a cuatro meses después del trasplante de tejidos.</w:t>
      </w:r>
    </w:p>
    <w:p w14:paraId="27F44186" w14:textId="77777777" w:rsidR="00093A32" w:rsidRDefault="00093A32">
      <w:pPr>
        <w:pStyle w:val="BodyText"/>
        <w:ind w:firstLine="0"/>
      </w:pPr>
      <w:r>
        <w:rPr>
          <w:b/>
          <w:bCs/>
        </w:rPr>
        <w:t>M</w:t>
      </w:r>
      <w:r>
        <w:rPr>
          <w:b/>
          <w:bCs/>
          <w:sz w:val="13"/>
          <w:szCs w:val="13"/>
        </w:rPr>
        <w:t>ÉTODOS DIAGNÓSTICOS</w:t>
      </w:r>
      <w:r>
        <w:rPr>
          <w:b/>
          <w:bCs/>
        </w:rPr>
        <w:t xml:space="preserve">: </w:t>
      </w:r>
      <w:r>
        <w:t>El diagnóstico de enfermedad por virus citomegálico recibe la influencia desorientadora de elementos como la distribución extensísima del virus, la cifra alta de excreción asintomática, la frecuencia de infecciones reactivadas, la aparición de anticuerpos específicos contra el virus, del tipo de inmunoglobulina (Ig) M sérica en algunos episodios de reactivación y la infección concomitante con otros patógenos.</w:t>
      </w:r>
    </w:p>
    <w:p w14:paraId="608276FD" w14:textId="77777777" w:rsidR="00093A32" w:rsidRDefault="00093A32">
      <w:pPr>
        <w:pStyle w:val="BodyText"/>
        <w:ind w:firstLine="360"/>
      </w:pPr>
      <w:r>
        <w:t>Es posible aislar el virus en cultivo celular de materiales como orina, exudado faríngeo, leucocitos de sangre periférica, leche materna, semen, secreciones cervicouterinas y otros tejidos y líquidos corporales. El estudio de las células excretadas en orina en busca de inclusiones intranucleares es un estudio no sensible.</w:t>
      </w:r>
    </w:p>
    <w:p w14:paraId="081BA26D" w14:textId="77777777" w:rsidR="00093A32" w:rsidRDefault="00093A32">
      <w:pPr>
        <w:pStyle w:val="BodyText"/>
        <w:ind w:firstLine="360"/>
      </w:pPr>
      <w:r>
        <w:t>La identificación del virus en un órgano afectado constituye prueba de gran peso de que la enfermedad es causada por infección de virus citomegálico. Se puede hacer el diagnóstico presuncional con base en un incremento cuádruple del título de anticuerpos en pares de muestras de suero, o por demostración de excreción del virus. Algunos laboratorios de especialidades practican técnicas para detectar DNA vírico en tejidos de algunos líquidos, en particular el cefalorraquídeo, por reacción en cadena de polimerasa o hibridación. Se usa la detección del antígeno pp65 en leucocitos para detectar la infección en hospedadores inmunodeficientes.</w:t>
      </w:r>
    </w:p>
    <w:p w14:paraId="2732F342" w14:textId="77777777" w:rsidR="00093A32" w:rsidRDefault="00093A32">
      <w:pPr>
        <w:pStyle w:val="BodyText"/>
        <w:ind w:firstLine="360"/>
      </w:pPr>
      <w:r>
        <w:t>La fijación de complemento es el estudio serológico menos sensible para detectar los anticuerpos contra virus citomegálico, y por tal motivo, no debe utilizarse para identificar alguna infección previa. Para este fin son preferibles algunos métodos de inmunofluorescencia, la hemaglutinación indirecta, las técnicas de aglutinación de látex y los inmunoanálisis enzimáticos.</w:t>
      </w:r>
    </w:p>
    <w:p w14:paraId="68AB05A3" w14:textId="77777777" w:rsidR="00093A32" w:rsidRDefault="00093A32">
      <w:pPr>
        <w:pStyle w:val="BodyText"/>
        <w:ind w:firstLine="360"/>
      </w:pPr>
      <w:r>
        <w:t>Para que se corrobore la presencia de una infección congénita es necesario detectar el virus en cultivo, hecho en término de tres semanas del nacimiento. Es difícil distinguir entre la infección intrauterina y la perinatal en la etapa ulterior de la lactancia, salvo que las manifestaciones clínicas de la primera, como la coriorretinitis o la ventriculitis, aparezcan. Un resultado fuertemente positivo de una prueba en busca de anticuerpos séricos de tipo IgM contra virus citomegálico es sugestiva durante la lactancia temprana, pero los métodos de detección de anticuerpos IgM varían en exactitud para identificar una infección primaria.</w:t>
      </w:r>
    </w:p>
    <w:p w14:paraId="0404362E" w14:textId="77777777" w:rsidR="00093A32" w:rsidRDefault="00093A32">
      <w:pPr>
        <w:pStyle w:val="BodyText"/>
        <w:ind w:firstLine="0"/>
      </w:pPr>
      <w:r>
        <w:rPr>
          <w:b/>
          <w:bCs/>
        </w:rPr>
        <w:t>T</w:t>
      </w:r>
      <w:r>
        <w:rPr>
          <w:b/>
          <w:bCs/>
          <w:sz w:val="13"/>
          <w:szCs w:val="13"/>
        </w:rPr>
        <w:t>RATAMIENTO</w:t>
      </w:r>
      <w:r>
        <w:rPr>
          <w:b/>
          <w:bCs/>
        </w:rPr>
        <w:t xml:space="preserve">: </w:t>
      </w:r>
      <w:r>
        <w:t xml:space="preserve">El ganciclovir (véase “Antivíricos contra infecciones no producidas por VIH”, sección 4) es beneficioso para tratar la retinitis causada por infección adquirida o recurrente por virus citomegálico en sujetos infectados por VIH. En Estados Unidos se ha aprobado el uso de dicho fármaco para tratar la retinitis grave en adultos inmunodeficientes. Los escasos datos en niños sugieren que su inocuidad y eficacia son semejantes a las observadas en adultos. La combinación del ganciclovir ingerido y un implante intraocular del mismo fármaco es eficaz en adultos con retinitis por virus citomegálico, pero no se dispone de datos al respecto en los niños. El ganciclovir suele ser útil en otros tipos de ataque de órganos por el virus citomegálico. A pesar de que dicho medicamento se ha utilizado para tratar a algunos pequeños con infecciones congénitas, no se recomienda su empleo sistemático porque no son suficientes los datos de su eficacia. Los datos de un estudio en la administración del fármaco en cuestión en neonatos con infección congénita y enfermedad del sistema nervioso central (SNC) sugirieron que dicha farmacoterapia disminuiría el peligro de deficiencias auditivas. Sin embargo, ante la posible toxicidad por el uso prolongado del ganciclovir, se necesitan más estudios antes de hacer recomendaciones al respecto. En niños que reciben médula ósea y trasplante, según informes, la combinación de concentrado inmunoglobulínico intravenoso contra el virus citomegálico y el ganciclovir por vía intravenosa, muestra un efecto sinérgico en el tratamiento de la neumonía por virus citomegálico. En Estados Unidos también se ha aprobado la combinación de foscarnet sódico y clorhidrato de valganciclovir para tratar la retinitis por virus citomegálico en adultos, y constituyen fármacos de uso alternativo (véase “Antivíricos contra infecciones no producidas por VIH”, sección 4). Los fármacos mencionados son más tóxicos, pero pudieran brindar algunas ventajas en algunos sujetos con infección por VIH, incluidos aquellos que tienen enfermedad causada por virus resistentes al ganciclovir o personas que no toleran dicho medicamento. El cidofovir es eficaz para tratar la retinitis por virus citomegálico en adultos, pero no se le ha estudiado en niños y es nefrotóxico. En Estados Unidos la </w:t>
      </w:r>
      <w:r>
        <w:rPr>
          <w:rFonts w:ascii="Times New Roman" w:eastAsia="Times New Roman" w:hAnsi="Times New Roman" w:cs="Times New Roman"/>
          <w:i/>
          <w:iCs/>
          <w:sz w:val="16"/>
          <w:szCs w:val="16"/>
        </w:rPr>
        <w:t>Food and Drug Administration</w:t>
      </w:r>
      <w:r>
        <w:t xml:space="preserve"> ha aprobado el uso de fomivirsen sódico para administración intraocular.</w:t>
      </w:r>
    </w:p>
    <w:p w14:paraId="309F2EC5" w14:textId="77777777" w:rsidR="00093A32" w:rsidRDefault="00093A32">
      <w:pPr>
        <w:pStyle w:val="BodyText"/>
        <w:spacing w:after="220"/>
        <w:ind w:firstLine="360"/>
      </w:pPr>
      <w:r>
        <w:t xml:space="preserve">Los agentes antivíricos disponibles no curan la enfermedad por virus citomegálico en sujetos infectados con VIH. Se necesita profilaxia permanente en pacientes con el antecedente de ataque por virus citomegálico, para evitar la recidiva. El tratamiento con antirretrovíricos fuertemente activos </w:t>
      </w:r>
      <w:r>
        <w:rPr>
          <w:i/>
          <w:iCs/>
        </w:rPr>
        <w:t>(</w:t>
      </w:r>
      <w:r>
        <w:rPr>
          <w:rFonts w:ascii="Times New Roman" w:eastAsia="Times New Roman" w:hAnsi="Times New Roman" w:cs="Times New Roman"/>
          <w:i/>
          <w:iCs/>
          <w:sz w:val="16"/>
          <w:szCs w:val="16"/>
        </w:rPr>
        <w:t>highly active antiretroviral therapy</w:t>
      </w:r>
      <w:r>
        <w:rPr>
          <w:i/>
          <w:iCs/>
        </w:rPr>
        <w:t>,</w:t>
      </w:r>
      <w:r>
        <w:t xml:space="preserve"> HAART) ha disminuido notablemente la gravedad del ataque. En niños con enfermedad por virus citomegálico no se cuenta con datos que orienten la decisión de interrumpir la profilaxia secundaria (terapia de sostén crónico) cuando el número de linfocitos T CD4+ ha aumentado en respuesta al tratamiento con antirretrovíricos fuertemente activos. </w:t>
      </w:r>
      <w:r>
        <w:rPr>
          <w:b/>
          <w:bCs/>
          <w:smallCaps/>
          <w:sz w:val="20"/>
          <w:szCs w:val="20"/>
        </w:rPr>
        <w:t>A</w:t>
      </w:r>
      <w:r>
        <w:rPr>
          <w:b/>
          <w:bCs/>
          <w:smallCaps/>
          <w:sz w:val="16"/>
          <w:szCs w:val="16"/>
        </w:rPr>
        <w:t>islamiento de pacientes hospitalizados</w:t>
      </w:r>
      <w:r>
        <w:rPr>
          <w:b/>
          <w:bCs/>
          <w:smallCaps/>
          <w:sz w:val="20"/>
          <w:szCs w:val="20"/>
        </w:rPr>
        <w:t>:</w:t>
      </w:r>
      <w:r>
        <w:t xml:space="preserve"> Se recomienda cumplir las precauciones estándar.</w:t>
      </w:r>
    </w:p>
    <w:p w14:paraId="65D20DE9"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466C9563" w14:textId="77777777" w:rsidR="00093A32" w:rsidRDefault="00093A32">
      <w:pPr>
        <w:pStyle w:val="BodyText"/>
        <w:spacing w:line="276" w:lineRule="auto"/>
        <w:ind w:firstLine="0"/>
      </w:pPr>
      <w:r>
        <w:rPr>
          <w:rFonts w:ascii="Arial" w:eastAsia="Arial" w:hAnsi="Arial" w:cs="Arial"/>
          <w:b/>
          <w:bCs/>
          <w:i/>
          <w:iCs/>
          <w:sz w:val="15"/>
          <w:szCs w:val="15"/>
        </w:rPr>
        <w:t>Atención de personas expuestas.</w:t>
      </w:r>
      <w:r>
        <w:t xml:space="preserve"> Al atender a todos los niños, es recomendable la higiene de las manos, en particular después de cambiar pañales, para disminuir la transmisión de virus citomegálico. La excreción asintomática del virus es frecuente en personas de todas las edades, y por tal razón habrá que tratar al niño con infección congénita por el virus en la misma forma como se trata a otros menores; no se le excluirá de la escuela o instituciones de cuidado. No están indicados programas de detección en instituciones de cuidado a largo plazo, en busca de niños que excretan virus citomegálico.</w:t>
      </w:r>
    </w:p>
    <w:p w14:paraId="4EABC677" w14:textId="77777777" w:rsidR="00093A32" w:rsidRDefault="00093A32">
      <w:pPr>
        <w:pStyle w:val="BodyText"/>
        <w:ind w:firstLine="360"/>
      </w:pPr>
      <w:r>
        <w:t>Si bien la exposición no reconocida a personas que dispersan el virus en forma asintomática probablemente sea frecuente, surge preocupación cuando personas inmunodeficientes, embarazadas o profesionales de atención sanitarias quedan expuestos a sujetos con infección por virus citomegálico clínicamente detectable. Los estudios serológicos se pueden utilizar para identificar a personas no inmunes. Si así conviene, por medio de estudios serológicos de vigilancia, de personas seronegativas se podrá saber si ha surgido la infección, pero no se recomienda la práctica habitual de métodos de detección serológica.</w:t>
      </w:r>
    </w:p>
    <w:p w14:paraId="2EE9925B" w14:textId="77777777" w:rsidR="00093A32" w:rsidRDefault="00093A32">
      <w:pPr>
        <w:pStyle w:val="BodyText"/>
        <w:ind w:firstLine="360"/>
      </w:pPr>
      <w:r>
        <w:t>Una medida prudente sería evitar la exposición de pacientes fuertemente inmunodeficientes a casos diagnosticados de infección por virus citomegálico. Debido a que puede surgir la exposición inadvertida, habrá que utilizar métodos de erradicación de la infección, como serían la higiene cuidadosa de las manos.</w:t>
      </w:r>
    </w:p>
    <w:p w14:paraId="51A07FB4" w14:textId="77777777" w:rsidR="00093A32" w:rsidRDefault="00093A32">
      <w:pPr>
        <w:pStyle w:val="BodyText"/>
        <w:ind w:firstLine="360"/>
      </w:pPr>
      <w:r>
        <w:t>Las embarazadas en el personal que pudieran estar en contacto con pacientes infectados por virus citomegálico deben recibir información de los posibles riesgos de contagio, así como seguir las precauciones universales y una higiene meticulosa, en particular de las manos. En promedio, 1% de los neonatos en casi todas las salas de cuna, y un porcentaje mayor de niños más grandes, excretan virus citomegálico sin manifestaciones clínicas. Los peligros para el feto alcanzan su nivel máximo en la primera mitad de la gestación. Se ha utilizado amniocentesis en pequeñas series de pacientes para definir la presencia de infección intrauterina.</w:t>
      </w:r>
    </w:p>
    <w:p w14:paraId="155003A5" w14:textId="77777777" w:rsidR="00093A32" w:rsidRDefault="00093A32">
      <w:pPr>
        <w:pStyle w:val="BodyText"/>
        <w:spacing w:line="298" w:lineRule="auto"/>
        <w:ind w:firstLine="360"/>
        <w:sectPr w:rsidR="00093A32" w:rsidSect="00093A32">
          <w:headerReference w:type="even" r:id="rId206"/>
          <w:headerReference w:type="default" r:id="rId207"/>
          <w:footerReference w:type="even" r:id="rId208"/>
          <w:footerReference w:type="default" r:id="rId209"/>
          <w:headerReference w:type="first" r:id="rId210"/>
          <w:footerReference w:type="first" r:id="rId211"/>
          <w:footnotePr>
            <w:numFmt w:val="chicago"/>
          </w:footnotePr>
          <w:pgSz w:w="8501" w:h="13022"/>
          <w:pgMar w:top="708" w:right="805" w:bottom="440" w:left="770" w:header="0" w:footer="3" w:gutter="0"/>
          <w:cols w:space="720"/>
          <w:noEndnote/>
          <w:titlePg/>
          <w:docGrid w:linePitch="360"/>
          <w15:footnoteColumns w:val="1"/>
        </w:sectPr>
      </w:pPr>
      <w:r>
        <w:rPr>
          <w:rFonts w:ascii="Arial" w:eastAsia="Arial" w:hAnsi="Arial" w:cs="Arial"/>
          <w:b/>
          <w:bCs/>
          <w:i/>
          <w:iCs/>
          <w:sz w:val="15"/>
          <w:szCs w:val="15"/>
        </w:rPr>
        <w:t>Atención de niños (véase también “Niños en el sistema asistencial extrahogareño”, sección 2).</w:t>
      </w:r>
      <w:r>
        <w:t xml:space="preserve"> Es importante que las mujeres que trabajan en centros de atención pediátrica cuenten con programas educativos que les señalen los aspectos epidemiológicos del virus citomegálico, sus riesgos potenciales y las medidas de higiene </w:t>
      </w:r>
    </w:p>
    <w:p w14:paraId="39A88FF5" w14:textId="77777777" w:rsidR="00093A32" w:rsidRDefault="00093A32">
      <w:pPr>
        <w:pStyle w:val="BodyText"/>
        <w:spacing w:line="298" w:lineRule="auto"/>
        <w:ind w:firstLine="0"/>
      </w:pPr>
      <w:r>
        <w:t>apropiadas, para así reducir al mínimo la infección de origen ocupacional. Al parecer, el riesgo mayor lo corre el personal de atención pediátrica que atiende pequeños menores de dos años de vida. No se recomienda la detección serológica sistemática de anticuerpos contra virus citomegálico en el personal que labora en los centros mencionados.</w:t>
      </w:r>
    </w:p>
    <w:p w14:paraId="12A77AA1" w14:textId="77777777" w:rsidR="00093A32" w:rsidRDefault="00093A32">
      <w:pPr>
        <w:pStyle w:val="BodyText"/>
        <w:spacing w:line="276" w:lineRule="auto"/>
        <w:ind w:firstLine="360"/>
      </w:pPr>
      <w:r>
        <w:rPr>
          <w:rFonts w:ascii="Arial" w:eastAsia="Arial" w:hAnsi="Arial" w:cs="Arial"/>
          <w:b/>
          <w:bCs/>
          <w:i/>
          <w:iCs/>
          <w:sz w:val="15"/>
          <w:szCs w:val="15"/>
        </w:rPr>
        <w:t>Inmunoprofilaxia.</w:t>
      </w:r>
      <w:r>
        <w:t xml:space="preserve"> Se cuenta con el concentrado inmunoglobulínico intravenoso contra virus citomegálico para evitar la enfermedad en personas seronegativas que recibirán trasplantes. La eficacia del concentrado en cuestión parece ser moderada entre quienes recibirán injertos de riñones o de hígado. Los resultados de estudios de su empleo para evitar la transmisión de virus citomegálico a neonatos no son concluyentes. Está en marcha la valoración de vacunas experimentales en voluntarios sanos y personas que reciben riñones en trasplante.</w:t>
      </w:r>
    </w:p>
    <w:p w14:paraId="3E18370C" w14:textId="77777777" w:rsidR="00093A32" w:rsidRDefault="00093A32">
      <w:pPr>
        <w:pStyle w:val="BodyText"/>
        <w:spacing w:line="276" w:lineRule="auto"/>
        <w:ind w:firstLine="360"/>
      </w:pPr>
      <w:r>
        <w:rPr>
          <w:rFonts w:ascii="Arial" w:eastAsia="Arial" w:hAnsi="Arial" w:cs="Arial"/>
          <w:b/>
          <w:bCs/>
          <w:i/>
          <w:iCs/>
          <w:sz w:val="15"/>
          <w:szCs w:val="15"/>
        </w:rPr>
        <w:t>Prevención de la transmisión por transfusión de sangre.</w:t>
      </w:r>
      <w:r>
        <w:t xml:space="preserve"> La transmisión del virus citomegálico por sangre transfundida a neonatos y otros hospedadores inmunodeficientes se ha eliminado casi del todo al recurrir a donantes que no tengan anticuerpos contra dicho virus, congelar eritrocitos en glicerol antes de administrarlos, eliminar la capa leucocítica o mediante la filtración para eliminar los glóbulos blancos.</w:t>
      </w:r>
    </w:p>
    <w:p w14:paraId="4204A8EB" w14:textId="77777777" w:rsidR="00093A32" w:rsidRDefault="00093A32">
      <w:pPr>
        <w:pStyle w:val="BodyText"/>
        <w:spacing w:line="276" w:lineRule="auto"/>
        <w:ind w:firstLine="360"/>
      </w:pPr>
      <w:r>
        <w:rPr>
          <w:rFonts w:ascii="Arial" w:eastAsia="Arial" w:hAnsi="Arial" w:cs="Arial"/>
          <w:b/>
          <w:bCs/>
          <w:i/>
          <w:iCs/>
          <w:sz w:val="15"/>
          <w:szCs w:val="15"/>
        </w:rPr>
        <w:t>Prevención de la transmisión por leche materna.</w:t>
      </w:r>
      <w:r>
        <w:t xml:space="preserve"> Pasteurizar o congelar la leche materna donada son métodos que disminuyen la posibilidad de transmisión del virus. Si se necesita leche fresca donada para hijos de madres que no tienen los anticuerpos contra virus citomegálico, habrá que pensar en alimentarlos con leche que se obtenga sólo de mujeres sin los anticuerpos mencionados. Para mayor información sobre estos métodos véase “Leche materna”, sección 2.</w:t>
      </w:r>
    </w:p>
    <w:p w14:paraId="47D105E1" w14:textId="77777777" w:rsidR="00093A32" w:rsidRDefault="00093A32">
      <w:pPr>
        <w:pStyle w:val="BodyText"/>
        <w:spacing w:after="320" w:line="276" w:lineRule="auto"/>
        <w:ind w:firstLine="360"/>
      </w:pPr>
      <w:r>
        <w:rPr>
          <w:rFonts w:ascii="Arial" w:eastAsia="Arial" w:hAnsi="Arial" w:cs="Arial"/>
          <w:b/>
          <w:bCs/>
          <w:i/>
          <w:iCs/>
          <w:sz w:val="15"/>
          <w:szCs w:val="15"/>
        </w:rPr>
        <w:t>Formas de evitar la transmisión en quienes reciben trasplante.</w:t>
      </w:r>
      <w:r>
        <w:t xml:space="preserve"> Las personas sin anticuerpos contra virus citomegálicos que recibirán tejidos u órganos de donantes seropositivos (que tienen anticuerpos o antígenos del virus citomegálico) están expuestas a gran peligro de mostrar la enfermedad por tal partícula. Si es imposible evitar tales circunstancias, el riesgo puede disminuir con la administración de concentrado inmunoglobulínico intravenoso contra el virus. La administración de aciclovir o ganciclovir a quienes recibirán trasplantes, desde el comienzo de la infección por virus citomegálico puede evitar enfermedad grave por dicha partícula patógena.</w:t>
      </w:r>
    </w:p>
    <w:p w14:paraId="38DB5FA8" w14:textId="77777777" w:rsidR="00093A32" w:rsidRDefault="00093A32">
      <w:pPr>
        <w:pStyle w:val="Other0"/>
        <w:spacing w:after="100" w:line="240" w:lineRule="auto"/>
        <w:ind w:firstLine="0"/>
        <w:rPr>
          <w:sz w:val="26"/>
          <w:szCs w:val="26"/>
        </w:rPr>
      </w:pPr>
      <w:r>
        <w:rPr>
          <w:rFonts w:ascii="Times New Roman" w:eastAsia="Times New Roman" w:hAnsi="Times New Roman" w:cs="Times New Roman"/>
          <w:sz w:val="32"/>
          <w:szCs w:val="32"/>
        </w:rPr>
        <w:t>C</w:t>
      </w:r>
      <w:r>
        <w:rPr>
          <w:rFonts w:ascii="Times New Roman" w:eastAsia="Times New Roman" w:hAnsi="Times New Roman" w:cs="Times New Roman"/>
          <w:sz w:val="26"/>
          <w:szCs w:val="26"/>
        </w:rPr>
        <w:t>LAMIDIASIS</w:t>
      </w:r>
    </w:p>
    <w:p w14:paraId="52F17E7B" w14:textId="77777777" w:rsidR="00093A32" w:rsidRDefault="00093A32">
      <w:pPr>
        <w:pStyle w:val="Bodytext70"/>
        <w:spacing w:after="0"/>
      </w:pPr>
      <w:r>
        <w:rPr>
          <w:i/>
          <w:iCs/>
        </w:rPr>
        <w:t>Chlamydia (Chlamydophila) pneumoniae</w:t>
      </w:r>
    </w:p>
    <w:p w14:paraId="158E1558"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pacientes quizá no tengan síntomas, o si los tienen son leves o moderados, e incluyen diversos cuadros de vías respiratorias, como neumonía, bronquitis aguda, tos duradera y, con menor frecuencia, faringitis, laringitis, otitis media y sinusitis. En algunos enfermos, una semana o más antes de la tos hay faringitis. En la exploración física se observa a veces faringitis no exudativa, estertores en campos pulmonares y broncospasmo. En la radiografía de tórax se advierte a veces un infiltrado. La enfermedad dura largo tiempo y la tos persiste dos a seis semanas y puede seguir un curso bifásico. Además de enfermedades agudas de vías respiratorias, algunos investigadores han vinculado a </w:t>
      </w:r>
      <w:r>
        <w:rPr>
          <w:rFonts w:ascii="Times New Roman" w:eastAsia="Times New Roman" w:hAnsi="Times New Roman" w:cs="Times New Roman"/>
          <w:i/>
          <w:iCs/>
          <w:sz w:val="16"/>
          <w:szCs w:val="16"/>
        </w:rPr>
        <w:t>C. pneumoniae</w:t>
      </w:r>
      <w:r>
        <w:t xml:space="preserve"> con la enfermedad cardiovascular aterosclerótica. Están en marcha estudios prospectivos con asignación aleatoria para explorar con mayor detalle tal vínculo y saber si el tratamiento es beneficioso. Los investigadores también han vinculado a </w:t>
      </w:r>
      <w:r>
        <w:rPr>
          <w:rFonts w:ascii="Times New Roman" w:eastAsia="Times New Roman" w:hAnsi="Times New Roman" w:cs="Times New Roman"/>
          <w:i/>
          <w:iCs/>
          <w:sz w:val="16"/>
          <w:szCs w:val="16"/>
        </w:rPr>
        <w:t>C. pneumoniae</w:t>
      </w:r>
      <w:r>
        <w:t xml:space="preserve"> con asma, enfermedad de base de safranina, así como por el calentamiento de las extensiones de excrementos y por autofluorescencia.</w:t>
      </w:r>
    </w:p>
    <w:p w14:paraId="06D59096" w14:textId="77777777" w:rsidR="00093A32" w:rsidRDefault="00093A32">
      <w:pPr>
        <w:pStyle w:val="BodyText"/>
        <w:ind w:firstLine="0"/>
      </w:pPr>
      <w:r>
        <w:rPr>
          <w:b/>
          <w:bCs/>
        </w:rPr>
        <w:t>T</w:t>
      </w:r>
      <w:r>
        <w:rPr>
          <w:b/>
          <w:bCs/>
          <w:sz w:val="13"/>
          <w:szCs w:val="13"/>
        </w:rPr>
        <w:t>RATAMIENTO</w:t>
      </w:r>
      <w:r>
        <w:rPr>
          <w:b/>
          <w:bCs/>
        </w:rPr>
        <w:t xml:space="preserve">: </w:t>
      </w:r>
      <w:r>
        <w:t>La administración de trimetoprim-sulfametoxazol durante siete a 10 días es eficaz. Las personas infectadas del virus de inmunodeficiencia humana pueden necesitar dosis más altas y un lapso más largo de sostén.</w:t>
      </w:r>
    </w:p>
    <w:p w14:paraId="4A188623"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en niños con pañales o incontinentes durante todo el lapso que dure la enfermedad.</w:t>
      </w:r>
    </w:p>
    <w:p w14:paraId="29DEB6AC" w14:textId="77777777" w:rsidR="00093A32" w:rsidRDefault="00093A32">
      <w:pPr>
        <w:pStyle w:val="BodyText"/>
        <w:spacing w:after="100"/>
        <w:ind w:firstLine="0"/>
      </w:pPr>
      <w:r>
        <w:rPr>
          <w:b/>
          <w:bCs/>
        </w:rPr>
        <w:t>M</w:t>
      </w:r>
      <w:r>
        <w:rPr>
          <w:b/>
          <w:bCs/>
          <w:sz w:val="13"/>
          <w:szCs w:val="13"/>
        </w:rPr>
        <w:t>EDIDAS PREVENTIVAS</w:t>
      </w:r>
      <w:r>
        <w:rPr>
          <w:b/>
          <w:bCs/>
        </w:rPr>
        <w:t xml:space="preserve">: </w:t>
      </w:r>
      <w:r>
        <w:t>Los productos agrícolas frescos deben lavarse perfectamente antes de su consumo; sin embargo, dicha precaución no elimina del todo el peligro de transmisión.</w:t>
      </w:r>
    </w:p>
    <w:p w14:paraId="6012A2AC" w14:textId="77777777" w:rsidR="00093A32" w:rsidRDefault="00093A32">
      <w:pPr>
        <w:pStyle w:val="Bodytext70"/>
        <w:spacing w:after="0"/>
      </w:pPr>
      <w:r>
        <w:t>Difteria</w:t>
      </w:r>
    </w:p>
    <w:p w14:paraId="45F7978C"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difteria por lo común asume la forma clínica de nasofaringitis membranosa o laringotraqueítis obstructiva. Las infecciones locales ocasionan febrícula y el comienzo gradual de las manifestaciones en un lapso de uno a dos días. Con menor frecuencia, el cuadro inicial es de infección cutánea, vaginal, de conjuntivas u oídos. La difteria cutánea es más frecuente en áreas tropicales y personas sin hogar. Entre las complicaciones graves de la enfermedad están obstrucción de vías respiratorias altas causadas por formación extensa de membranas, miocarditis tóxica y neuropatías periféricas.</w:t>
      </w:r>
    </w:p>
    <w:p w14:paraId="467DA163"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Corynebacterium diphtheriae</w:t>
      </w:r>
      <w:r>
        <w:t xml:space="preserve"> es un bacilo pleomórfico, no móvil, no esporógeno, grampositivo que capta irregularmente algunos colorantes y que tiene cuatro tipos de colonias (mitis, intermedius, bellanti y gravis). Las cepas pueden ser toxígenas o no. La toxina extracelular comprende un dominio A, enzimáticamente activo, y un dominio B, de unión, que permite la penetración del dominio A al interior de las células. El gen de la toxina es transportado por una familia de fagos de corinebacterias afines. La toxina inactiva el factor-2 de elongación y con ello inhibe la síntesis de proteínas en células del miocardio y de nervios periféricos.</w:t>
      </w:r>
    </w:p>
    <w:p w14:paraId="5CA53066"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Los seres humanos constituyen el único reservorio identificado de </w:t>
      </w:r>
      <w:r>
        <w:rPr>
          <w:rFonts w:ascii="Times New Roman" w:eastAsia="Times New Roman" w:hAnsi="Times New Roman" w:cs="Times New Roman"/>
          <w:i/>
          <w:iCs/>
          <w:sz w:val="16"/>
          <w:szCs w:val="16"/>
        </w:rPr>
        <w:t>C. diphtheriae,</w:t>
      </w:r>
      <w:r>
        <w:t xml:space="preserve"> que aparece en secreciones de lesiones de vías nasales, faringe, ojos y piel, dos a seis semanas después de la infección. Las personas que han recibido un antimicrobiano apropiado generalmente transmiten la infección menos de cuatro días. La transmisión es consecuencia más bien del contacto cercano con un paciente o un portador; en raras ocasiones, los objetos inanimados y algunos alimentos pueden servir de vehículos de transmisión. La infección se observa en individuos vacunados en forma completa, parcial o no vacunados, pero la enfermedad es más frecuente y más grave en personas no vacunadas o que han recibido vacunación insuficiente. La incidencia de difteria respiratoria es máxima en el otoño y el invierno, pero pueden surgir epidemias veraniegas en climas húmedos y cálidos en que prevalecen las infecciones de la piel. Después de 1990 surgió difteria epidémica en todos los estados independientes de la antigua Unión Soviética, incluida Rusia, Ucrania y las repúblicas del centro de Asia. Los índices de letalidad variaron de 3 a 23% en tales epidemias.</w:t>
      </w:r>
    </w:p>
    <w:p w14:paraId="483EA64D" w14:textId="77777777" w:rsidR="00093A32" w:rsidRDefault="00093A32">
      <w:pPr>
        <w:pStyle w:val="BodyText"/>
        <w:spacing w:after="240"/>
        <w:ind w:firstLine="360"/>
        <w:sectPr w:rsidR="00093A32" w:rsidSect="00093A32">
          <w:headerReference w:type="even" r:id="rId212"/>
          <w:headerReference w:type="default" r:id="rId213"/>
          <w:footerReference w:type="even" r:id="rId214"/>
          <w:footerReference w:type="default" r:id="rId215"/>
          <w:headerReference w:type="first" r:id="rId216"/>
          <w:footerReference w:type="first" r:id="rId217"/>
          <w:footnotePr>
            <w:numFmt w:val="chicago"/>
          </w:footnotePr>
          <w:pgSz w:w="8501" w:h="13022"/>
          <w:pgMar w:top="708" w:right="805" w:bottom="440" w:left="770" w:header="0" w:footer="3" w:gutter="0"/>
          <w:cols w:space="720"/>
          <w:noEndnote/>
          <w:titlePg/>
          <w:docGrid w:linePitch="360"/>
          <w15:footnoteColumns w:val="1"/>
        </w:sectPr>
      </w:pPr>
      <w:r>
        <w:t xml:space="preserve">El </w:t>
      </w:r>
      <w:r>
        <w:rPr>
          <w:b/>
          <w:bCs/>
        </w:rPr>
        <w:t xml:space="preserve">periodo de incubación </w:t>
      </w:r>
      <w:r>
        <w:t xml:space="preserve">por lo común es de dos a siete días, pero a veces es más largo. </w:t>
      </w:r>
      <w:r>
        <w:rPr>
          <w:b/>
          <w:bCs/>
        </w:rPr>
        <w:t>M</w:t>
      </w:r>
      <w:r>
        <w:rPr>
          <w:b/>
          <w:bCs/>
          <w:sz w:val="13"/>
          <w:szCs w:val="13"/>
        </w:rPr>
        <w:t>ÉTODOS DIAGNÓSTICOS</w:t>
      </w:r>
      <w:r>
        <w:rPr>
          <w:b/>
          <w:bCs/>
        </w:rPr>
        <w:t xml:space="preserve">: </w:t>
      </w:r>
      <w:r>
        <w:t xml:space="preserve">Es importante obtener de las lesiones de las vías nasales, faringe o cualquier mucosa o piel, muestras para cultivos; habrá que obtenerlas de un plano por debajo de la membrana, o inclusive parte de la misma debe ser enviada para </w:t>
      </w:r>
    </w:p>
    <w:p w14:paraId="267EAB5F" w14:textId="77777777" w:rsidR="00093A32" w:rsidRDefault="00093A32">
      <w:pPr>
        <w:pStyle w:val="BodyText"/>
        <w:spacing w:after="240"/>
        <w:ind w:firstLine="0"/>
      </w:pPr>
      <w:r>
        <w:t xml:space="preserve">el cultivo. Se necesitan medios especiales y por ello habrá que avisar al personal de laboratorio de que se sospecha infección por </w:t>
      </w:r>
      <w:r>
        <w:rPr>
          <w:rFonts w:ascii="Times New Roman" w:eastAsia="Times New Roman" w:hAnsi="Times New Roman" w:cs="Times New Roman"/>
          <w:i/>
          <w:iCs/>
          <w:sz w:val="16"/>
          <w:szCs w:val="16"/>
        </w:rPr>
        <w:t>C. diphtheriae.</w:t>
      </w:r>
      <w:r>
        <w:t xml:space="preserve"> En zonas alejadas, los materiales reunidos se pueden colocar en envases de gel de silicón o cualquier medio de transporte o recipiente estéril, y se enviarán a un laboratorio especializado para su cultivo. Cuando se identifica </w:t>
      </w:r>
      <w:r>
        <w:rPr>
          <w:rFonts w:ascii="Times New Roman" w:eastAsia="Times New Roman" w:hAnsi="Times New Roman" w:cs="Times New Roman"/>
          <w:i/>
          <w:iCs/>
          <w:sz w:val="16"/>
          <w:szCs w:val="16"/>
        </w:rPr>
        <w:t>C. diphtheriae,</w:t>
      </w:r>
      <w:r>
        <w:t xml:space="preserve"> habrá que valorar la capacidad toxígena de la cepa en un laboratorio recomendado por las autoridades estatales y locales. Todos los gérmenes de </w:t>
      </w:r>
      <w:r>
        <w:rPr>
          <w:rFonts w:ascii="Times New Roman" w:eastAsia="Times New Roman" w:hAnsi="Times New Roman" w:cs="Times New Roman"/>
          <w:i/>
          <w:iCs/>
          <w:sz w:val="16"/>
          <w:szCs w:val="16"/>
        </w:rPr>
        <w:t>C. diphtheriae</w:t>
      </w:r>
      <w:r>
        <w:t xml:space="preserve"> aislados se enviarán a través del departamento sanitario estatal al </w:t>
      </w:r>
      <w:r>
        <w:rPr>
          <w:rFonts w:ascii="Times New Roman" w:eastAsia="Times New Roman" w:hAnsi="Times New Roman" w:cs="Times New Roman"/>
          <w:i/>
          <w:iCs/>
          <w:sz w:val="16"/>
          <w:szCs w:val="16"/>
        </w:rPr>
        <w:t>National Center for Infectious Disease</w:t>
      </w:r>
      <w:r>
        <w:rPr>
          <w:i/>
          <w:iCs/>
        </w:rPr>
        <w:t>s</w:t>
      </w:r>
      <w:r>
        <w:t xml:space="preserve"> de los </w:t>
      </w:r>
      <w:r>
        <w:rPr>
          <w:rFonts w:ascii="Times New Roman" w:eastAsia="Times New Roman" w:hAnsi="Times New Roman" w:cs="Times New Roman"/>
          <w:i/>
          <w:iCs/>
          <w:sz w:val="16"/>
          <w:szCs w:val="16"/>
        </w:rPr>
        <w:t>Centers for Disease Control and Prevention</w:t>
      </w:r>
      <w:r>
        <w:t xml:space="preserve"> (CDC).</w:t>
      </w:r>
    </w:p>
    <w:p w14:paraId="6481155B"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471D2697" w14:textId="77777777" w:rsidR="00093A32" w:rsidRDefault="00093A32">
      <w:pPr>
        <w:pStyle w:val="BodyText"/>
        <w:spacing w:line="276" w:lineRule="auto"/>
        <w:ind w:firstLine="0"/>
      </w:pPr>
      <w:r>
        <w:rPr>
          <w:rFonts w:ascii="Arial" w:eastAsia="Arial" w:hAnsi="Arial" w:cs="Arial"/>
          <w:b/>
          <w:bCs/>
          <w:i/>
          <w:iCs/>
          <w:sz w:val="15"/>
          <w:szCs w:val="15"/>
        </w:rPr>
        <w:t>Antitoxina.</w:t>
      </w:r>
      <w:r>
        <w:t xml:space="preserve"> El estado del niño con difteria puede deteriorarse rápidamente, razón por la cual habrá que aplicar una dosis única de antitoxina equina con base en el diagnóstico clínico, incluso antes de contar con los resultados de los cultivos. Para neutralizar la toxina con la mayor celeridad posible se prefiere la vía intravenosa, y antes de administrarla se practicarán estudios de sensibilidad al suero equino, inicialmente con prueba de escarificación con dilución de antitoxina en solución salina al 1:1 000 (véase “Anticuerpos de origen animal [antisueros animales]”, sección 1). Si el niño es sensible a la antitoxina equina se necesitan medidas de sensibilización (véase “Desensibilización a sueros de animales”, sección 1). Los concentrados inmunoglobulínicos intravenosos pueden contener cantidades variables de anticuerpos a la toxina diftérica, pero no se ha aprobado el empleo de los concentrados de ese tipo para tratar la difteria cutánea ni de vías respiratorias. En Estados Unidos se puede obtener la antitoxina de </w:t>
      </w:r>
      <w:r>
        <w:rPr>
          <w:rFonts w:ascii="Times New Roman" w:eastAsia="Times New Roman" w:hAnsi="Times New Roman" w:cs="Times New Roman"/>
          <w:i/>
          <w:iCs/>
          <w:sz w:val="16"/>
          <w:szCs w:val="16"/>
        </w:rPr>
        <w:t>National Immunization Program</w:t>
      </w:r>
      <w:r>
        <w:t xml:space="preserve"> de los CDC (véase apéndice I, “Directorio de recursos”). Factores que permiten estimar la dosis de antitoxina son el sitio y el tamaño de las membranas diftéricas, la intensidad de los efectos tóxicos y la duración de la enfermedad; la presencia de ganglios cervicales inflamados, blandos y difusos sugieren absorción moderada o intensa de la toxina. Las dosis sugeridas varían dentro de los límites siguientes: ataque faríngeo o laríngeo de 48 h de duración o menos, 20 000 a 40 000 U; lesiones nasofaríngeas, 40 000 a 60 000 U; enfermedad extensa que ha durado tres días o más, o hinchazón difusa del cuello, 80 000 a 120 000 U. Es probable que la antitoxina no sea útil en el ataque cutáneo, pero algunos expertos recomiendan aplicar 20 000 a 40 000 U de ella, porque se han señalado secuelas tóxicas.</w:t>
      </w:r>
    </w:p>
    <w:p w14:paraId="445E433A" w14:textId="77777777" w:rsidR="00093A32" w:rsidRDefault="00093A32">
      <w:pPr>
        <w:pStyle w:val="BodyText"/>
        <w:spacing w:line="276" w:lineRule="auto"/>
        <w:ind w:firstLine="360"/>
      </w:pPr>
      <w:r>
        <w:rPr>
          <w:rFonts w:ascii="Arial" w:eastAsia="Arial" w:hAnsi="Arial" w:cs="Arial"/>
          <w:b/>
          <w:bCs/>
          <w:i/>
          <w:iCs/>
          <w:sz w:val="15"/>
          <w:szCs w:val="15"/>
        </w:rPr>
        <w:t>Antimicrobianos.</w:t>
      </w:r>
      <w:r>
        <w:t xml:space="preserve"> Una terapia aceptable incluiría la eritromicina ingerida o por vía parenteral durante 14 días, la penicilina G por vías intramuscular o intravenosa durante 14 días o la penicilina G procaínica por vía intramuscular durante dos semanas. Se necesitan los antimicrobianos para erradicar el microorganismo y evitar su propagación; la administración de ellos no sustituye a la antitoxina. La eliminación del microorganismo se corroborará con la obtención de dos cultivos negativos consecutivos después de completado el tratamiento.</w:t>
      </w:r>
    </w:p>
    <w:p w14:paraId="6F45CFC6" w14:textId="77777777" w:rsidR="00093A32" w:rsidRDefault="00093A32">
      <w:pPr>
        <w:pStyle w:val="BodyText"/>
        <w:spacing w:line="288" w:lineRule="auto"/>
        <w:ind w:firstLine="360"/>
      </w:pPr>
      <w:r>
        <w:rPr>
          <w:rFonts w:ascii="Arial" w:eastAsia="Arial" w:hAnsi="Arial" w:cs="Arial"/>
          <w:b/>
          <w:bCs/>
          <w:i/>
          <w:iCs/>
          <w:sz w:val="15"/>
          <w:szCs w:val="15"/>
        </w:rPr>
        <w:t>Difteria cutánea.</w:t>
      </w:r>
      <w:r>
        <w:t xml:space="preserve"> La limpieza minuciosa de la lesión con jabón y agua, así como la administración del antimicrobiano apropiado durante 10 días son las medidas recomendadas.</w:t>
      </w:r>
    </w:p>
    <w:p w14:paraId="6440D89D" w14:textId="77777777" w:rsidR="00093A32" w:rsidRDefault="00093A32">
      <w:pPr>
        <w:pStyle w:val="BodyText"/>
        <w:spacing w:line="276" w:lineRule="auto"/>
        <w:ind w:firstLine="360"/>
        <w:sectPr w:rsidR="00093A32" w:rsidSect="00093A32">
          <w:headerReference w:type="even" r:id="rId218"/>
          <w:headerReference w:type="default" r:id="rId219"/>
          <w:footerReference w:type="even" r:id="rId220"/>
          <w:footerReference w:type="default" r:id="rId221"/>
          <w:footnotePr>
            <w:numFmt w:val="chicago"/>
          </w:footnotePr>
          <w:pgSz w:w="8501" w:h="13022"/>
          <w:pgMar w:top="708" w:right="805" w:bottom="440" w:left="770" w:header="0" w:footer="12" w:gutter="0"/>
          <w:pgNumType w:start="325"/>
          <w:cols w:space="720"/>
          <w:noEndnote/>
          <w:docGrid w:linePitch="360"/>
          <w15:footnoteColumns w:val="1"/>
        </w:sectPr>
      </w:pPr>
      <w:r>
        <w:rPr>
          <w:rFonts w:ascii="Arial" w:eastAsia="Arial" w:hAnsi="Arial" w:cs="Arial"/>
          <w:b/>
          <w:bCs/>
          <w:i/>
          <w:iCs/>
          <w:sz w:val="15"/>
          <w:szCs w:val="15"/>
        </w:rPr>
        <w:t>Portadores.</w:t>
      </w:r>
      <w:r>
        <w:t xml:space="preserve"> Si no están inmunizados, los portadores deben ser sometidos a vacunación activa inmediatamente, y se emprenderán medidas para que se complete el calendario de vacunaciones. Si el portador ha sido vacunado, pero no ha recibido en término de 12 meses una dosis de refuerzo, habrá que aplicarle dicha dosis con un preparado que contenga toxoide diftérico (DTaP, DT o Td, según su edad). Los </w:t>
      </w:r>
    </w:p>
    <w:p w14:paraId="26C2D847" w14:textId="77777777" w:rsidR="00093A32" w:rsidRDefault="00093A32">
      <w:pPr>
        <w:pStyle w:val="BodyText"/>
        <w:spacing w:line="276" w:lineRule="auto"/>
        <w:ind w:firstLine="0"/>
      </w:pPr>
      <w:r>
        <w:t>portadores deben recibir eritromicina o penicilina G ingeribles durante siete días o una sola dosis intramuscular de penicilina G benzatínica (600 000 U para quienes pesen menos de 30 kg y 1.2 millones de U para niños que pesan 30 kg o más, y adultos). Después de dos semanas, como mínimo, de haber completado el tratamiento se harán cultivos de vigilancia, y si sus resultados son positivos, habrá que emprender otro ciclo más de 10 días con eritromicina ingerible y después hacer los cultivos de vigilancia. Se han identificado cepas resistentes a la eritromicina, pero no se ha precisado su importancia epidemiológica. Fluoroquinolonas, rifampicina, claritromicina y azitromicina dihidratada tienen actividad satisfactoria in vitro y han sido toleradas mejor que la eritromicina, pero no han sido sometidas a valoración crítica en infección clínica o en portadores.</w:t>
      </w:r>
    </w:p>
    <w:p w14:paraId="1BEFDC15" w14:textId="77777777" w:rsidR="00093A32" w:rsidRDefault="00093A32">
      <w:pPr>
        <w:pStyle w:val="BodyText"/>
        <w:spacing w:after="22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Además de las precauciones estándar se recomiendan las precauciones para evitar la transmisión por gotículas en el caso de pacientes y portadores con difteria faríngea, hasta que no se detecte más </w:t>
      </w:r>
      <w:r>
        <w:rPr>
          <w:rFonts w:ascii="Times New Roman" w:eastAsia="Times New Roman" w:hAnsi="Times New Roman" w:cs="Times New Roman"/>
          <w:i/>
          <w:iCs/>
          <w:sz w:val="16"/>
          <w:szCs w:val="16"/>
        </w:rPr>
        <w:t xml:space="preserve">C. diphtheriae </w:t>
      </w:r>
      <w:r>
        <w:t>en dos cultivos de material obtenidos de vías nasales y de faringe. Se recomiendan las precauciones para evitar la transmisión por contacto en personas con difteria cutánea hasta que no haya microorganismos detectables en dos cultivos de lesiones cutáneas hechos de material obtenido con una diferencia de 24 h, y practicados después de terminar la administración de antimicrobianos.</w:t>
      </w:r>
    </w:p>
    <w:p w14:paraId="5BDAE59F"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7A7F65A" w14:textId="77777777" w:rsidR="00093A32" w:rsidRDefault="00093A32">
      <w:pPr>
        <w:pStyle w:val="BodyText"/>
        <w:spacing w:line="276" w:lineRule="auto"/>
        <w:ind w:firstLine="0"/>
      </w:pPr>
      <w:r>
        <w:rPr>
          <w:rFonts w:ascii="Arial" w:eastAsia="Arial" w:hAnsi="Arial" w:cs="Arial"/>
          <w:b/>
          <w:bCs/>
          <w:i/>
          <w:iCs/>
          <w:sz w:val="15"/>
          <w:szCs w:val="15"/>
        </w:rPr>
        <w:t>Cuidados de niños expuestos.</w:t>
      </w:r>
      <w:r>
        <w:t xml:space="preserve"> Siempre que se sospeche cabalmente o se corrobore el diagnóstico de difteria hay que avisar en forma inmediata a los funcionarios de sanidad pública de la localidad. El tratamiento de personas expuestas se basa en circunstancias individuales, que incluyen el estado de vacunación y la posibilidad de cumplir con órdenes médicas, así como vigilancia y profilaxia. Se recomiendan las medidas siguientes:</w:t>
      </w:r>
    </w:p>
    <w:p w14:paraId="01A2C2A0" w14:textId="77777777" w:rsidR="00093A32" w:rsidRDefault="00093A32">
      <w:pPr>
        <w:pStyle w:val="BodyText"/>
        <w:numPr>
          <w:ilvl w:val="0"/>
          <w:numId w:val="59"/>
        </w:numPr>
        <w:tabs>
          <w:tab w:val="left" w:pos="341"/>
        </w:tabs>
        <w:ind w:left="360" w:hanging="360"/>
      </w:pPr>
      <w:bookmarkStart w:id="67" w:name="bookmark673"/>
      <w:bookmarkEnd w:id="67"/>
      <w:r>
        <w:t>Hay que emprender de manera inmediata la identificación de contactos muy cercanos de la persona en quien se sospecha difteria. La identificación de los contactos debe comenzar en el núcleo familiar y por lo regular se limita a los miembros del círculo familiar y otras personas con el antecedente de contacto cercano habitual con la persona en quien se sospecha la presencia de la enfermedad.</w:t>
      </w:r>
    </w:p>
    <w:p w14:paraId="5C112534" w14:textId="77777777" w:rsidR="00093A32" w:rsidRDefault="00093A32">
      <w:pPr>
        <w:pStyle w:val="BodyText"/>
        <w:numPr>
          <w:ilvl w:val="0"/>
          <w:numId w:val="59"/>
        </w:numPr>
        <w:tabs>
          <w:tab w:val="left" w:pos="341"/>
        </w:tabs>
        <w:ind w:left="360" w:hanging="360"/>
      </w:pPr>
      <w:bookmarkStart w:id="68" w:name="bookmark674"/>
      <w:bookmarkEnd w:id="68"/>
      <w:r>
        <w:t xml:space="preserve">En el caso de contactos muy cercanos sea cual sea su estado de vacunación, habrá que emprender las medidas siguientes: 1) vigilancia durante siete días en busca de manifestaciones de la enfermedad; 2) cultivo en busca de </w:t>
      </w:r>
      <w:r>
        <w:rPr>
          <w:rFonts w:ascii="Times New Roman" w:eastAsia="Times New Roman" w:hAnsi="Times New Roman" w:cs="Times New Roman"/>
          <w:i/>
          <w:iCs/>
          <w:sz w:val="16"/>
          <w:szCs w:val="16"/>
        </w:rPr>
        <w:t>C. diphtheriae</w:t>
      </w:r>
      <w:r>
        <w:t xml:space="preserve"> y</w:t>
      </w:r>
    </w:p>
    <w:p w14:paraId="18CD14C2" w14:textId="77777777" w:rsidR="00093A32" w:rsidRDefault="00093A32">
      <w:pPr>
        <w:pStyle w:val="BodyText"/>
        <w:ind w:left="360" w:firstLine="0"/>
      </w:pPr>
      <w:r>
        <w:t>3) profilaxia con antimicrobianos, que incluye la eritromicina ingerible (40 a 50 mg/kg de peso al día durante siete días, dosis máxima 2 g/día) o una sola inyección intramuscular de penicilina G benzatínica (600 000 U para los niños que pesan menos de 30 kg y 1.2 millones de U para los menores que pesan 30 kg o más, y los adultos). Se ha supuesto que la profilaxia con antimicrobianos es eficaz, aunque no se ha corroborado tal planteamiento. Hay que practicar cultivos del material faríngeo para vigilancia de los contactos que han resultado ser portadores, a las dos semanas, cuando menos, de haber terminado el tratamiento (véase antes en este resumen “Portadores”). Si los cultivos son positivos, habrá que emprender un ciclo complementario de 10 días con eritromicina y practicar los cultivos de vigilancia.</w:t>
      </w:r>
    </w:p>
    <w:p w14:paraId="0EA225C1" w14:textId="77777777" w:rsidR="00093A32" w:rsidRDefault="00093A32">
      <w:pPr>
        <w:pStyle w:val="BodyText"/>
        <w:numPr>
          <w:ilvl w:val="0"/>
          <w:numId w:val="59"/>
        </w:numPr>
        <w:tabs>
          <w:tab w:val="left" w:pos="341"/>
        </w:tabs>
        <w:ind w:left="360" w:hanging="360"/>
        <w:sectPr w:rsidR="00093A32" w:rsidSect="00093A32">
          <w:headerReference w:type="even" r:id="rId222"/>
          <w:headerReference w:type="default" r:id="rId223"/>
          <w:footerReference w:type="even" r:id="rId224"/>
          <w:footerReference w:type="default" r:id="rId225"/>
          <w:footnotePr>
            <w:numFmt w:val="chicago"/>
          </w:footnotePr>
          <w:pgSz w:w="8501" w:h="13022"/>
          <w:pgMar w:top="708" w:right="805" w:bottom="440" w:left="770" w:header="0" w:footer="12" w:gutter="0"/>
          <w:pgNumType w:start="362"/>
          <w:cols w:space="720"/>
          <w:noEndnote/>
          <w:docGrid w:linePitch="360"/>
          <w15:footnoteColumns w:val="1"/>
        </w:sectPr>
      </w:pPr>
      <w:bookmarkStart w:id="69" w:name="bookmark675"/>
      <w:bookmarkEnd w:id="69"/>
      <w:r>
        <w:t>Los contactos cercanos asintomáticos ya vacunados deben recibir una dosis de refuerzo de un preparado que contenga toxoide de difteria (DTaP, DT o Td, según la edad), si no han recibido la dosis de refuerzo del toxoide mencionado en término de cinco años. Los niños que necesitan la cuarta dosis deben ser vacunados.</w:t>
      </w:r>
    </w:p>
    <w:p w14:paraId="7D8F1754" w14:textId="77777777" w:rsidR="00093A32" w:rsidRDefault="00093A32">
      <w:pPr>
        <w:pStyle w:val="BodyText"/>
        <w:numPr>
          <w:ilvl w:val="0"/>
          <w:numId w:val="59"/>
        </w:numPr>
        <w:tabs>
          <w:tab w:val="left" w:pos="341"/>
        </w:tabs>
        <w:ind w:left="360" w:hanging="360"/>
      </w:pPr>
      <w:bookmarkStart w:id="70" w:name="bookmark676"/>
      <w:bookmarkEnd w:id="70"/>
      <w:r>
        <w:t>En el caso de contactos cercanos asintomáticos no vacunados en forma completa (como serían aquellos que han recibido menos de tres dosis del toxoide de difteria) o aquellos en quienes se desconoce su estado de vacunación, habrá que emprender la vacunación activa con DTaP, DT o Td, según la edad.</w:t>
      </w:r>
    </w:p>
    <w:p w14:paraId="757EF6E3" w14:textId="77777777" w:rsidR="00093A32" w:rsidRDefault="00093A32">
      <w:pPr>
        <w:pStyle w:val="BodyText"/>
        <w:numPr>
          <w:ilvl w:val="0"/>
          <w:numId w:val="59"/>
        </w:numPr>
        <w:tabs>
          <w:tab w:val="left" w:pos="341"/>
        </w:tabs>
        <w:spacing w:after="220"/>
        <w:ind w:left="360" w:hanging="360"/>
      </w:pPr>
      <w:bookmarkStart w:id="71" w:name="bookmark677"/>
      <w:bookmarkEnd w:id="71"/>
      <w:r>
        <w:t>Los contactos que no pueden ser sometidos a vigilancia deben recibir penicilina benzatínica G, pero no eritromicina porque es menos probable que cumplan con el régimen de fármacos ingeribles, y también una dosis de DTaP, DT o Td, según la edad y los antecedentes de vacunación de la persona.</w:t>
      </w:r>
    </w:p>
    <w:p w14:paraId="22D24898" w14:textId="77777777" w:rsidR="00093A32" w:rsidRDefault="00093A32">
      <w:pPr>
        <w:pStyle w:val="BodyText"/>
        <w:ind w:firstLine="360"/>
      </w:pPr>
      <w:r>
        <w:t>No se recomienda administrar la antitoxina diftérica equina en contactos cercanos no vacunados, porque no hay datos de que la antitoxina aporte algún beneficio complementario a contactos que han recibido profilaxia con antimicrobianos y porque existe un riesgo de 5 a 20% de que surjan reacciones alérgicas al suero equino.</w:t>
      </w:r>
    </w:p>
    <w:p w14:paraId="7837B8DF" w14:textId="77777777" w:rsidR="00093A32" w:rsidRDefault="00093A32">
      <w:pPr>
        <w:pStyle w:val="BodyText"/>
        <w:spacing w:line="276" w:lineRule="auto"/>
        <w:ind w:firstLine="360"/>
      </w:pPr>
      <w:r>
        <w:rPr>
          <w:rFonts w:ascii="Arial" w:eastAsia="Arial" w:hAnsi="Arial" w:cs="Arial"/>
          <w:b/>
          <w:bCs/>
          <w:i/>
          <w:iCs/>
          <w:sz w:val="15"/>
          <w:szCs w:val="15"/>
        </w:rPr>
        <w:t>Vacunación.</w:t>
      </w:r>
      <w:r>
        <w:t xml:space="preserve"> La vacunación universal con toxoide diftérico constituye la única medida eficaz de erradicación. En lo que se refiere a todas las indicaciones, la vacunación se hace con los preparados que contienen toxoide tetánico también. Los planes de vacunación contra difteria se exponen en el capítulo sobre tétanos (véase “Tétanos” en esta sección). La utilidad de la vacunación con toxoides diftéricos se prueba por la infrecuencia con que surge la enfermedad en países en que se han alcanzado cifras altas de vacunación con tal preparado. En años recientes se han notificado menos de cinco casos anuales en Estados Unidos. Sin embargo, la menor frecuencia de exposición al microorganismo denota una menor conservación de la inmunidad como consecuencia de contactos comunitarios. Por tal motivo, asegurar la inmunidad ininterrumpida obliga a aplicar en forma regular inyecciones de refuerzo de toxoide diftérico (en la forma de Td) cada 10 años, después de completar la primera serie de vacunas.</w:t>
      </w:r>
    </w:p>
    <w:p w14:paraId="0CBC320F" w14:textId="77777777" w:rsidR="00093A32" w:rsidRDefault="00093A32">
      <w:pPr>
        <w:pStyle w:val="BodyText"/>
        <w:ind w:firstLine="360"/>
      </w:pPr>
      <w:r>
        <w:t xml:space="preserve">Las vacunas del conjugado de </w:t>
      </w:r>
      <w:r>
        <w:rPr>
          <w:rFonts w:ascii="Times New Roman" w:eastAsia="Times New Roman" w:hAnsi="Times New Roman" w:cs="Times New Roman"/>
          <w:i/>
          <w:iCs/>
          <w:sz w:val="16"/>
          <w:szCs w:val="16"/>
        </w:rPr>
        <w:t>Haemophilus influenzae</w:t>
      </w:r>
      <w:r>
        <w:t xml:space="preserve"> o neumocócico que contiene también toxoide de difteria (como PRP-D) o proteína CRM197, una variante atóxica de la toxina diftérica (p. ej., HbOC, vacunas de concentrado neumocócico) no sustituyen a la vacunación con toxoide diftérico. La vacuna se aplica por vía intramuscular.</w:t>
      </w:r>
    </w:p>
    <w:p w14:paraId="2AD9246B" w14:textId="77777777" w:rsidR="00093A32" w:rsidRDefault="00093A32">
      <w:pPr>
        <w:pStyle w:val="BodyText"/>
        <w:ind w:firstLine="360"/>
      </w:pPr>
      <w:r>
        <w:t>La inmunización de niños de dos meses de vida a siete años de edad (véase fig. 1-1 y cuadro 1-6) debe incluir cinco dosis de vacunas que contengan toxoides de difteria y tétanos (véase “Tétanos” en esta sección). Lo anterior se logra típicamente con DTaP. Hay que aplicar DT en vez de DTaP (véase “Tétanos” en esta sección) cuando se vacune contra la difteria y el tétanos a niños menores de siete años de vida en quienes está contraindicada la vacunación contra tos ferina (véase “Tos ferina” en esta sección).</w:t>
      </w:r>
    </w:p>
    <w:p w14:paraId="6756F4D6" w14:textId="77777777" w:rsidR="00093A32" w:rsidRDefault="00093A32">
      <w:pPr>
        <w:pStyle w:val="BodyText"/>
        <w:ind w:firstLine="360"/>
      </w:pPr>
      <w:r>
        <w:t>Otras recomendaciones para la vacunación antidiftérica incluyen las que corresponden a niños de mayor edad y que se señalan en el capítulo sobre tétanos (véase “Tétanos” en esta sección).</w:t>
      </w:r>
    </w:p>
    <w:p w14:paraId="0DFB9907" w14:textId="77777777" w:rsidR="00093A32" w:rsidRDefault="00093A32">
      <w:pPr>
        <w:pStyle w:val="BodyText"/>
        <w:numPr>
          <w:ilvl w:val="0"/>
          <w:numId w:val="59"/>
        </w:numPr>
        <w:tabs>
          <w:tab w:val="left" w:pos="341"/>
        </w:tabs>
        <w:ind w:firstLine="0"/>
      </w:pPr>
      <w:bookmarkStart w:id="72" w:name="bookmark678"/>
      <w:bookmarkEnd w:id="72"/>
      <w:r>
        <w:t>Cuando niños y adultos necesitan toxoide tetánico para tratamiento de heridas</w:t>
      </w:r>
    </w:p>
    <w:p w14:paraId="082A4882" w14:textId="77777777" w:rsidR="00093A32" w:rsidRDefault="00093A32">
      <w:pPr>
        <w:pStyle w:val="BodyText"/>
        <w:ind w:left="360" w:firstLine="0"/>
      </w:pPr>
      <w:r>
        <w:t>(véase “Tétanos” en esta sección), el empleo de preparados que contienen el toxoide de difteria (DTaP, DT o Td, según convenga a cada grupo de edad o alguna contraindicación específica para usar vacuna contra tos ferina), será útil para asegurar la inmunidad ininterrumpida contra la difteria.</w:t>
      </w:r>
    </w:p>
    <w:p w14:paraId="592C6816" w14:textId="77777777" w:rsidR="00093A32" w:rsidRDefault="00093A32">
      <w:pPr>
        <w:pStyle w:val="BodyText"/>
        <w:numPr>
          <w:ilvl w:val="0"/>
          <w:numId w:val="59"/>
        </w:numPr>
        <w:tabs>
          <w:tab w:val="left" w:pos="341"/>
        </w:tabs>
        <w:ind w:left="360" w:hanging="360"/>
      </w:pPr>
      <w:bookmarkStart w:id="73" w:name="bookmark679"/>
      <w:bookmarkEnd w:id="73"/>
      <w:r>
        <w:t>La vacunación activa contra la difteria se emprenderá durante la etapa de convalecencia de la enfermedad, porque padecerla no confiere obligadamente inmunidad.</w:t>
      </w:r>
    </w:p>
    <w:p w14:paraId="17A1EB10" w14:textId="77777777" w:rsidR="00093A32" w:rsidRDefault="00093A32">
      <w:pPr>
        <w:pStyle w:val="BodyText"/>
        <w:numPr>
          <w:ilvl w:val="0"/>
          <w:numId w:val="59"/>
        </w:numPr>
        <w:tabs>
          <w:tab w:val="left" w:pos="341"/>
        </w:tabs>
        <w:ind w:left="360" w:hanging="360"/>
        <w:sectPr w:rsidR="00093A32" w:rsidSect="00093A32">
          <w:headerReference w:type="even" r:id="rId226"/>
          <w:headerReference w:type="default" r:id="rId227"/>
          <w:footerReference w:type="even" r:id="rId228"/>
          <w:footerReference w:type="default" r:id="rId229"/>
          <w:footnotePr>
            <w:numFmt w:val="chicago"/>
          </w:footnotePr>
          <w:pgSz w:w="8501" w:h="13022"/>
          <w:pgMar w:top="708" w:right="805" w:bottom="440" w:left="770" w:header="0" w:footer="12" w:gutter="0"/>
          <w:pgNumType w:start="327"/>
          <w:cols w:space="720"/>
          <w:noEndnote/>
          <w:docGrid w:linePitch="360"/>
          <w15:footnoteColumns w:val="1"/>
        </w:sectPr>
      </w:pPr>
      <w:bookmarkStart w:id="74" w:name="bookmark680"/>
      <w:bookmarkEnd w:id="74"/>
      <w:r>
        <w:t>Es necesario revisar, y actualizar si es necesario, el estado de vacunación contra difteria, de los viajeros que van a países en que la difteria es endémica o epidémica.</w:t>
      </w:r>
    </w:p>
    <w:p w14:paraId="39C37AD6" w14:textId="77777777" w:rsidR="00093A32" w:rsidRDefault="00093A32">
      <w:pPr>
        <w:pStyle w:val="BodyText"/>
        <w:spacing w:after="100"/>
        <w:ind w:firstLine="360"/>
      </w:pPr>
      <w:r>
        <w:rPr>
          <w:rFonts w:ascii="Arial" w:eastAsia="Arial" w:hAnsi="Arial" w:cs="Arial"/>
          <w:b/>
          <w:bCs/>
          <w:i/>
          <w:iCs/>
          <w:sz w:val="15"/>
          <w:szCs w:val="15"/>
        </w:rPr>
        <w:t>Precauciones y contraindicaciones.</w:t>
      </w:r>
      <w:r>
        <w:t xml:space="preserve"> Véase “Tos ferina” y “Tétanos” (en esta sección).</w:t>
      </w:r>
    </w:p>
    <w:p w14:paraId="1B4C3C29" w14:textId="77777777" w:rsidR="00093A32" w:rsidRDefault="00093A32">
      <w:pPr>
        <w:pStyle w:val="Bodytext70"/>
        <w:spacing w:after="100"/>
      </w:pPr>
      <w:r>
        <w:t>Donovanosis. Véase GRANULOMA INGUINAL.</w:t>
      </w:r>
    </w:p>
    <w:p w14:paraId="56ACB142" w14:textId="77777777" w:rsidR="00093A32" w:rsidRDefault="00093A32">
      <w:pPr>
        <w:pStyle w:val="Other0"/>
        <w:spacing w:line="192" w:lineRule="auto"/>
        <w:ind w:firstLine="0"/>
        <w:rPr>
          <w:sz w:val="20"/>
          <w:szCs w:val="20"/>
        </w:rPr>
      </w:pPr>
      <w:r>
        <w:rPr>
          <w:rFonts w:ascii="Arial" w:eastAsia="Arial" w:hAnsi="Arial" w:cs="Arial"/>
          <w:b/>
          <w:bCs/>
          <w:i/>
          <w:iCs/>
          <w:w w:val="70"/>
          <w:sz w:val="32"/>
          <w:szCs w:val="32"/>
        </w:rPr>
        <w:t>Ehrlichia,</w:t>
      </w:r>
      <w:r>
        <w:rPr>
          <w:rFonts w:ascii="Arial" w:eastAsia="Arial" w:hAnsi="Arial" w:cs="Arial"/>
          <w:b/>
          <w:bCs/>
          <w:w w:val="70"/>
          <w:sz w:val="32"/>
          <w:szCs w:val="32"/>
        </w:rPr>
        <w:t xml:space="preserve"> infecciones </w:t>
      </w:r>
      <w:r>
        <w:rPr>
          <w:rFonts w:ascii="Arial" w:eastAsia="Arial" w:hAnsi="Arial" w:cs="Arial"/>
          <w:b/>
          <w:bCs/>
          <w:w w:val="70"/>
          <w:sz w:val="20"/>
          <w:szCs w:val="20"/>
        </w:rPr>
        <w:t>(ehrlichiosis de seres humanos)</w:t>
      </w:r>
    </w:p>
    <w:p w14:paraId="3A190BF1"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Las ehrlichiosis de seres humanos en Estados Unidos se atribuyen como mínimo a tres patógenos diferentes transmitidos por garrapatas: </w:t>
      </w:r>
      <w:r>
        <w:rPr>
          <w:rFonts w:ascii="Times New Roman" w:eastAsia="Times New Roman" w:hAnsi="Times New Roman" w:cs="Times New Roman"/>
          <w:i/>
          <w:iCs/>
          <w:sz w:val="16"/>
          <w:szCs w:val="16"/>
        </w:rPr>
        <w:t>Ehrlichia chajfeensis</w:t>
      </w:r>
      <w:r>
        <w:t xml:space="preserve"> (ehrlichiosis monocítica humana </w:t>
      </w:r>
      <w:r>
        <w:rPr>
          <w:i/>
          <w:iCs/>
        </w:rPr>
        <w:t>[</w:t>
      </w:r>
      <w:r>
        <w:rPr>
          <w:rFonts w:ascii="Times New Roman" w:eastAsia="Times New Roman" w:hAnsi="Times New Roman" w:cs="Times New Roman"/>
          <w:i/>
          <w:iCs/>
          <w:sz w:val="16"/>
          <w:szCs w:val="16"/>
        </w:rPr>
        <w:t>human monocytic ehrlichiosis</w:t>
      </w:r>
      <w:r>
        <w:rPr>
          <w:i/>
          <w:iCs/>
        </w:rPr>
        <w:t>,</w:t>
      </w:r>
      <w:r>
        <w:t xml:space="preserve"> HME]), el agente de </w:t>
      </w:r>
      <w:r>
        <w:rPr>
          <w:rFonts w:ascii="Times New Roman" w:eastAsia="Times New Roman" w:hAnsi="Times New Roman" w:cs="Times New Roman"/>
          <w:i/>
          <w:iCs/>
          <w:sz w:val="16"/>
          <w:szCs w:val="16"/>
        </w:rPr>
        <w:t>Anaplasma</w:t>
      </w:r>
      <w:r>
        <w:t xml:space="preserve"> (antes </w:t>
      </w:r>
      <w:r>
        <w:rPr>
          <w:rFonts w:ascii="Times New Roman" w:eastAsia="Times New Roman" w:hAnsi="Times New Roman" w:cs="Times New Roman"/>
          <w:i/>
          <w:iCs/>
          <w:sz w:val="16"/>
          <w:szCs w:val="16"/>
        </w:rPr>
        <w:t>Ehrlichia) phagocytophila (ehrlichiosis</w:t>
      </w:r>
      <w:r>
        <w:t xml:space="preserve"> granulocítica humana </w:t>
      </w:r>
      <w:r>
        <w:rPr>
          <w:i/>
          <w:iCs/>
        </w:rPr>
        <w:t>[</w:t>
      </w:r>
      <w:r>
        <w:rPr>
          <w:rFonts w:ascii="Times New Roman" w:eastAsia="Times New Roman" w:hAnsi="Times New Roman" w:cs="Times New Roman"/>
          <w:i/>
          <w:iCs/>
          <w:sz w:val="16"/>
          <w:szCs w:val="16"/>
        </w:rPr>
        <w:t>human granulocytic ehrlichiosis</w:t>
      </w:r>
      <w:r>
        <w:rPr>
          <w:i/>
          <w:iCs/>
        </w:rPr>
        <w:t>,</w:t>
      </w:r>
      <w:r>
        <w:t xml:space="preserve"> HGE]), y a </w:t>
      </w:r>
      <w:r>
        <w:rPr>
          <w:rFonts w:ascii="Times New Roman" w:eastAsia="Times New Roman" w:hAnsi="Times New Roman" w:cs="Times New Roman"/>
          <w:i/>
          <w:iCs/>
          <w:sz w:val="16"/>
          <w:szCs w:val="16"/>
        </w:rPr>
        <w:t>Ehrlichia ewingii</w:t>
      </w:r>
      <w:r>
        <w:t xml:space="preserve"> (véase cuadro 3-9). Las tres infecciones mencionadas tienen causas diferentes pero signos, síntomas y evolución clínica similares. Todas son enfermedades febriles, sistémicas y agudas que muestran semejanza clínica con la fiebre maculada de las Montañas Rocosas, pero a menudo presentan leucopenia, anemia y hepatitis y se acompañan con menor frecuencia de erupciones. El cuadro febril suele acompañarse de una o más manifestaciones sistémicas, que incluyan cefalea, escalofríos, malestar generalizado, mialgias, artralgias, náuseas, vómitos, anorexia y pérdida inmediata de peso. La erupción tiene aspecto y sitio variables, aparece de manera típica una semana después de comenzar la enfermedad y afecta sólo a 60% de niños y 25% de adultos, aproximadamente, con casos notificados de HME y menos de 10% de personas con HGE. Sólo en raras ocasiones aparecen diarrea, dolor abdominal, tos o cambio del estado psíquico. Las manifestaciones más intensas de las enfermedades en cuestión incluyen infiltrados pulmonares, hipoplasia de médula ósea, insuficiencia respiratoria, encefalopatía, meningitis, coagulación intravascular diseminada, hemorragia espontánea e insuficiencia renal. Las especies de </w:t>
      </w:r>
      <w:r>
        <w:rPr>
          <w:rFonts w:ascii="Times New Roman" w:eastAsia="Times New Roman" w:hAnsi="Times New Roman" w:cs="Times New Roman"/>
          <w:i/>
          <w:iCs/>
          <w:sz w:val="16"/>
          <w:szCs w:val="16"/>
        </w:rPr>
        <w:t>Ehrlichia</w:t>
      </w:r>
      <w:r>
        <w:t xml:space="preserve"> no originan la vasculitis ni el daño de endotelio que son característicos de otras rickettsiosis. Son frecuentes anemia, hiponatremia, trombocitopenia, mayores concentraciones de transaminasas de hígado y anormalidades de líquido cefalorraquídeo (como pleocitosis con predominio de linfocitos y una mayor concentración de proteínas totales). De manera típica, los síntomas duran de una a dos semanas, y el sujeto por lo general se recupera sin secuelas; sin embargo, algunos señalamientos sugieren la aparición de complicaciones en el sistema nervioso en algunos niños después de enfermedad grave. Se ha informado de casos de infecciones letales. En cuadro graves puede haber infecciones secundarias oportunistas, en cuyo caso hay la posibilidad de que se retrase la identificación de la ehrlichiosis y también el tratamiento con los antimicrobianos apropiados. Los sujetos con inmunosupresión primaria están expuestos a mayor peligro de enfermedad grave.</w:t>
      </w:r>
    </w:p>
    <w:p w14:paraId="6DEBE3A8" w14:textId="77777777" w:rsidR="00093A32" w:rsidRDefault="00093A32">
      <w:pPr>
        <w:pStyle w:val="BodyText"/>
        <w:spacing w:after="100"/>
        <w:ind w:firstLine="0"/>
      </w:pPr>
      <w:r>
        <w:rPr>
          <w:b/>
          <w:bCs/>
        </w:rPr>
        <w:t>C</w:t>
      </w:r>
      <w:r>
        <w:rPr>
          <w:b/>
          <w:bCs/>
          <w:sz w:val="13"/>
          <w:szCs w:val="13"/>
        </w:rPr>
        <w:t>AUSAS</w:t>
      </w:r>
      <w:r>
        <w:rPr>
          <w:b/>
          <w:bCs/>
        </w:rPr>
        <w:t xml:space="preserve">: </w:t>
      </w:r>
      <w:r>
        <w:t xml:space="preserve">En Estados Unidos, las ehrlichiosis de seres humanos pueden ser causadas por lo menos por tres especies diferentes de bacterias intracelulares obligadas. La ehrlichiosis monocítica humana es consecuencia de la infección por </w:t>
      </w:r>
      <w:r>
        <w:rPr>
          <w:rFonts w:ascii="Times New Roman" w:eastAsia="Times New Roman" w:hAnsi="Times New Roman" w:cs="Times New Roman"/>
          <w:i/>
          <w:iCs/>
          <w:sz w:val="16"/>
          <w:szCs w:val="16"/>
        </w:rPr>
        <w:t>E. chaffeensis;</w:t>
      </w:r>
      <w:r>
        <w:t xml:space="preserve"> la forma granulocítica de los seres humanos es causada por </w:t>
      </w:r>
      <w:r>
        <w:rPr>
          <w:rFonts w:ascii="Times New Roman" w:eastAsia="Times New Roman" w:hAnsi="Times New Roman" w:cs="Times New Roman"/>
          <w:i/>
          <w:iCs/>
          <w:sz w:val="16"/>
          <w:szCs w:val="16"/>
        </w:rPr>
        <w:t>A. phagocytophila</w:t>
      </w:r>
      <w:r>
        <w:t xml:space="preserve"> y </w:t>
      </w:r>
      <w:r>
        <w:rPr>
          <w:rFonts w:ascii="Times New Roman" w:eastAsia="Times New Roman" w:hAnsi="Times New Roman" w:cs="Times New Roman"/>
          <w:i/>
          <w:iCs/>
          <w:sz w:val="16"/>
          <w:szCs w:val="16"/>
        </w:rPr>
        <w:t>E. ewingii.</w:t>
      </w:r>
      <w:r>
        <w:t xml:space="preserve"> Las especies de </w:t>
      </w:r>
      <w:r>
        <w:rPr>
          <w:rFonts w:ascii="Times New Roman" w:eastAsia="Times New Roman" w:hAnsi="Times New Roman" w:cs="Times New Roman"/>
          <w:i/>
          <w:iCs/>
          <w:sz w:val="16"/>
          <w:szCs w:val="16"/>
        </w:rPr>
        <w:t>Ehrlichia</w:t>
      </w:r>
      <w:r>
        <w:t xml:space="preserve"> son cocos gramnegativos que miden 0.5 a 1.5 pm de diámetro. </w:t>
      </w:r>
      <w:r>
        <w:rPr>
          <w:b/>
          <w:bCs/>
        </w:rPr>
        <w:t>A</w:t>
      </w:r>
      <w:r>
        <w:rPr>
          <w:b/>
          <w:bCs/>
          <w:sz w:val="13"/>
          <w:szCs w:val="13"/>
        </w:rPr>
        <w:t>SPECTOS EPIDEMIOLÓGICOS</w:t>
      </w:r>
      <w:r>
        <w:rPr>
          <w:b/>
          <w:bCs/>
        </w:rPr>
        <w:t xml:space="preserve">: </w:t>
      </w:r>
      <w:r>
        <w:t xml:space="preserve">Casi todas las infecciones de tipo HME afectan a personas de las zonas sureste y centro-sur de Estados Unidos, pero se han descrito en otras áreas números pequeños de casos. Las ehrlichiosis causadas por </w:t>
      </w:r>
      <w:r>
        <w:rPr>
          <w:rFonts w:ascii="Times New Roman" w:eastAsia="Times New Roman" w:hAnsi="Times New Roman" w:cs="Times New Roman"/>
          <w:i/>
          <w:iCs/>
          <w:sz w:val="16"/>
          <w:szCs w:val="16"/>
        </w:rPr>
        <w:t>Ehrlichia chaffeensis</w:t>
      </w:r>
      <w:r>
        <w:t xml:space="preserve"> y </w:t>
      </w:r>
      <w:r>
        <w:rPr>
          <w:rFonts w:ascii="Times New Roman" w:eastAsia="Times New Roman" w:hAnsi="Times New Roman" w:cs="Times New Roman"/>
          <w:i/>
          <w:iCs/>
          <w:sz w:val="16"/>
          <w:szCs w:val="16"/>
        </w:rPr>
        <w:t>E. ewingii</w:t>
      </w:r>
      <w:r>
        <w:t xml:space="preserve"> surgen por la picadura de la garrapata tejana </w:t>
      </w:r>
      <w:r>
        <w:rPr>
          <w:rFonts w:ascii="Times New Roman" w:eastAsia="Times New Roman" w:hAnsi="Times New Roman" w:cs="Times New Roman"/>
          <w:i/>
          <w:iCs/>
          <w:sz w:val="16"/>
          <w:szCs w:val="16"/>
        </w:rPr>
        <w:t>(Amblyomma americanum).</w:t>
      </w:r>
      <w:r>
        <w:t xml:space="preserve"> Casos de infección por HME en los estados que están por fuera de la distribución geográfica de </w:t>
      </w:r>
      <w:r>
        <w:rPr>
          <w:rFonts w:ascii="Times New Roman" w:eastAsia="Times New Roman" w:hAnsi="Times New Roman" w:cs="Times New Roman"/>
          <w:i/>
          <w:iCs/>
          <w:sz w:val="16"/>
          <w:szCs w:val="16"/>
        </w:rPr>
        <w:t>A. americanum</w:t>
      </w:r>
      <w:r>
        <w:t xml:space="preserve"> sugieren transmisión por otras especies de garrapatas. Casi todos los casos de HGE se han notificado en las zonas centro-norte y</w:t>
      </w:r>
    </w:p>
    <w:p w14:paraId="0D898C56" w14:textId="77777777" w:rsidR="00093A32" w:rsidRDefault="00093A32">
      <w:pPr>
        <w:pStyle w:val="BodyText"/>
        <w:spacing w:after="100"/>
        <w:ind w:firstLine="360"/>
      </w:pPr>
      <w:r>
        <w:rPr>
          <w:rFonts w:ascii="Arial" w:eastAsia="Arial" w:hAnsi="Arial" w:cs="Arial"/>
          <w:b/>
          <w:bCs/>
          <w:i/>
          <w:iCs/>
          <w:sz w:val="15"/>
          <w:szCs w:val="15"/>
        </w:rPr>
        <w:t>Precauciones y contraindicaciones.</w:t>
      </w:r>
      <w:r>
        <w:t xml:space="preserve"> Véase “Tos ferina” y “Tétanos” (en esta sección).</w:t>
      </w:r>
    </w:p>
    <w:p w14:paraId="70D96CB9" w14:textId="77777777" w:rsidR="00093A32" w:rsidRDefault="00093A32">
      <w:pPr>
        <w:pStyle w:val="Bodytext70"/>
        <w:spacing w:after="100"/>
      </w:pPr>
      <w:r>
        <w:t>Donovanosis. Véase GRANULOMA INGUINAL.</w:t>
      </w:r>
    </w:p>
    <w:p w14:paraId="602CD8DC" w14:textId="77777777" w:rsidR="00093A32" w:rsidRDefault="00093A32">
      <w:pPr>
        <w:pStyle w:val="Other0"/>
        <w:spacing w:line="192" w:lineRule="auto"/>
        <w:ind w:firstLine="0"/>
        <w:rPr>
          <w:sz w:val="20"/>
          <w:szCs w:val="20"/>
        </w:rPr>
      </w:pPr>
      <w:r>
        <w:rPr>
          <w:rFonts w:ascii="Arial" w:eastAsia="Arial" w:hAnsi="Arial" w:cs="Arial"/>
          <w:b/>
          <w:bCs/>
          <w:i/>
          <w:iCs/>
          <w:w w:val="70"/>
          <w:sz w:val="32"/>
          <w:szCs w:val="32"/>
        </w:rPr>
        <w:t>Ehrlichia,</w:t>
      </w:r>
      <w:r>
        <w:rPr>
          <w:rFonts w:ascii="Arial" w:eastAsia="Arial" w:hAnsi="Arial" w:cs="Arial"/>
          <w:b/>
          <w:bCs/>
          <w:w w:val="70"/>
          <w:sz w:val="32"/>
          <w:szCs w:val="32"/>
        </w:rPr>
        <w:t xml:space="preserve"> infecciones </w:t>
      </w:r>
      <w:r>
        <w:rPr>
          <w:rFonts w:ascii="Arial" w:eastAsia="Arial" w:hAnsi="Arial" w:cs="Arial"/>
          <w:b/>
          <w:bCs/>
          <w:w w:val="70"/>
          <w:sz w:val="20"/>
          <w:szCs w:val="20"/>
        </w:rPr>
        <w:t>(ehrlichiosis de seres humanos)</w:t>
      </w:r>
    </w:p>
    <w:p w14:paraId="3388603E"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Las ehrlichiosis de seres humanos en Estados Unidos se atribuyen como mínimo a tres patógenos diferentes transmitidos por garrapatas: </w:t>
      </w:r>
      <w:r>
        <w:rPr>
          <w:rFonts w:ascii="Times New Roman" w:eastAsia="Times New Roman" w:hAnsi="Times New Roman" w:cs="Times New Roman"/>
          <w:i/>
          <w:iCs/>
          <w:sz w:val="16"/>
          <w:szCs w:val="16"/>
        </w:rPr>
        <w:t>Ehrlichia chajfeensis</w:t>
      </w:r>
      <w:r>
        <w:t xml:space="preserve"> (ehrlichiosis monocítica humana </w:t>
      </w:r>
      <w:r>
        <w:rPr>
          <w:i/>
          <w:iCs/>
        </w:rPr>
        <w:t>[</w:t>
      </w:r>
      <w:r>
        <w:rPr>
          <w:rFonts w:ascii="Times New Roman" w:eastAsia="Times New Roman" w:hAnsi="Times New Roman" w:cs="Times New Roman"/>
          <w:i/>
          <w:iCs/>
          <w:sz w:val="16"/>
          <w:szCs w:val="16"/>
        </w:rPr>
        <w:t>human monocytic ehrlichiosis</w:t>
      </w:r>
      <w:r>
        <w:rPr>
          <w:i/>
          <w:iCs/>
        </w:rPr>
        <w:t>,</w:t>
      </w:r>
      <w:r>
        <w:t xml:space="preserve"> HME]), el agente de </w:t>
      </w:r>
      <w:r>
        <w:rPr>
          <w:rFonts w:ascii="Times New Roman" w:eastAsia="Times New Roman" w:hAnsi="Times New Roman" w:cs="Times New Roman"/>
          <w:i/>
          <w:iCs/>
          <w:sz w:val="16"/>
          <w:szCs w:val="16"/>
        </w:rPr>
        <w:t>Anaplasma</w:t>
      </w:r>
      <w:r>
        <w:t xml:space="preserve"> (antes </w:t>
      </w:r>
      <w:r>
        <w:rPr>
          <w:rFonts w:ascii="Times New Roman" w:eastAsia="Times New Roman" w:hAnsi="Times New Roman" w:cs="Times New Roman"/>
          <w:i/>
          <w:iCs/>
          <w:sz w:val="16"/>
          <w:szCs w:val="16"/>
        </w:rPr>
        <w:t>Ehrlichia) phagocytophila (ehrlichiosis</w:t>
      </w:r>
      <w:r>
        <w:t xml:space="preserve"> granulocítica humana </w:t>
      </w:r>
      <w:r>
        <w:rPr>
          <w:i/>
          <w:iCs/>
        </w:rPr>
        <w:t>[</w:t>
      </w:r>
      <w:r>
        <w:rPr>
          <w:rFonts w:ascii="Times New Roman" w:eastAsia="Times New Roman" w:hAnsi="Times New Roman" w:cs="Times New Roman"/>
          <w:i/>
          <w:iCs/>
          <w:sz w:val="16"/>
          <w:szCs w:val="16"/>
        </w:rPr>
        <w:t>human granulocytic ehrlichiosis</w:t>
      </w:r>
      <w:r>
        <w:rPr>
          <w:i/>
          <w:iCs/>
        </w:rPr>
        <w:t>,</w:t>
      </w:r>
      <w:r>
        <w:t xml:space="preserve"> HGE]), y a </w:t>
      </w:r>
      <w:r>
        <w:rPr>
          <w:rFonts w:ascii="Times New Roman" w:eastAsia="Times New Roman" w:hAnsi="Times New Roman" w:cs="Times New Roman"/>
          <w:i/>
          <w:iCs/>
          <w:sz w:val="16"/>
          <w:szCs w:val="16"/>
        </w:rPr>
        <w:t>Ehrlichia ewingii</w:t>
      </w:r>
      <w:r>
        <w:t xml:space="preserve"> (véase cuadro 3-9). Las tres infecciones mencionadas tienen causas diferentes pero signos, síntomas y evolución clínica similares. Todas son enfermedades febriles, sistémicas y agudas que muestran semejanza clínica con la fiebre maculada de las Montañas Rocosas, pero a menudo presentan leucopenia, anemia y hepatitis y se acompañan con menor frecuencia de erupciones. El cuadro febril suele acompañarse de una o más manifestaciones sistémicas, que incluyan cefalea, escalofríos, malestar generalizado, mialgias, artralgias, náuseas, vómitos, anorexia y pérdida inmediata de peso. La erupción tiene aspecto y sitio variables, aparece de manera típica una semana después de comenzar la enfermedad y afecta sólo a 60% de niños y 25% de adultos, aproximadamente, con casos notificados de HME y menos de 10% de personas con HGE. Sólo en raras ocasiones aparecen diarrea, dolor abdominal, tos o cambio del estado psíquico. Las manifestaciones más intensas de las enfermedades en cuestión incluyen infiltrados pulmonares, hipoplasia de médula ósea, insuficiencia respiratoria, encefalopatía, meningitis, coagulación intravascular diseminada, hemorragia espontánea e insuficiencia renal. Las especies de </w:t>
      </w:r>
      <w:r>
        <w:rPr>
          <w:rFonts w:ascii="Times New Roman" w:eastAsia="Times New Roman" w:hAnsi="Times New Roman" w:cs="Times New Roman"/>
          <w:i/>
          <w:iCs/>
          <w:sz w:val="16"/>
          <w:szCs w:val="16"/>
        </w:rPr>
        <w:t>Ehrlichia</w:t>
      </w:r>
      <w:r>
        <w:t xml:space="preserve"> no originan la vasculitis ni el daño de endotelio que son característicos de otras rickettsiosis. Son frecuentes anemia, hiponatremia, trombocitopenia, mayores concentraciones de transaminasas de hígado y anormalidades de líquido cefalorraquídeo (como pleocitosis con predominio de linfocitos y una mayor concentración de proteínas totales). De manera típica, los síntomas duran de una a dos semanas, y el sujeto por lo general se recupera sin secuelas; sin embargo, algunos señalamientos sugieren la aparición de complicaciones en el sistema nervioso en algunos niños después de enfermedad grave. Se ha informado de casos de infecciones letales. En cuadro graves puede haber infecciones secundarias oportunistas, en cuyo caso hay la posibilidad de que se retrase la identificación de la ehrlichiosis y también el tratamiento con los antimicrobianos apropiados. Los sujetos con inmunosupresión primaria están expuestos a mayor peligro de enfermedad grave.</w:t>
      </w:r>
    </w:p>
    <w:p w14:paraId="11E0E8B8" w14:textId="77777777" w:rsidR="00093A32" w:rsidRDefault="00093A32">
      <w:pPr>
        <w:pStyle w:val="BodyText"/>
        <w:spacing w:after="100"/>
        <w:ind w:firstLine="0"/>
        <w:sectPr w:rsidR="00093A32" w:rsidSect="00093A32">
          <w:headerReference w:type="even" r:id="rId230"/>
          <w:headerReference w:type="default" r:id="rId231"/>
          <w:footerReference w:type="even" r:id="rId232"/>
          <w:footerReference w:type="default" r:id="rId233"/>
          <w:footnotePr>
            <w:numFmt w:val="chicago"/>
          </w:footnotePr>
          <w:pgSz w:w="8501" w:h="13022"/>
          <w:pgMar w:top="708" w:right="805" w:bottom="440" w:left="770" w:header="0" w:footer="12" w:gutter="0"/>
          <w:pgNumType w:start="364"/>
          <w:cols w:space="720"/>
          <w:noEndnote/>
          <w:docGrid w:linePitch="360"/>
          <w15:footnoteColumns w:val="1"/>
        </w:sectPr>
      </w:pPr>
      <w:r>
        <w:rPr>
          <w:b/>
          <w:bCs/>
        </w:rPr>
        <w:t>C</w:t>
      </w:r>
      <w:r>
        <w:rPr>
          <w:b/>
          <w:bCs/>
          <w:sz w:val="13"/>
          <w:szCs w:val="13"/>
        </w:rPr>
        <w:t>AUSAS</w:t>
      </w:r>
      <w:r>
        <w:rPr>
          <w:b/>
          <w:bCs/>
        </w:rPr>
        <w:t xml:space="preserve">: </w:t>
      </w:r>
      <w:r>
        <w:t xml:space="preserve">En Estados Unidos, las ehrlichiosis de seres humanos pueden ser causadas por lo menos por tres especies diferentes de bacterias intracelulares obligadas. La ehrlichiosis monocítica humana es consecuencia de la infección por </w:t>
      </w:r>
      <w:r>
        <w:rPr>
          <w:rFonts w:ascii="Times New Roman" w:eastAsia="Times New Roman" w:hAnsi="Times New Roman" w:cs="Times New Roman"/>
          <w:i/>
          <w:iCs/>
          <w:sz w:val="16"/>
          <w:szCs w:val="16"/>
        </w:rPr>
        <w:t>E. chaffeensis;</w:t>
      </w:r>
      <w:r>
        <w:t xml:space="preserve"> la forma granulocítica de los seres humanos es causada por </w:t>
      </w:r>
      <w:r>
        <w:rPr>
          <w:rFonts w:ascii="Times New Roman" w:eastAsia="Times New Roman" w:hAnsi="Times New Roman" w:cs="Times New Roman"/>
          <w:i/>
          <w:iCs/>
          <w:sz w:val="16"/>
          <w:szCs w:val="16"/>
        </w:rPr>
        <w:t>A. phagocytophila</w:t>
      </w:r>
      <w:r>
        <w:t xml:space="preserve"> y </w:t>
      </w:r>
      <w:r>
        <w:rPr>
          <w:rFonts w:ascii="Times New Roman" w:eastAsia="Times New Roman" w:hAnsi="Times New Roman" w:cs="Times New Roman"/>
          <w:i/>
          <w:iCs/>
          <w:sz w:val="16"/>
          <w:szCs w:val="16"/>
        </w:rPr>
        <w:t>E. ewingii.</w:t>
      </w:r>
      <w:r>
        <w:t xml:space="preserve"> Las especies de </w:t>
      </w:r>
      <w:r>
        <w:rPr>
          <w:rFonts w:ascii="Times New Roman" w:eastAsia="Times New Roman" w:hAnsi="Times New Roman" w:cs="Times New Roman"/>
          <w:i/>
          <w:iCs/>
          <w:sz w:val="16"/>
          <w:szCs w:val="16"/>
        </w:rPr>
        <w:t>Ehrlichia</w:t>
      </w:r>
      <w:r>
        <w:t xml:space="preserve"> son cocos gramnegativos que miden 0.5 a 1.5 pm de diámetro. </w:t>
      </w:r>
      <w:r>
        <w:rPr>
          <w:b/>
          <w:bCs/>
        </w:rPr>
        <w:t>A</w:t>
      </w:r>
      <w:r>
        <w:rPr>
          <w:b/>
          <w:bCs/>
          <w:sz w:val="13"/>
          <w:szCs w:val="13"/>
        </w:rPr>
        <w:t>SPECTOS EPIDEMIOLÓGICOS</w:t>
      </w:r>
      <w:r>
        <w:rPr>
          <w:b/>
          <w:bCs/>
        </w:rPr>
        <w:t xml:space="preserve">: </w:t>
      </w:r>
      <w:r>
        <w:t xml:space="preserve">Casi todas las infecciones de tipo HME afectan a personas de las zonas sureste y centro-sur de Estados Unidos, pero se han descrito en otras áreas números pequeños de casos. Las ehrlichiosis causadas por </w:t>
      </w:r>
      <w:r>
        <w:rPr>
          <w:rFonts w:ascii="Times New Roman" w:eastAsia="Times New Roman" w:hAnsi="Times New Roman" w:cs="Times New Roman"/>
          <w:i/>
          <w:iCs/>
          <w:sz w:val="16"/>
          <w:szCs w:val="16"/>
        </w:rPr>
        <w:t>Ehrlichia chaffeensis</w:t>
      </w:r>
      <w:r>
        <w:t xml:space="preserve"> y </w:t>
      </w:r>
      <w:r>
        <w:rPr>
          <w:rFonts w:ascii="Times New Roman" w:eastAsia="Times New Roman" w:hAnsi="Times New Roman" w:cs="Times New Roman"/>
          <w:i/>
          <w:iCs/>
          <w:sz w:val="16"/>
          <w:szCs w:val="16"/>
        </w:rPr>
        <w:t>E. ewingii</w:t>
      </w:r>
      <w:r>
        <w:t xml:space="preserve"> surgen por la picadura de la garrapata tejana </w:t>
      </w:r>
      <w:r>
        <w:rPr>
          <w:rFonts w:ascii="Times New Roman" w:eastAsia="Times New Roman" w:hAnsi="Times New Roman" w:cs="Times New Roman"/>
          <w:i/>
          <w:iCs/>
          <w:sz w:val="16"/>
          <w:szCs w:val="16"/>
        </w:rPr>
        <w:t>(Amblyomma americanum).</w:t>
      </w:r>
      <w:r>
        <w:t xml:space="preserve"> Casos de infección por HME en los estados que están por fuera de la distribución geográfica de </w:t>
      </w:r>
      <w:r>
        <w:rPr>
          <w:rFonts w:ascii="Times New Roman" w:eastAsia="Times New Roman" w:hAnsi="Times New Roman" w:cs="Times New Roman"/>
          <w:i/>
          <w:iCs/>
          <w:sz w:val="16"/>
          <w:szCs w:val="16"/>
        </w:rPr>
        <w:t>A. americanum</w:t>
      </w:r>
      <w:r>
        <w:t xml:space="preserve"> sugieren transmisión por otras especies de garrapatas. Casi todos los casos de HGE se han notificado en las zonas centro-norte y</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4"/>
        <w:gridCol w:w="1421"/>
        <w:gridCol w:w="1550"/>
        <w:gridCol w:w="2126"/>
      </w:tblGrid>
      <w:tr w:rsidR="00093A32" w14:paraId="1E9E013E" w14:textId="77777777">
        <w:tblPrEx>
          <w:tblCellMar>
            <w:top w:w="0" w:type="dxa"/>
            <w:bottom w:w="0" w:type="dxa"/>
          </w:tblCellMar>
        </w:tblPrEx>
        <w:trPr>
          <w:trHeight w:hRule="exact" w:val="605"/>
          <w:jc w:val="center"/>
        </w:trPr>
        <w:tc>
          <w:tcPr>
            <w:tcW w:w="6921" w:type="dxa"/>
            <w:gridSpan w:val="4"/>
            <w:tcBorders>
              <w:top w:val="single" w:sz="4" w:space="0" w:color="auto"/>
            </w:tcBorders>
            <w:shd w:val="clear" w:color="auto" w:fill="FFFFFF"/>
            <w:vAlign w:val="bottom"/>
          </w:tcPr>
          <w:p w14:paraId="7C4C852D" w14:textId="77777777" w:rsidR="00093A32" w:rsidRDefault="00093A32">
            <w:pPr>
              <w:pStyle w:val="Other0"/>
              <w:spacing w:line="240" w:lineRule="auto"/>
              <w:ind w:firstLine="0"/>
              <w:jc w:val="center"/>
              <w:rPr>
                <w:sz w:val="26"/>
                <w:szCs w:val="26"/>
              </w:rPr>
            </w:pPr>
            <w:r>
              <w:rPr>
                <w:rFonts w:ascii="Arial" w:eastAsia="Arial" w:hAnsi="Arial" w:cs="Arial"/>
                <w:w w:val="70"/>
                <w:sz w:val="26"/>
                <w:szCs w:val="26"/>
              </w:rPr>
              <w:t xml:space="preserve">Cuadro 3-9. </w:t>
            </w:r>
            <w:r>
              <w:rPr>
                <w:rFonts w:ascii="Arial" w:eastAsia="Arial" w:hAnsi="Arial" w:cs="Arial"/>
                <w:b/>
                <w:bCs/>
                <w:w w:val="70"/>
                <w:sz w:val="26"/>
                <w:szCs w:val="26"/>
              </w:rPr>
              <w:t>Ehrlichiosis de seres humanos en Estados Unidos</w:t>
            </w:r>
          </w:p>
        </w:tc>
      </w:tr>
      <w:tr w:rsidR="00093A32" w14:paraId="23A5FB69" w14:textId="77777777">
        <w:tblPrEx>
          <w:tblCellMar>
            <w:top w:w="0" w:type="dxa"/>
            <w:bottom w:w="0" w:type="dxa"/>
          </w:tblCellMar>
        </w:tblPrEx>
        <w:trPr>
          <w:trHeight w:hRule="exact" w:val="552"/>
          <w:jc w:val="center"/>
        </w:trPr>
        <w:tc>
          <w:tcPr>
            <w:tcW w:w="1824" w:type="dxa"/>
            <w:shd w:val="clear" w:color="auto" w:fill="231F20"/>
            <w:vAlign w:val="bottom"/>
          </w:tcPr>
          <w:p w14:paraId="2EA25E99"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p>
        </w:tc>
        <w:tc>
          <w:tcPr>
            <w:tcW w:w="1421" w:type="dxa"/>
            <w:shd w:val="clear" w:color="auto" w:fill="231F20"/>
          </w:tcPr>
          <w:p w14:paraId="2613DA7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Agente causal</w:t>
            </w:r>
          </w:p>
        </w:tc>
        <w:tc>
          <w:tcPr>
            <w:tcW w:w="1550" w:type="dxa"/>
            <w:shd w:val="clear" w:color="auto" w:fill="231F20"/>
            <w:vAlign w:val="bottom"/>
          </w:tcPr>
          <w:p w14:paraId="62B0DAA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Vector</w:t>
            </w:r>
          </w:p>
        </w:tc>
        <w:tc>
          <w:tcPr>
            <w:tcW w:w="2126" w:type="dxa"/>
            <w:shd w:val="clear" w:color="auto" w:fill="231F20"/>
          </w:tcPr>
          <w:p w14:paraId="35C00C5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Distribución geográfica</w:t>
            </w:r>
          </w:p>
        </w:tc>
      </w:tr>
      <w:tr w:rsidR="00093A32" w14:paraId="3BA31A7F" w14:textId="77777777">
        <w:tblPrEx>
          <w:tblCellMar>
            <w:top w:w="0" w:type="dxa"/>
            <w:bottom w:w="0" w:type="dxa"/>
          </w:tblCellMar>
        </w:tblPrEx>
        <w:trPr>
          <w:trHeight w:hRule="exact" w:val="274"/>
          <w:jc w:val="center"/>
        </w:trPr>
        <w:tc>
          <w:tcPr>
            <w:tcW w:w="1824" w:type="dxa"/>
            <w:shd w:val="clear" w:color="auto" w:fill="FFFFFF"/>
            <w:vAlign w:val="bottom"/>
          </w:tcPr>
          <w:p w14:paraId="31AABF8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Ehrlichiosis monocítica</w:t>
            </w:r>
          </w:p>
        </w:tc>
        <w:tc>
          <w:tcPr>
            <w:tcW w:w="1421" w:type="dxa"/>
            <w:shd w:val="clear" w:color="auto" w:fill="FFFFFF"/>
            <w:vAlign w:val="bottom"/>
          </w:tcPr>
          <w:p w14:paraId="7E81F2A8" w14:textId="77777777" w:rsidR="00093A32" w:rsidRDefault="00093A32">
            <w:pPr>
              <w:pStyle w:val="Other0"/>
              <w:spacing w:line="240" w:lineRule="auto"/>
              <w:ind w:firstLine="0"/>
              <w:rPr>
                <w:sz w:val="16"/>
                <w:szCs w:val="16"/>
              </w:rPr>
            </w:pPr>
            <w:r>
              <w:rPr>
                <w:rFonts w:ascii="Times New Roman" w:eastAsia="Times New Roman" w:hAnsi="Times New Roman" w:cs="Times New Roman"/>
                <w:i/>
                <w:iCs/>
                <w:sz w:val="16"/>
                <w:szCs w:val="16"/>
              </w:rPr>
              <w:t>Ehrlichia</w:t>
            </w:r>
          </w:p>
        </w:tc>
        <w:tc>
          <w:tcPr>
            <w:tcW w:w="1550" w:type="dxa"/>
            <w:shd w:val="clear" w:color="auto" w:fill="FFFFFF"/>
            <w:vAlign w:val="bottom"/>
          </w:tcPr>
          <w:p w14:paraId="5A4710B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Garrapata tejana</w:t>
            </w:r>
          </w:p>
        </w:tc>
        <w:tc>
          <w:tcPr>
            <w:tcW w:w="2126" w:type="dxa"/>
            <w:shd w:val="clear" w:color="auto" w:fill="FFFFFF"/>
            <w:vAlign w:val="bottom"/>
          </w:tcPr>
          <w:p w14:paraId="735915B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 Estados Unidos,</w:t>
            </w:r>
          </w:p>
        </w:tc>
      </w:tr>
      <w:tr w:rsidR="00093A32" w14:paraId="536B57B0" w14:textId="77777777">
        <w:tblPrEx>
          <w:tblCellMar>
            <w:top w:w="0" w:type="dxa"/>
            <w:bottom w:w="0" w:type="dxa"/>
          </w:tblCellMar>
        </w:tblPrEx>
        <w:trPr>
          <w:trHeight w:hRule="exact" w:val="230"/>
          <w:jc w:val="center"/>
        </w:trPr>
        <w:tc>
          <w:tcPr>
            <w:tcW w:w="1824" w:type="dxa"/>
            <w:shd w:val="clear" w:color="auto" w:fill="FFFFFF"/>
            <w:vAlign w:val="bottom"/>
          </w:tcPr>
          <w:p w14:paraId="7B3C4E47"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de seres humanos</w:t>
            </w:r>
          </w:p>
        </w:tc>
        <w:tc>
          <w:tcPr>
            <w:tcW w:w="1421" w:type="dxa"/>
            <w:shd w:val="clear" w:color="auto" w:fill="FFFFFF"/>
            <w:vAlign w:val="bottom"/>
          </w:tcPr>
          <w:p w14:paraId="5393F952" w14:textId="77777777" w:rsidR="00093A32" w:rsidRDefault="00093A32">
            <w:pPr>
              <w:pStyle w:val="Other0"/>
              <w:spacing w:line="240" w:lineRule="auto"/>
              <w:ind w:firstLine="200"/>
              <w:rPr>
                <w:sz w:val="16"/>
                <w:szCs w:val="16"/>
              </w:rPr>
            </w:pPr>
            <w:r>
              <w:rPr>
                <w:rFonts w:ascii="Times New Roman" w:eastAsia="Times New Roman" w:hAnsi="Times New Roman" w:cs="Times New Roman"/>
                <w:i/>
                <w:iCs/>
                <w:sz w:val="16"/>
                <w:szCs w:val="16"/>
              </w:rPr>
              <w:t>chaffeensis</w:t>
            </w:r>
          </w:p>
        </w:tc>
        <w:tc>
          <w:tcPr>
            <w:tcW w:w="1550" w:type="dxa"/>
            <w:shd w:val="clear" w:color="auto" w:fill="FFFFFF"/>
            <w:vAlign w:val="bottom"/>
          </w:tcPr>
          <w:p w14:paraId="6ED09E9F" w14:textId="77777777" w:rsidR="00093A32" w:rsidRDefault="00093A32">
            <w:pPr>
              <w:pStyle w:val="Other0"/>
              <w:spacing w:line="240" w:lineRule="auto"/>
              <w:ind w:firstLine="180"/>
              <w:rPr>
                <w:sz w:val="16"/>
                <w:szCs w:val="16"/>
              </w:rPr>
            </w:pPr>
            <w:r>
              <w:rPr>
                <w:rFonts w:ascii="Times New Roman" w:eastAsia="Times New Roman" w:hAnsi="Times New Roman" w:cs="Times New Roman"/>
                <w:i/>
                <w:iCs/>
                <w:sz w:val="16"/>
                <w:szCs w:val="16"/>
              </w:rPr>
              <w:t>(Amblyomma</w:t>
            </w:r>
          </w:p>
        </w:tc>
        <w:tc>
          <w:tcPr>
            <w:tcW w:w="2126" w:type="dxa"/>
            <w:shd w:val="clear" w:color="auto" w:fill="FFFFFF"/>
            <w:vAlign w:val="bottom"/>
          </w:tcPr>
          <w:p w14:paraId="54621FD0" w14:textId="77777777" w:rsidR="00093A32" w:rsidRDefault="00093A32">
            <w:pPr>
              <w:pStyle w:val="Other0"/>
              <w:spacing w:line="240" w:lineRule="auto"/>
              <w:ind w:firstLine="220"/>
              <w:rPr>
                <w:sz w:val="16"/>
                <w:szCs w:val="16"/>
              </w:rPr>
            </w:pPr>
            <w:r>
              <w:rPr>
                <w:rFonts w:ascii="Times New Roman" w:eastAsia="Times New Roman" w:hAnsi="Times New Roman" w:cs="Times New Roman"/>
                <w:sz w:val="16"/>
                <w:szCs w:val="16"/>
              </w:rPr>
              <w:t>predominantemente</w:t>
            </w:r>
          </w:p>
        </w:tc>
      </w:tr>
      <w:tr w:rsidR="00093A32" w14:paraId="6F58F145" w14:textId="77777777">
        <w:tblPrEx>
          <w:tblCellMar>
            <w:top w:w="0" w:type="dxa"/>
            <w:bottom w:w="0" w:type="dxa"/>
          </w:tblCellMar>
        </w:tblPrEx>
        <w:trPr>
          <w:trHeight w:hRule="exact" w:val="634"/>
          <w:jc w:val="center"/>
        </w:trPr>
        <w:tc>
          <w:tcPr>
            <w:tcW w:w="1824" w:type="dxa"/>
            <w:shd w:val="clear" w:color="auto" w:fill="FFFFFF"/>
          </w:tcPr>
          <w:p w14:paraId="580FCEB5"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(HME)</w:t>
            </w:r>
          </w:p>
        </w:tc>
        <w:tc>
          <w:tcPr>
            <w:tcW w:w="1421" w:type="dxa"/>
            <w:shd w:val="clear" w:color="auto" w:fill="FFFFFF"/>
          </w:tcPr>
          <w:p w14:paraId="7179D270" w14:textId="77777777" w:rsidR="00093A32" w:rsidRDefault="00093A32">
            <w:pPr>
              <w:rPr>
                <w:sz w:val="10"/>
                <w:szCs w:val="10"/>
              </w:rPr>
            </w:pPr>
          </w:p>
        </w:tc>
        <w:tc>
          <w:tcPr>
            <w:tcW w:w="1550" w:type="dxa"/>
            <w:shd w:val="clear" w:color="auto" w:fill="FFFFFF"/>
          </w:tcPr>
          <w:p w14:paraId="698B06F9" w14:textId="77777777" w:rsidR="00093A32" w:rsidRDefault="00093A32">
            <w:pPr>
              <w:pStyle w:val="Other0"/>
              <w:spacing w:line="240" w:lineRule="auto"/>
              <w:ind w:firstLine="180"/>
              <w:rPr>
                <w:sz w:val="16"/>
                <w:szCs w:val="16"/>
              </w:rPr>
            </w:pPr>
            <w:r>
              <w:rPr>
                <w:rFonts w:ascii="Times New Roman" w:eastAsia="Times New Roman" w:hAnsi="Times New Roman" w:cs="Times New Roman"/>
                <w:i/>
                <w:iCs/>
                <w:sz w:val="16"/>
                <w:szCs w:val="16"/>
              </w:rPr>
              <w:t>americanum)</w:t>
            </w:r>
          </w:p>
        </w:tc>
        <w:tc>
          <w:tcPr>
            <w:tcW w:w="2126" w:type="dxa"/>
            <w:shd w:val="clear" w:color="auto" w:fill="FFFFFF"/>
          </w:tcPr>
          <w:p w14:paraId="15977B11" w14:textId="77777777" w:rsidR="00093A32" w:rsidRDefault="00093A32">
            <w:pPr>
              <w:pStyle w:val="Other0"/>
              <w:spacing w:line="283" w:lineRule="auto"/>
              <w:ind w:left="220" w:firstLine="0"/>
              <w:rPr>
                <w:sz w:val="16"/>
                <w:szCs w:val="16"/>
              </w:rPr>
            </w:pPr>
            <w:r>
              <w:rPr>
                <w:rFonts w:ascii="Times New Roman" w:eastAsia="Times New Roman" w:hAnsi="Times New Roman" w:cs="Times New Roman"/>
                <w:sz w:val="16"/>
                <w:szCs w:val="16"/>
              </w:rPr>
              <w:t>en estados del sureste, centro-sur y medio oeste</w:t>
            </w:r>
          </w:p>
        </w:tc>
      </w:tr>
      <w:tr w:rsidR="00093A32" w14:paraId="47BCFF9D" w14:textId="77777777">
        <w:tblPrEx>
          <w:tblCellMar>
            <w:top w:w="0" w:type="dxa"/>
            <w:bottom w:w="0" w:type="dxa"/>
          </w:tblCellMar>
        </w:tblPrEx>
        <w:trPr>
          <w:trHeight w:hRule="exact" w:val="230"/>
          <w:jc w:val="center"/>
        </w:trPr>
        <w:tc>
          <w:tcPr>
            <w:tcW w:w="1824" w:type="dxa"/>
            <w:shd w:val="clear" w:color="auto" w:fill="FFFFFF"/>
            <w:vAlign w:val="bottom"/>
          </w:tcPr>
          <w:p w14:paraId="422CE9D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Ehrlichiosis</w:t>
            </w:r>
          </w:p>
        </w:tc>
        <w:tc>
          <w:tcPr>
            <w:tcW w:w="1421" w:type="dxa"/>
            <w:shd w:val="clear" w:color="auto" w:fill="FFFFFF"/>
            <w:vAlign w:val="bottom"/>
          </w:tcPr>
          <w:p w14:paraId="5012B33E" w14:textId="77777777" w:rsidR="00093A32" w:rsidRDefault="00093A32">
            <w:pPr>
              <w:pStyle w:val="Other0"/>
              <w:spacing w:line="240" w:lineRule="auto"/>
              <w:ind w:firstLine="0"/>
              <w:rPr>
                <w:sz w:val="16"/>
                <w:szCs w:val="16"/>
              </w:rPr>
            </w:pPr>
            <w:r>
              <w:rPr>
                <w:rFonts w:ascii="Times New Roman" w:eastAsia="Times New Roman" w:hAnsi="Times New Roman" w:cs="Times New Roman"/>
                <w:i/>
                <w:iCs/>
                <w:sz w:val="16"/>
                <w:szCs w:val="16"/>
              </w:rPr>
              <w:t>Anaplasma</w:t>
            </w:r>
          </w:p>
        </w:tc>
        <w:tc>
          <w:tcPr>
            <w:tcW w:w="1550" w:type="dxa"/>
            <w:shd w:val="clear" w:color="auto" w:fill="FFFFFF"/>
            <w:vAlign w:val="bottom"/>
          </w:tcPr>
          <w:p w14:paraId="787333D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Garrapata de patas</w:t>
            </w:r>
          </w:p>
        </w:tc>
        <w:tc>
          <w:tcPr>
            <w:tcW w:w="2126" w:type="dxa"/>
            <w:shd w:val="clear" w:color="auto" w:fill="FFFFFF"/>
            <w:vAlign w:val="bottom"/>
          </w:tcPr>
          <w:p w14:paraId="769831D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 Estados Unidos,</w:t>
            </w:r>
          </w:p>
        </w:tc>
      </w:tr>
      <w:tr w:rsidR="00093A32" w14:paraId="4A39BD91" w14:textId="77777777">
        <w:tblPrEx>
          <w:tblCellMar>
            <w:top w:w="0" w:type="dxa"/>
            <w:bottom w:w="0" w:type="dxa"/>
          </w:tblCellMar>
        </w:tblPrEx>
        <w:trPr>
          <w:trHeight w:hRule="exact" w:val="216"/>
          <w:jc w:val="center"/>
        </w:trPr>
        <w:tc>
          <w:tcPr>
            <w:tcW w:w="1824" w:type="dxa"/>
            <w:shd w:val="clear" w:color="auto" w:fill="FFFFFF"/>
          </w:tcPr>
          <w:p w14:paraId="38A70347"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granulocítica de seres</w:t>
            </w:r>
          </w:p>
        </w:tc>
        <w:tc>
          <w:tcPr>
            <w:tcW w:w="1421" w:type="dxa"/>
            <w:shd w:val="clear" w:color="auto" w:fill="FFFFFF"/>
          </w:tcPr>
          <w:p w14:paraId="7A357B14"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 xml:space="preserve">(antes </w:t>
            </w:r>
            <w:r>
              <w:rPr>
                <w:rFonts w:ascii="Times New Roman" w:eastAsia="Times New Roman" w:hAnsi="Times New Roman" w:cs="Times New Roman"/>
                <w:i/>
                <w:iCs/>
                <w:sz w:val="16"/>
                <w:szCs w:val="16"/>
              </w:rPr>
              <w:t>Ehrlichia)</w:t>
            </w:r>
          </w:p>
        </w:tc>
        <w:tc>
          <w:tcPr>
            <w:tcW w:w="1550" w:type="dxa"/>
            <w:shd w:val="clear" w:color="auto" w:fill="FFFFFF"/>
          </w:tcPr>
          <w:p w14:paraId="70BFA89F"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negras o de ciervo</w:t>
            </w:r>
          </w:p>
        </w:tc>
        <w:tc>
          <w:tcPr>
            <w:tcW w:w="2126" w:type="dxa"/>
            <w:shd w:val="clear" w:color="auto" w:fill="FFFFFF"/>
          </w:tcPr>
          <w:p w14:paraId="03B4CD6F" w14:textId="77777777" w:rsidR="00093A32" w:rsidRDefault="00093A32">
            <w:pPr>
              <w:pStyle w:val="Other0"/>
              <w:spacing w:line="240" w:lineRule="auto"/>
              <w:ind w:firstLine="220"/>
              <w:rPr>
                <w:sz w:val="16"/>
                <w:szCs w:val="16"/>
              </w:rPr>
            </w:pPr>
            <w:r>
              <w:rPr>
                <w:rFonts w:ascii="Times New Roman" w:eastAsia="Times New Roman" w:hAnsi="Times New Roman" w:cs="Times New Roman"/>
                <w:sz w:val="16"/>
                <w:szCs w:val="16"/>
              </w:rPr>
              <w:t>estados del noreste</w:t>
            </w:r>
          </w:p>
        </w:tc>
      </w:tr>
      <w:tr w:rsidR="00093A32" w14:paraId="1934D850" w14:textId="77777777">
        <w:tblPrEx>
          <w:tblCellMar>
            <w:top w:w="0" w:type="dxa"/>
            <w:bottom w:w="0" w:type="dxa"/>
          </w:tblCellMar>
        </w:tblPrEx>
        <w:trPr>
          <w:trHeight w:hRule="exact" w:val="413"/>
          <w:jc w:val="center"/>
        </w:trPr>
        <w:tc>
          <w:tcPr>
            <w:tcW w:w="1824" w:type="dxa"/>
            <w:shd w:val="clear" w:color="auto" w:fill="FFFFFF"/>
          </w:tcPr>
          <w:p w14:paraId="242A3DE4"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humanos (HGE)</w:t>
            </w:r>
          </w:p>
        </w:tc>
        <w:tc>
          <w:tcPr>
            <w:tcW w:w="1421" w:type="dxa"/>
            <w:shd w:val="clear" w:color="auto" w:fill="FFFFFF"/>
          </w:tcPr>
          <w:p w14:paraId="039521FB" w14:textId="77777777" w:rsidR="00093A32" w:rsidRDefault="00093A32">
            <w:pPr>
              <w:pStyle w:val="Other0"/>
              <w:spacing w:line="240" w:lineRule="auto"/>
              <w:ind w:firstLine="200"/>
              <w:rPr>
                <w:sz w:val="16"/>
                <w:szCs w:val="16"/>
              </w:rPr>
            </w:pPr>
            <w:r>
              <w:rPr>
                <w:rFonts w:ascii="Times New Roman" w:eastAsia="Times New Roman" w:hAnsi="Times New Roman" w:cs="Times New Roman"/>
                <w:i/>
                <w:iCs/>
                <w:sz w:val="16"/>
                <w:szCs w:val="16"/>
              </w:rPr>
              <w:t>phagocytophila</w:t>
            </w:r>
          </w:p>
        </w:tc>
        <w:tc>
          <w:tcPr>
            <w:tcW w:w="1550" w:type="dxa"/>
            <w:shd w:val="clear" w:color="auto" w:fill="FFFFFF"/>
          </w:tcPr>
          <w:p w14:paraId="0B455EF9" w14:textId="77777777" w:rsidR="00093A32" w:rsidRDefault="00093A32">
            <w:pPr>
              <w:pStyle w:val="Other0"/>
              <w:spacing w:line="240" w:lineRule="auto"/>
              <w:ind w:firstLine="180"/>
              <w:rPr>
                <w:sz w:val="16"/>
                <w:szCs w:val="16"/>
              </w:rPr>
            </w:pPr>
            <w:r>
              <w:rPr>
                <w:rFonts w:ascii="Times New Roman" w:eastAsia="Times New Roman" w:hAnsi="Times New Roman" w:cs="Times New Roman"/>
                <w:i/>
                <w:iCs/>
                <w:sz w:val="16"/>
                <w:szCs w:val="16"/>
              </w:rPr>
              <w:t>(Ixodes scapularis)</w:t>
            </w:r>
          </w:p>
        </w:tc>
        <w:tc>
          <w:tcPr>
            <w:tcW w:w="2126" w:type="dxa"/>
            <w:shd w:val="clear" w:color="auto" w:fill="FFFFFF"/>
          </w:tcPr>
          <w:p w14:paraId="7F592030" w14:textId="77777777" w:rsidR="00093A32" w:rsidRDefault="00093A32">
            <w:pPr>
              <w:pStyle w:val="Other0"/>
              <w:spacing w:line="283" w:lineRule="auto"/>
              <w:ind w:left="220" w:firstLine="0"/>
              <w:rPr>
                <w:sz w:val="16"/>
                <w:szCs w:val="16"/>
              </w:rPr>
            </w:pPr>
            <w:r>
              <w:rPr>
                <w:rFonts w:ascii="Times New Roman" w:eastAsia="Times New Roman" w:hAnsi="Times New Roman" w:cs="Times New Roman"/>
                <w:sz w:val="16"/>
                <w:szCs w:val="16"/>
              </w:rPr>
              <w:t>y norte-centro y del norte de California</w:t>
            </w:r>
          </w:p>
        </w:tc>
      </w:tr>
      <w:tr w:rsidR="00093A32" w14:paraId="4A3BBC81" w14:textId="77777777">
        <w:tblPrEx>
          <w:tblCellMar>
            <w:top w:w="0" w:type="dxa"/>
            <w:bottom w:w="0" w:type="dxa"/>
          </w:tblCellMar>
        </w:tblPrEx>
        <w:trPr>
          <w:trHeight w:hRule="exact" w:val="235"/>
          <w:jc w:val="center"/>
        </w:trPr>
        <w:tc>
          <w:tcPr>
            <w:tcW w:w="1824" w:type="dxa"/>
            <w:shd w:val="clear" w:color="auto" w:fill="FFFFFF"/>
            <w:vAlign w:val="bottom"/>
          </w:tcPr>
          <w:p w14:paraId="1B5B26B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Ehrlichiosis</w:t>
            </w:r>
          </w:p>
        </w:tc>
        <w:tc>
          <w:tcPr>
            <w:tcW w:w="1421" w:type="dxa"/>
            <w:shd w:val="clear" w:color="auto" w:fill="FFFFFF"/>
            <w:vAlign w:val="bottom"/>
          </w:tcPr>
          <w:p w14:paraId="12EA0AE9" w14:textId="77777777" w:rsidR="00093A32" w:rsidRDefault="00093A32">
            <w:pPr>
              <w:pStyle w:val="Other0"/>
              <w:spacing w:line="240" w:lineRule="auto"/>
              <w:ind w:firstLine="0"/>
              <w:rPr>
                <w:sz w:val="16"/>
                <w:szCs w:val="16"/>
              </w:rPr>
            </w:pPr>
            <w:r>
              <w:rPr>
                <w:rFonts w:ascii="Times New Roman" w:eastAsia="Times New Roman" w:hAnsi="Times New Roman" w:cs="Times New Roman"/>
                <w:i/>
                <w:iCs/>
                <w:sz w:val="16"/>
                <w:szCs w:val="16"/>
              </w:rPr>
              <w:t>Ehrlichia ewingii</w:t>
            </w:r>
          </w:p>
        </w:tc>
        <w:tc>
          <w:tcPr>
            <w:tcW w:w="1550" w:type="dxa"/>
            <w:shd w:val="clear" w:color="auto" w:fill="FFFFFF"/>
            <w:vAlign w:val="bottom"/>
          </w:tcPr>
          <w:p w14:paraId="37B155D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Garrapata tejana</w:t>
            </w:r>
          </w:p>
        </w:tc>
        <w:tc>
          <w:tcPr>
            <w:tcW w:w="2126" w:type="dxa"/>
            <w:shd w:val="clear" w:color="auto" w:fill="FFFFFF"/>
            <w:vAlign w:val="bottom"/>
          </w:tcPr>
          <w:p w14:paraId="2937516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 Estados Unidos,</w:t>
            </w:r>
          </w:p>
        </w:tc>
      </w:tr>
      <w:tr w:rsidR="00093A32" w14:paraId="1ACC4E8B" w14:textId="77777777">
        <w:tblPrEx>
          <w:tblCellMar>
            <w:top w:w="0" w:type="dxa"/>
            <w:bottom w:w="0" w:type="dxa"/>
          </w:tblCellMar>
        </w:tblPrEx>
        <w:trPr>
          <w:trHeight w:hRule="exact" w:val="523"/>
          <w:jc w:val="center"/>
        </w:trPr>
        <w:tc>
          <w:tcPr>
            <w:tcW w:w="1824" w:type="dxa"/>
            <w:tcBorders>
              <w:bottom w:val="single" w:sz="4" w:space="0" w:color="auto"/>
            </w:tcBorders>
            <w:shd w:val="clear" w:color="auto" w:fill="FFFFFF"/>
          </w:tcPr>
          <w:p w14:paraId="70BB8F01"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granulocítica</w:t>
            </w:r>
          </w:p>
        </w:tc>
        <w:tc>
          <w:tcPr>
            <w:tcW w:w="1421" w:type="dxa"/>
            <w:tcBorders>
              <w:bottom w:val="single" w:sz="4" w:space="0" w:color="auto"/>
            </w:tcBorders>
            <w:shd w:val="clear" w:color="auto" w:fill="FFFFFF"/>
          </w:tcPr>
          <w:p w14:paraId="666A1A03" w14:textId="77777777" w:rsidR="00093A32" w:rsidRDefault="00093A32">
            <w:pPr>
              <w:rPr>
                <w:sz w:val="10"/>
                <w:szCs w:val="10"/>
              </w:rPr>
            </w:pPr>
          </w:p>
        </w:tc>
        <w:tc>
          <w:tcPr>
            <w:tcW w:w="1550" w:type="dxa"/>
            <w:tcBorders>
              <w:bottom w:val="single" w:sz="4" w:space="0" w:color="auto"/>
            </w:tcBorders>
            <w:shd w:val="clear" w:color="auto" w:fill="FFFFFF"/>
          </w:tcPr>
          <w:p w14:paraId="0F74E0A6" w14:textId="77777777" w:rsidR="00093A32" w:rsidRDefault="00093A32">
            <w:pPr>
              <w:pStyle w:val="Other0"/>
              <w:spacing w:line="240" w:lineRule="auto"/>
              <w:ind w:firstLine="180"/>
              <w:rPr>
                <w:sz w:val="16"/>
                <w:szCs w:val="16"/>
              </w:rPr>
            </w:pPr>
            <w:r>
              <w:rPr>
                <w:rFonts w:ascii="Times New Roman" w:eastAsia="Times New Roman" w:hAnsi="Times New Roman" w:cs="Times New Roman"/>
                <w:i/>
                <w:iCs/>
                <w:sz w:val="16"/>
                <w:szCs w:val="16"/>
              </w:rPr>
              <w:t>(A. americanum)</w:t>
            </w:r>
          </w:p>
        </w:tc>
        <w:tc>
          <w:tcPr>
            <w:tcW w:w="2126" w:type="dxa"/>
            <w:tcBorders>
              <w:bottom w:val="single" w:sz="4" w:space="0" w:color="auto"/>
            </w:tcBorders>
            <w:shd w:val="clear" w:color="auto" w:fill="FFFFFF"/>
          </w:tcPr>
          <w:p w14:paraId="11DB07F0" w14:textId="77777777" w:rsidR="00093A32" w:rsidRDefault="00093A32">
            <w:pPr>
              <w:pStyle w:val="Other0"/>
              <w:spacing w:line="283" w:lineRule="auto"/>
              <w:ind w:left="220" w:firstLine="0"/>
              <w:rPr>
                <w:sz w:val="16"/>
                <w:szCs w:val="16"/>
              </w:rPr>
            </w:pPr>
            <w:r>
              <w:rPr>
                <w:rFonts w:ascii="Times New Roman" w:eastAsia="Times New Roman" w:hAnsi="Times New Roman" w:cs="Times New Roman"/>
                <w:sz w:val="16"/>
                <w:szCs w:val="16"/>
              </w:rPr>
              <w:t>estados del sureste, centro-sur y medio oeste</w:t>
            </w:r>
          </w:p>
        </w:tc>
      </w:tr>
    </w:tbl>
    <w:p w14:paraId="2AEDE17F" w14:textId="77777777" w:rsidR="00093A32" w:rsidRDefault="00093A32">
      <w:pPr>
        <w:spacing w:after="459" w:line="1" w:lineRule="exact"/>
      </w:pPr>
    </w:p>
    <w:p w14:paraId="02F0850E" w14:textId="77777777" w:rsidR="00093A32" w:rsidRDefault="00093A32">
      <w:pPr>
        <w:pStyle w:val="BodyText"/>
        <w:spacing w:line="271" w:lineRule="auto"/>
        <w:ind w:firstLine="0"/>
      </w:pPr>
      <w:r>
        <w:t xml:space="preserve">noreste de Estados Unidos, particularmente en Wisconsin, Minnesota, Connecticut y Nueva York, pero también se han notificado casos en otros estados, particularmente los que están en la costa occidental de Estados Unidos. La ehrlichiosis granulocítica humana es transmitida por la garrapata de patas negras o del venado </w:t>
      </w:r>
      <w:r>
        <w:rPr>
          <w:rFonts w:ascii="Times New Roman" w:eastAsia="Times New Roman" w:hAnsi="Times New Roman" w:cs="Times New Roman"/>
          <w:i/>
          <w:iCs/>
          <w:sz w:val="16"/>
          <w:szCs w:val="16"/>
        </w:rPr>
        <w:t>(Ixodes scapularis)</w:t>
      </w:r>
      <w:r>
        <w:rPr>
          <w:i/>
          <w:iCs/>
        </w:rPr>
        <w:t xml:space="preserve">, </w:t>
      </w:r>
      <w:r>
        <w:t xml:space="preserve">que también es el vector de </w:t>
      </w:r>
      <w:r>
        <w:rPr>
          <w:rFonts w:ascii="Times New Roman" w:eastAsia="Times New Roman" w:hAnsi="Times New Roman" w:cs="Times New Roman"/>
          <w:i/>
          <w:iCs/>
          <w:sz w:val="16"/>
          <w:szCs w:val="16"/>
        </w:rPr>
        <w:t>Borrelia burgdorferi</w:t>
      </w:r>
      <w:r>
        <w:t xml:space="preserve"> (agente de la enfermedad de Lyme). Se han identificado algunos reservorios mamíferos de los agentes de las ehrlichiosis de humanos e incluyen el venado de cola blanca y el ratón de patas blancas. En la porción occidental de Estados Unidos, </w:t>
      </w:r>
      <w:r>
        <w:rPr>
          <w:rFonts w:ascii="Times New Roman" w:eastAsia="Times New Roman" w:hAnsi="Times New Roman" w:cs="Times New Roman"/>
          <w:i/>
          <w:iCs/>
          <w:sz w:val="16"/>
          <w:szCs w:val="16"/>
        </w:rPr>
        <w:t>Ixodespacificus</w:t>
      </w:r>
      <w:r>
        <w:t xml:space="preserve"> es el principal vector de </w:t>
      </w:r>
      <w:r>
        <w:rPr>
          <w:rFonts w:ascii="Times New Roman" w:eastAsia="Times New Roman" w:hAnsi="Times New Roman" w:cs="Times New Roman"/>
          <w:i/>
          <w:iCs/>
          <w:sz w:val="16"/>
          <w:szCs w:val="16"/>
        </w:rPr>
        <w:t>Ehrlichia phagocytophila.</w:t>
      </w:r>
      <w:r>
        <w:t xml:space="preserve"> En comparación con los pacientes de la fiebre maculada de las Montañas Rocosas (véase “Rocosas, fiebre maculada de las Montañas” en esta sección), en forma característica, los casos notificados de ehrlichiosis sintomática se observan en individuos de mayor edad, y las incidencias específicas de edades son mayores en personas que han rebasado los 40 años de vida. Sin embargo, algunos datos de seroprevalencia recientes indican que en niños es común la infección por </w:t>
      </w:r>
      <w:r>
        <w:rPr>
          <w:rFonts w:ascii="Times New Roman" w:eastAsia="Times New Roman" w:hAnsi="Times New Roman" w:cs="Times New Roman"/>
          <w:i/>
          <w:iCs/>
          <w:sz w:val="16"/>
          <w:szCs w:val="16"/>
        </w:rPr>
        <w:t>E. chaffensis</w:t>
      </w:r>
      <w:r>
        <w:t xml:space="preserve"> o una bacteria muy similar. Casi todas las infecciones de seres humanos se manifiestan entre abril y septiembre, y la frecuencia máxima se observa de mayo a julio. Al parecer va en aumento la incidencia de casos notificados. También se ha sabido de infecciones concomitantes de HGE con otras enfermedades transmitidas por garrapatas, que incluyen babesiosis y enfermedad de Lyme.</w:t>
      </w:r>
    </w:p>
    <w:p w14:paraId="602D1B3D" w14:textId="77777777" w:rsidR="00093A32" w:rsidRDefault="00093A32">
      <w:pPr>
        <w:pStyle w:val="BodyText"/>
        <w:spacing w:line="276" w:lineRule="auto"/>
        <w:ind w:firstLine="380"/>
      </w:pPr>
      <w:r>
        <w:t xml:space="preserve">El </w:t>
      </w:r>
      <w:r>
        <w:rPr>
          <w:b/>
          <w:bCs/>
        </w:rPr>
        <w:t xml:space="preserve">periodo de incubación </w:t>
      </w:r>
      <w:r>
        <w:t xml:space="preserve">de la ehrlichiosis de seres humanos de manera típica es de cinco a 10 días después de la picadura o la exposición a garrapatas (mediana, nueve días). </w:t>
      </w:r>
      <w:r>
        <w:rPr>
          <w:b/>
          <w:bCs/>
        </w:rPr>
        <w:t>M</w:t>
      </w:r>
      <w:r>
        <w:rPr>
          <w:b/>
          <w:bCs/>
          <w:sz w:val="13"/>
          <w:szCs w:val="13"/>
        </w:rPr>
        <w:t>ÉTODOS DIAGNÓSTICOS</w:t>
      </w:r>
      <w:r>
        <w:rPr>
          <w:b/>
          <w:bCs/>
        </w:rPr>
        <w:t xml:space="preserve">: </w:t>
      </w:r>
      <w:r>
        <w:t xml:space="preserve">En Estados Unidos los </w:t>
      </w:r>
      <w:r>
        <w:rPr>
          <w:rFonts w:ascii="Times New Roman" w:eastAsia="Times New Roman" w:hAnsi="Times New Roman" w:cs="Times New Roman"/>
          <w:i/>
          <w:iCs/>
          <w:sz w:val="16"/>
          <w:szCs w:val="16"/>
        </w:rPr>
        <w:t>Centers for Disease Control and Prevention</w:t>
      </w:r>
      <w:r>
        <w:t xml:space="preserve"> (CDC) definen un caso confirmado como el aislamiento de </w:t>
      </w:r>
      <w:r>
        <w:rPr>
          <w:rFonts w:ascii="Times New Roman" w:eastAsia="Times New Roman" w:hAnsi="Times New Roman" w:cs="Times New Roman"/>
          <w:i/>
          <w:iCs/>
          <w:sz w:val="16"/>
          <w:szCs w:val="16"/>
        </w:rPr>
        <w:t>Ehrlichia</w:t>
      </w:r>
      <w:r>
        <w:t xml:space="preserve"> de sangre o líquido cefalorraquídeo, un cambio de cuatro tantos o más en el título de anticuerpos medidos por anticuerpos por inmunofluorescencia indirecta </w:t>
      </w:r>
      <w:r>
        <w:rPr>
          <w:i/>
          <w:iCs/>
        </w:rPr>
        <w:t>(</w:t>
      </w:r>
      <w:r>
        <w:rPr>
          <w:rFonts w:ascii="Times New Roman" w:eastAsia="Times New Roman" w:hAnsi="Times New Roman" w:cs="Times New Roman"/>
          <w:i/>
          <w:iCs/>
          <w:sz w:val="16"/>
          <w:szCs w:val="16"/>
        </w:rPr>
        <w:t>immunofluorescence antibody</w:t>
      </w:r>
      <w:r>
        <w:rPr>
          <w:i/>
          <w:iCs/>
        </w:rPr>
        <w:t>,</w:t>
      </w:r>
      <w:r>
        <w:t xml:space="preserve"> IFA) en las muestras de suero de fase aguda y de convalecencia (reunidas en circunstancias óptimas con una diferencia de tres a seis semanas), la amplificación de DNA de </w:t>
      </w:r>
      <w:r>
        <w:rPr>
          <w:rFonts w:ascii="Times New Roman" w:eastAsia="Times New Roman" w:hAnsi="Times New Roman" w:cs="Times New Roman"/>
          <w:i/>
          <w:iCs/>
          <w:sz w:val="16"/>
          <w:szCs w:val="16"/>
        </w:rPr>
        <w:t>Ehrlichia</w:t>
      </w:r>
      <w:r>
        <w:t xml:space="preserve"> obtenida de una muestra química en la reacción en cadena de polimerasa o la detección de un cúmulo intraleucocitoplásmico de bacterias (mórulas) junto con un solo título de IFA de 64 o mayor. Se define al caso probable como un solo título de IFA de 64 o mayor, o la presencia de mórulas dentro de los leucocitos infectados. Se utiliza a </w:t>
      </w:r>
      <w:r>
        <w:rPr>
          <w:rFonts w:ascii="Times New Roman" w:eastAsia="Times New Roman" w:hAnsi="Times New Roman" w:cs="Times New Roman"/>
          <w:i/>
          <w:iCs/>
          <w:sz w:val="16"/>
          <w:szCs w:val="16"/>
        </w:rPr>
        <w:t>Ehrlichia chaffeensis</w:t>
      </w:r>
      <w:r>
        <w:t xml:space="preserve"> como el antígeno para el diagnóstico serológico de HME, y a A. phagocytophila con la misma finalidad en cuantificaciones para el diagnóstico de HGE. Los métodos en cuestión se practican en laboratorios especializados, en algunos de tipo comercial y en los departamentos sanitarios estatales, así como en los CDC en Estados Unidos. El estudio de frotis de sangre periférica para detectar mórulas en monocitos o granulocitos en dicho líquido no es sensible. Al parecer, el empleo de la reacción en cadena de polimerasa para amplificar el ácido nucleico de sangre periférica obtenida en la fase aguda de sujetos con ehrlichiosis parece sensible, específico y promisorio para un diagnóstico oportuno. </w:t>
      </w:r>
      <w:r>
        <w:rPr>
          <w:b/>
          <w:bCs/>
        </w:rPr>
        <w:t>T</w:t>
      </w:r>
      <w:r>
        <w:rPr>
          <w:b/>
          <w:bCs/>
          <w:sz w:val="13"/>
          <w:szCs w:val="13"/>
        </w:rPr>
        <w:t>RATAMIENTO</w:t>
      </w:r>
      <w:r>
        <w:rPr>
          <w:b/>
          <w:bCs/>
        </w:rPr>
        <w:t xml:space="preserve">: </w:t>
      </w:r>
      <w:r>
        <w:t xml:space="preserve">La doxiciclina es el fármaco más indicado para tratar las ehrlichiosis de seres humanos. La dosis recomendada es de 4.4 mg/kg de peso al día, cada 12 h por vía intravenosa u oral (máximo 100 mg/dosis). Las ehrlichiosis pueden ser graves o letales en personas no tratadas, y emprender el tratamiento en los comienzos de la evolución del trastorno permite llevar al mínimo las complicaciones de la enfermedad. Si el sujeto no mejora con doxiciclina en término de las primeras 72 h, ello sugerirá infección con un agente diferente de la especie de </w:t>
      </w:r>
      <w:r>
        <w:rPr>
          <w:rFonts w:ascii="Times New Roman" w:eastAsia="Times New Roman" w:hAnsi="Times New Roman" w:cs="Times New Roman"/>
          <w:i/>
          <w:iCs/>
          <w:sz w:val="16"/>
          <w:szCs w:val="16"/>
        </w:rPr>
        <w:t>Ehrlichia</w:t>
      </w:r>
      <w:r>
        <w:t>. A pesar de las preocupaciones por las manchas que originan las tetraciclinas en los dientes de los niños de corta edad (véase “Antimicrobianos y fármacos similares”, sección 4), la doxiciclina constituye un fármaco mejor para esta enfermedad que puede ser letal. Los datos disponible sugieren que los ciclos de doxiciclina de 14 días o menos no originan manchas importantes en los dientes permanentes. El tratamiento debe continuar durante tres días, como mínimo, después de la defervescencia hasta completar un ciclo total mínimo de cinco a 10 días; para la semana por lo regular se manifestarán en forma inequívoca signos de mejoría clínica. La enfermedad grave o complicada obliga a seguir ciclos más largos de tratamiento.</w:t>
      </w:r>
    </w:p>
    <w:p w14:paraId="3D7AD2FF" w14:textId="77777777" w:rsidR="00093A32" w:rsidRDefault="00093A32">
      <w:pPr>
        <w:pStyle w:val="BodyText"/>
        <w:ind w:firstLine="360"/>
      </w:pPr>
      <w:r>
        <w:t>A veces hay superposición de las manifestaciones clínicas y las distribuciones geográficas de las ehrlichiosis y de la fiebre maculada de las Montañas Rocosas. Como ocurre con otras rickettsiosis, si se hace un diagnóstico presuncional de ehrlichiosis habrá que emprender la administración de doxiciclina.</w:t>
      </w:r>
    </w:p>
    <w:p w14:paraId="2BFD5755"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con las precauciones estándar.</w:t>
      </w:r>
    </w:p>
    <w:p w14:paraId="310C116D" w14:textId="77777777" w:rsidR="00093A32" w:rsidRDefault="00093A32">
      <w:pPr>
        <w:pStyle w:val="BodyText"/>
        <w:spacing w:after="100"/>
        <w:ind w:firstLine="0"/>
      </w:pPr>
      <w:r>
        <w:rPr>
          <w:b/>
          <w:bCs/>
        </w:rPr>
        <w:t>M</w:t>
      </w:r>
      <w:r>
        <w:rPr>
          <w:b/>
          <w:bCs/>
          <w:sz w:val="13"/>
          <w:szCs w:val="13"/>
        </w:rPr>
        <w:t>EDIDAS PREVENTIVAS</w:t>
      </w:r>
      <w:r>
        <w:rPr>
          <w:b/>
          <w:bCs/>
        </w:rPr>
        <w:t xml:space="preserve">: </w:t>
      </w:r>
      <w:r>
        <w:t>Las medidas específicas se orientan a limitar la exposición a garrapatas, y son semejantes a las que se siguen en la fiebre maculada de las Montañas Rocosas y otras enfermedades por garrapatas (véase “Prevención de infecciones transmitidas por garrapatas”, sección 2). No está indicada la administración profiláctica de doxiciclina después de la picadura de garrapata ante el poco riesgo de infección en tales casos.</w:t>
      </w:r>
    </w:p>
    <w:p w14:paraId="37054942" w14:textId="77777777" w:rsidR="00093A32" w:rsidRDefault="00093A32">
      <w:pPr>
        <w:pStyle w:val="Bodytext70"/>
        <w:spacing w:after="0"/>
      </w:pPr>
      <w:r>
        <w:t>Enterobiasis</w:t>
      </w:r>
    </w:p>
    <w:p w14:paraId="60D82777" w14:textId="77777777" w:rsidR="00093A32" w:rsidRDefault="00093A32">
      <w:pPr>
        <w:pStyle w:val="Bodytext80"/>
        <w:rPr>
          <w:sz w:val="15"/>
          <w:szCs w:val="15"/>
        </w:rPr>
      </w:pPr>
      <w:r>
        <w:rPr>
          <w:b/>
          <w:bCs/>
          <w:w w:val="70"/>
          <w:sz w:val="20"/>
          <w:szCs w:val="20"/>
        </w:rPr>
        <w:t xml:space="preserve">(Infección por </w:t>
      </w:r>
      <w:r>
        <w:rPr>
          <w:b/>
          <w:bCs/>
          <w:i/>
          <w:iCs/>
          <w:sz w:val="15"/>
          <w:szCs w:val="15"/>
        </w:rPr>
        <w:t>Enterobius vermicularis)</w:t>
      </w:r>
    </w:p>
    <w:p w14:paraId="5F6EECCD" w14:textId="77777777" w:rsidR="00093A32" w:rsidRDefault="00093A32">
      <w:pPr>
        <w:pStyle w:val="BodyText"/>
        <w:spacing w:after="60"/>
        <w:ind w:firstLine="0"/>
        <w:sectPr w:rsidR="00093A32" w:rsidSect="00093A32">
          <w:headerReference w:type="even" r:id="rId234"/>
          <w:headerReference w:type="default" r:id="rId235"/>
          <w:footerReference w:type="even" r:id="rId236"/>
          <w:footerReference w:type="default" r:id="rId237"/>
          <w:headerReference w:type="first" r:id="rId238"/>
          <w:footerReference w:type="first" r:id="rId239"/>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Algunos niños están asintomáticos, pero la enterobiasis o infección por enterobios puede causar prurito anal y en raras ocasiones prurito de la vulva. Se han detectado enterobios en el interior del apéndice pero casi todos los datos indican que no guardan relación causal con la apendicitis aguda. Algunos signos clínicos, como el bruxismo nocturno, pérdida ponderal y diuresis, se han atribuido a las infecciones por los enterobios u oxiuros, pero no se ha obtenido una prueba de relación causal. Pueden surgir uretritis, vaginitis, salpingitis o peritonitis pélvica por la migración aberrante del verme adulto, desde el perineo.</w:t>
      </w:r>
    </w:p>
    <w:p w14:paraId="3D7F55E1" w14:textId="77777777" w:rsidR="00093A32" w:rsidRDefault="00093A32">
      <w:pPr>
        <w:pStyle w:val="BodyText"/>
        <w:ind w:firstLine="0"/>
      </w:pPr>
      <w:r>
        <w:rPr>
          <w:b/>
          <w:bCs/>
        </w:rPr>
        <w:t>A</w:t>
      </w:r>
      <w:r>
        <w:rPr>
          <w:b/>
          <w:bCs/>
          <w:sz w:val="13"/>
          <w:szCs w:val="13"/>
        </w:rPr>
        <w:t>ISLAMIENTO DEL PACIENTE HOSPITALIZADO</w:t>
      </w:r>
      <w:r>
        <w:rPr>
          <w:b/>
          <w:bCs/>
        </w:rPr>
        <w:t xml:space="preserve">: </w:t>
      </w:r>
      <w:r>
        <w:t>Conviene practicar las precauciones estándar.</w:t>
      </w:r>
    </w:p>
    <w:p w14:paraId="590E77AC" w14:textId="77777777" w:rsidR="00093A32" w:rsidRDefault="00093A32">
      <w:pPr>
        <w:pStyle w:val="BodyText"/>
        <w:spacing w:after="100"/>
        <w:ind w:firstLine="0"/>
      </w:pPr>
      <w:r>
        <w:rPr>
          <w:b/>
          <w:bCs/>
        </w:rPr>
        <w:t>M</w:t>
      </w:r>
      <w:r>
        <w:rPr>
          <w:b/>
          <w:bCs/>
          <w:sz w:val="13"/>
          <w:szCs w:val="13"/>
        </w:rPr>
        <w:t>EDIDAS PREVENTIVAS</w:t>
      </w:r>
      <w:r>
        <w:rPr>
          <w:b/>
          <w:bCs/>
        </w:rPr>
        <w:t xml:space="preserve">: </w:t>
      </w:r>
      <w:r>
        <w:t>La erradicación de la oxiuriasis es difícil en centros de atención infantil y escuelas porque la cifra de reinfección es grande. En instituciones, puede ser eficaz el tratamiento en masas y simultáneo que se repetirá en dos semanas. El método más eficaz de planeación es la higiene satisfactoria de las manos.</w:t>
      </w:r>
    </w:p>
    <w:p w14:paraId="1B11E0A5" w14:textId="77777777" w:rsidR="00093A32" w:rsidRDefault="00093A32">
      <w:pPr>
        <w:pStyle w:val="Bodytext70"/>
        <w:spacing w:after="0"/>
      </w:pPr>
      <w:r>
        <w:t>Enterovirus, infecciones (no poliomielíticos)</w:t>
      </w:r>
    </w:p>
    <w:p w14:paraId="17E3E7A5"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(Virus coxsackie grupos A y B, echovirus y enterovirus)</w:t>
      </w:r>
    </w:p>
    <w:p w14:paraId="1D3A6648" w14:textId="77777777" w:rsidR="00093A32" w:rsidRDefault="00093A32">
      <w:pPr>
        <w:pStyle w:val="BodyText"/>
        <w:ind w:firstLine="0"/>
      </w:pPr>
      <w:r>
        <w:rPr>
          <w:b/>
          <w:bCs/>
        </w:rPr>
        <w:t>M</w:t>
      </w:r>
      <w:r>
        <w:rPr>
          <w:b/>
          <w:bCs/>
          <w:sz w:val="13"/>
          <w:szCs w:val="13"/>
        </w:rPr>
        <w:t>ANIFESTACIONES CLÍNICAS</w:t>
      </w:r>
      <w:r>
        <w:rPr>
          <w:b/>
          <w:bCs/>
        </w:rPr>
        <w:t xml:space="preserve">: </w:t>
      </w:r>
      <w:r>
        <w:t>Los enterovirus diferentes del virus poliomielítico son los que causan enfermedades importantes y frecuentes en lactantes y niños, y generan manifestaciones clínicas proteicas. La manifestación más frecuente es un cuadro febril inespecífico que en niños de corta edad puede conducir a una valoración en busca de sepsis bacteriana. Los neonatos que adquieren infección sin anticuerpos de la madre están expuestos a enfermedad grave con una tasa de mortalidad alta. Las manifestaciones incluyen las siguientes: 1) de tipo respiratorio: resfriado común, faringitis, angina herpética, estomatitis, neumonía y pleurodinia; 2) piel: exantema; 3) sistema nervioso: meningitis aséptica, encefalitis y parálisis; 4) vías gastrointestinales: vómitos, diarreas, dolor en abdomen y hepatitis; 5) oculares: conjuntivitis hemorrágica aguda y 6) corazón: miopericarditis. Cada una de las manifestaciones en cuestión puede ser causada por diferentes enterovirus, pero hay que destacar algunos vínculos entre virus específicos y enfermedades particulares. Tales vínculos incluyen el ataque por virus coxsackie A16 y enterovirus 71 con el síndrome de mano, pie y boca; la variante A24 de virus coxsackie y enterovirus 70 con conjuntivitis hemorrágica aguda; el enterovirus 71 con encefalitis del tallo encefálico y parálisis similar a la causada por virus de poliomielitis; echovirus 9 con un exantema petequial y meningitis, y los virus coxsackie B1 a B5 con pleurodinia y miopericarditis.</w:t>
      </w:r>
    </w:p>
    <w:p w14:paraId="64729A9E" w14:textId="77777777" w:rsidR="00093A32" w:rsidRDefault="00093A32">
      <w:pPr>
        <w:pStyle w:val="BodyText"/>
        <w:ind w:firstLine="360"/>
      </w:pPr>
      <w:r>
        <w:t xml:space="preserve">Los pacientes inmunodeficientes que muestran perturbaciones de tipo humoral en su inmunidad pueden mostrar infecciones persistentes del sistema nervioso central, un síndrome similar a dermatomiositis o ambos cuadros que duren meses o más. </w:t>
      </w:r>
      <w:r>
        <w:rPr>
          <w:b/>
          <w:bCs/>
        </w:rPr>
        <w:t>C</w:t>
      </w:r>
      <w:r>
        <w:rPr>
          <w:b/>
          <w:bCs/>
          <w:sz w:val="13"/>
          <w:szCs w:val="13"/>
        </w:rPr>
        <w:t>AUSAS</w:t>
      </w:r>
      <w:r>
        <w:rPr>
          <w:b/>
          <w:bCs/>
        </w:rPr>
        <w:t xml:space="preserve">: </w:t>
      </w:r>
      <w:r>
        <w:t xml:space="preserve">Incluyen los enterovirus no poliomielíticos, que son virus de RNA, y que abarcan 23 virus coxsackie de grupo A (tipos A1 a A24, excepto el tipo A23, reclasificado como echovirus 9), seis virus coxsackie de grupo B (tipos B1 a B6), 28 echovirus (tipos 1 a 33, excepto los tipos 8, 10, 22, 23 y 28) y cinco enterovirus (tipos 68 a 71 y 73). </w:t>
      </w:r>
      <w:r>
        <w:rPr>
          <w:b/>
          <w:bCs/>
        </w:rPr>
        <w:t>A</w:t>
      </w:r>
      <w:r>
        <w:rPr>
          <w:b/>
          <w:bCs/>
          <w:sz w:val="13"/>
          <w:szCs w:val="13"/>
        </w:rPr>
        <w:t>SPECTOS EPIDEMIOLÓGICOS</w:t>
      </w:r>
      <w:r>
        <w:rPr>
          <w:b/>
          <w:bCs/>
        </w:rPr>
        <w:t xml:space="preserve">: </w:t>
      </w:r>
      <w:r>
        <w:t>Las infecciones por enterovirus son frecuentes y se propagan por las vías fecal-oral y respiratoria, así como de la madre a su hijo en la etapa periparto. Los enterovirus pueden sobrevivir en superficies del entorno por lapsos lo suficientemente largos para ser transmitidos desde artículos inanimados. De manera típica las infecciones y los ataques clínicos son máximos en niños de corta edad, y las infecciones aparecen con mayor frecuencia en áreas tropicales y en casos de deficiencia de la higiene. En climas templados, las infecciones por enterovirus son más frecuentes en el verano y comienzos del otoño, pero los perfiles estacionales son menos manifiestos en los trópicos. La propagación del virus por los excrementos puede persistir durante varias semanas de haber comenzado la infección, pero la propagación desde el aparato respiratorio generalmente se limita a una semana o menos. La excreción de virus surge a veces sin signos de enfermedad clínica.</w:t>
      </w:r>
    </w:p>
    <w:p w14:paraId="1BA27DA9" w14:textId="77777777" w:rsidR="00093A32" w:rsidRDefault="00093A32">
      <w:pPr>
        <w:pStyle w:val="BodyText"/>
        <w:spacing w:after="60"/>
        <w:ind w:firstLine="360"/>
      </w:pPr>
      <w:r>
        <w:t xml:space="preserve">El </w:t>
      </w:r>
      <w:r>
        <w:rPr>
          <w:b/>
          <w:bCs/>
        </w:rPr>
        <w:t xml:space="preserve">periodo de incubación </w:t>
      </w:r>
      <w:r>
        <w:t>usual va de tres a seis días, excepto la conjuntivitis hemorrágica aguda, en que tal periodo es de 24 a 72 horas.</w:t>
      </w:r>
    </w:p>
    <w:p w14:paraId="43BB8334" w14:textId="77777777" w:rsidR="00093A32" w:rsidRDefault="00093A32">
      <w:pPr>
        <w:pStyle w:val="BodyText"/>
        <w:ind w:firstLine="0"/>
      </w:pPr>
      <w:r>
        <w:rPr>
          <w:b/>
          <w:bCs/>
        </w:rPr>
        <w:t>M</w:t>
      </w:r>
      <w:r>
        <w:rPr>
          <w:b/>
          <w:bCs/>
          <w:sz w:val="13"/>
          <w:szCs w:val="13"/>
        </w:rPr>
        <w:t>ÉTODOS DIAGNÓSTICOS</w:t>
      </w:r>
      <w:r>
        <w:rPr>
          <w:b/>
          <w:bCs/>
        </w:rPr>
        <w:t xml:space="preserve">: </w:t>
      </w:r>
      <w:r>
        <w:t>Las muestras de las que se obtienen los índices más altos de aislamiento de virus son las provenientes de faringe, los excrementos y las de material rectal obtenidas con aplicadores. Dichas muestras también deben obtenerse de otros sitios de la infección, como el líquido cefalorraquídeo (LCR). Es posible identificar los enterovirus también de muestras de sangre y orina en la fase febril aguda, y en raras ocasiones de muestras de biopsia. El material debe enviarse al laboratorio a 4°C. Elementos nocivos para la identificación de virus son maniobras repetitivas como congelamiento, descongelamiento y secado de las muestras. En casos de enfermedad grave, es importante aislar el virus como una forma de diagnóstico. Los virus aislados de cualquier muestra por lo común pueden ser considerados como elementos causales de la enfermedad. Aislar un enterovirus sólo de excrementos puede ser una maniobra menos específica que aislarlo de otros sitios, porque algunas personas infectadas asintomáticas pueden excretar el virus por las heces incluso durante seis a 12 semanas. Casi todos los laboratorios de diagnóstico vírico utilizan técnicas de cultivo celular con las que es posible la identificación y recuperación de virus echo, virus coxsackie del grupo B y algunos virus coxsackie del grupo A. La inoculación de ratones en fase de amamantamiento, que no constituye un método habitual, es una medida necesaria para identificar algunos de los serotipos de virus coxsackie del grupo A. Un método más sensible que el aislamiento de virus es la reacción en cadena de polimerasa para buscar la presencia de RNA de enterovirus en LCR y otras muestras y que se practica en unos cuantos laboratorios de investigación. Las muestras de suero para practicar métodos en busca de anticuerpos se obtienen al comienzo de la enfermedad y cuatro semanas después, y se almacenan en congelamiento. Para confirmar la infección, cabe utilizar la demostración de un incremento del título de anticuerpo neutralizante específico de virus, en particular cuando se ha identificado previamente el virus específico en un brote en la comunidad. Por lo común no se hacen métodos de detección sistemática serológica sin que se cuente con un serotipo sospechado.</w:t>
      </w:r>
    </w:p>
    <w:p w14:paraId="0BA52E52" w14:textId="77777777" w:rsidR="00093A32" w:rsidRDefault="00093A32">
      <w:pPr>
        <w:pStyle w:val="BodyText"/>
        <w:ind w:firstLine="0"/>
      </w:pPr>
      <w:r>
        <w:rPr>
          <w:b/>
          <w:bCs/>
        </w:rPr>
        <w:t>T</w:t>
      </w:r>
      <w:r>
        <w:rPr>
          <w:b/>
          <w:bCs/>
          <w:sz w:val="13"/>
          <w:szCs w:val="13"/>
        </w:rPr>
        <w:t>RATAMIENTO</w:t>
      </w:r>
      <w:r>
        <w:rPr>
          <w:b/>
          <w:bCs/>
        </w:rPr>
        <w:t xml:space="preserve">: </w:t>
      </w:r>
      <w:r>
        <w:t>No se cuenta con tratamientos específicos, aunque está en fase de evaluación clínica un antivírico, el pleconarilo. En Estados Unidos éste se puede obtener del fabricante (ViroPharma Inc, Exton, PA; teléfono 610-458-7300) para uso filantrópico en niños con infecciones graves y letales por enterovirus. En caso de meningoencefalitis enterovírica crónica en pacientes inmunodeficientes, puede ser beneficioso utilizar el concentrado inmunoglobulínico intravenoso (IGIV) que contiene un título alto de anticuerpos contra el virus infectante. El concentrado mencionado también se ha administrado en infecciones neonatales letales, aunque no hay pruebas de su eficacia para tal fin. Los preparados de IGIV varían en la cantidad de anticuerpo antienterovírico que posee, pero hay que consultar la información específica del fabricante.</w:t>
      </w:r>
    </w:p>
    <w:p w14:paraId="5AEEBDC1"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están indicadas las precauciones para evitar la transmisión por contacto en lactantes y niños de corta edad durante todo el periodo en que están hospitalizados.</w:t>
      </w:r>
    </w:p>
    <w:p w14:paraId="13F27746" w14:textId="77777777" w:rsidR="00093A32" w:rsidRDefault="00093A32">
      <w:pPr>
        <w:pStyle w:val="BodyText"/>
        <w:spacing w:after="100"/>
        <w:ind w:firstLine="0"/>
      </w:pPr>
      <w:r>
        <w:rPr>
          <w:b/>
          <w:bCs/>
        </w:rPr>
        <w:t>M</w:t>
      </w:r>
      <w:r>
        <w:rPr>
          <w:b/>
          <w:bCs/>
          <w:sz w:val="13"/>
          <w:szCs w:val="13"/>
        </w:rPr>
        <w:t>EDIDAS PREVENTIVAS</w:t>
      </w:r>
      <w:r>
        <w:rPr>
          <w:b/>
          <w:bCs/>
        </w:rPr>
        <w:t xml:space="preserve">: </w:t>
      </w:r>
      <w:r>
        <w:t>Hay que prestar atención particular a la higiene de manos, en particular después de cambio de pañales.</w:t>
      </w:r>
    </w:p>
    <w:p w14:paraId="57D669F5" w14:textId="77777777" w:rsidR="00093A32" w:rsidRDefault="00093A32">
      <w:pPr>
        <w:pStyle w:val="Bodytext70"/>
        <w:spacing w:after="0"/>
      </w:pPr>
      <w:r>
        <w:t>Epstein-Barr, virus, infecciones</w:t>
      </w:r>
    </w:p>
    <w:p w14:paraId="57ABB850"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(Mononucleosis infecciosa)</w:t>
      </w:r>
    </w:p>
    <w:p w14:paraId="71CACCDF"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 mononucleosis infecciosa se manifiesta en forma típica por fiebre, faringitis exudativa, linfadenopatía, hepatosplenomegalia y linfocitosis atípica. Las manifestaciones patológicas son muy amplias y varían desde un cuadro sin </w:t>
      </w:r>
      <w:r>
        <w:rPr>
          <w:b/>
          <w:bCs/>
        </w:rPr>
        <w:t>M</w:t>
      </w:r>
      <w:r>
        <w:rPr>
          <w:b/>
          <w:bCs/>
          <w:sz w:val="13"/>
          <w:szCs w:val="13"/>
        </w:rPr>
        <w:t>ÉTODOS DIAGNÓSTICOS</w:t>
      </w:r>
      <w:r>
        <w:rPr>
          <w:b/>
          <w:bCs/>
        </w:rPr>
        <w:t xml:space="preserve">: </w:t>
      </w:r>
      <w:r>
        <w:t>Las muestras de las que se obtienen los índices más altos de aislamiento de virus son las provenientes de faringe, los excrementos y las de material rectal obtenidas con aplicadores. Dichas muestras también deben obtenerse de otros sitios de la infección, como el líquido cefalorraquídeo (LCR). Es posible identificar los enterovirus también de muestras de sangre y orina en la fase febril aguda, y en raras ocasiones de muestras de biopsia. El material debe enviarse al laboratorio a 4°C. Elementos nocivos para la identificación de virus son maniobras repetitivas como congelamiento, descongelamiento y secado de las muestras. En casos de enfermedad grave, es importante aislar el virus como una forma de diagnóstico. Los virus aislados de cualquier muestra por lo común pueden ser considerados como elementos causales de la enfermedad. Aislar un enterovirus sólo de excrementos puede ser una maniobra menos específica que aislarlo de otros sitios, porque algunas personas infectadas asintomáticas pueden excretar el virus por las heces incluso durante seis a 12 semanas. Casi todos los laboratorios de diagnóstico vírico utilizan técnicas de cultivo celular con las que es posible la identificación y recuperación de virus echo, virus coxsackie del grupo B y algunos virus coxsackie del grupo A. La inoculación de ratones en fase de amamantamiento, que no constituye un método habitual, es una medida necesaria para identificar algunos de los serotipos de virus coxsackie del grupo A. Un método más sensible que el aislamiento de virus es la reacción en cadena de polimerasa para buscar la presencia de RNA de enterovirus en LCR y otras muestras y que se practica en unos cuantos laboratorios de investigación. Las muestras de suero para practicar métodos en busca de anticuerpos se obtienen al comienzo de la enfermedad y cuatro semanas después, y se almacenan en congelamiento. Para confirmar la infección, cabe utilizar la demostración de un incremento del título de anticuerpo neutralizante específico de virus, en particular cuando se ha identificado previamente el virus específico en un brote en la comunidad. Por lo común no se hacen métodos de detección sistemática serológica sin que se cuente con un serotipo sospechado.</w:t>
      </w:r>
    </w:p>
    <w:p w14:paraId="0C2271DD" w14:textId="77777777" w:rsidR="00093A32" w:rsidRDefault="00093A32">
      <w:pPr>
        <w:pStyle w:val="BodyText"/>
        <w:ind w:firstLine="0"/>
      </w:pPr>
      <w:r>
        <w:rPr>
          <w:b/>
          <w:bCs/>
        </w:rPr>
        <w:t>T</w:t>
      </w:r>
      <w:r>
        <w:rPr>
          <w:b/>
          <w:bCs/>
          <w:sz w:val="13"/>
          <w:szCs w:val="13"/>
        </w:rPr>
        <w:t>RATAMIENTO</w:t>
      </w:r>
      <w:r>
        <w:rPr>
          <w:b/>
          <w:bCs/>
        </w:rPr>
        <w:t xml:space="preserve">: </w:t>
      </w:r>
      <w:r>
        <w:t>No se cuenta con tratamientos específicos, aunque está en fase de evaluación clínica un antivírico, el pleconarilo. En Estados Unidos éste se puede obtener del fabricante (ViroPharma Inc, Exton, PA; teléfono 610-458-7300) para uso filantrópico en niños con infecciones graves y letales por enterovirus. En caso de meningoencefalitis enterovírica crónica en pacientes inmunodeficientes, puede ser beneficioso utilizar el concentrado inmunoglobulínico intravenoso (IGIV) que contiene un título alto de anticuerpos contra el virus infectante. El concentrado mencionado también se ha administrado en infecciones neonatales letales, aunque no hay pruebas de su eficacia para tal fin. Los preparados de IGIV varían en la cantidad de anticuerpo antienterovírico que posee, pero hay que consultar la información específica del fabricante.</w:t>
      </w:r>
    </w:p>
    <w:p w14:paraId="2076DFAA"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están indicadas las precauciones para evitar la transmisión por contacto en lactantes y niños de corta edad durante todo el periodo en que están hospitalizados.</w:t>
      </w:r>
    </w:p>
    <w:p w14:paraId="0B6F2EF7" w14:textId="77777777" w:rsidR="00093A32" w:rsidRDefault="00093A32">
      <w:pPr>
        <w:pStyle w:val="BodyText"/>
        <w:spacing w:after="100"/>
        <w:ind w:firstLine="0"/>
      </w:pPr>
      <w:r>
        <w:rPr>
          <w:b/>
          <w:bCs/>
        </w:rPr>
        <w:t>M</w:t>
      </w:r>
      <w:r>
        <w:rPr>
          <w:b/>
          <w:bCs/>
          <w:sz w:val="13"/>
          <w:szCs w:val="13"/>
        </w:rPr>
        <w:t>EDIDAS PREVENTIVAS</w:t>
      </w:r>
      <w:r>
        <w:rPr>
          <w:b/>
          <w:bCs/>
        </w:rPr>
        <w:t xml:space="preserve">: </w:t>
      </w:r>
      <w:r>
        <w:t>Hay que prestar atención particular a la higiene de manos, en particular después de cambio de pañales.</w:t>
      </w:r>
    </w:p>
    <w:p w14:paraId="436961AB" w14:textId="77777777" w:rsidR="00093A32" w:rsidRDefault="00093A32">
      <w:pPr>
        <w:pStyle w:val="Bodytext70"/>
        <w:spacing w:after="0"/>
      </w:pPr>
      <w:r>
        <w:t>Epstein-Barr, virus, infecciones</w:t>
      </w:r>
    </w:p>
    <w:p w14:paraId="3CD4AFD8"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(Mononucleosis infecciosa)</w:t>
      </w:r>
    </w:p>
    <w:p w14:paraId="466AB953" w14:textId="77777777" w:rsidR="00093A32" w:rsidRDefault="00093A32">
      <w:pPr>
        <w:pStyle w:val="BodyText"/>
        <w:ind w:firstLine="0"/>
        <w:sectPr w:rsidR="00093A32" w:rsidSect="00093A32">
          <w:headerReference w:type="even" r:id="rId240"/>
          <w:headerReference w:type="default" r:id="rId241"/>
          <w:footerReference w:type="even" r:id="rId242"/>
          <w:footerReference w:type="default" r:id="rId243"/>
          <w:headerReference w:type="first" r:id="rId244"/>
          <w:footerReference w:type="first" r:id="rId245"/>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La mononucleosis infecciosa se manifiesta en forma típica por fiebre, faringitis exudativa, linfadenopatía, hepatosplenomegalia y linfocitosis atípica. Las manifestaciones patológicas son muy amplias y varían desde un cuadro sin </w:t>
      </w:r>
    </w:p>
    <w:p w14:paraId="0754866A" w14:textId="77777777" w:rsidR="00093A32" w:rsidRDefault="00093A32">
      <w:pPr>
        <w:pStyle w:val="BodyText"/>
        <w:ind w:firstLine="0"/>
      </w:pPr>
      <w:r>
        <w:t xml:space="preserve">síntomas hasta infección letal. Las infecciones por lo común pasan inadvertidas en lactantes y niños de corta edad. Puede surgir alguna erupción, y es más frecuente en niños tratados con ampicilina y con otras penicilinas. Entre las complicaciones del sistema nervioso central (SNC) están meningitis aséptica, encefalitis y síndrome de Guillain-Barré. Complicaciones raras son rotura del bazo, trombocitopenia, agranulocitosis, anemia hemolítica, síndrome hemofagocítico, orquitis y miocarditis. La réplica del virus de Epstein-Barr </w:t>
      </w:r>
      <w:r>
        <w:rPr>
          <w:i/>
          <w:iCs/>
        </w:rPr>
        <w:t>(</w:t>
      </w:r>
      <w:r>
        <w:rPr>
          <w:rFonts w:ascii="Times New Roman" w:eastAsia="Times New Roman" w:hAnsi="Times New Roman" w:cs="Times New Roman"/>
          <w:i/>
          <w:iCs/>
          <w:sz w:val="16"/>
          <w:szCs w:val="16"/>
        </w:rPr>
        <w:t>Epstein-Barr virus</w:t>
      </w:r>
      <w:r>
        <w:rPr>
          <w:i/>
          <w:iCs/>
        </w:rPr>
        <w:t>,</w:t>
      </w:r>
      <w:r>
        <w:t xml:space="preserve"> EBV) por linfocitos B y la linfoproliferación resultante suelen ser inhibidas por las respuestas de células T y células citolíticas naturales. En personas que tienen inmunodeficiencias de tipo celular congénitas o adquiridas, puede haber una infección diseminada letal o linfomas de células B.</w:t>
      </w:r>
    </w:p>
    <w:p w14:paraId="50B53B24" w14:textId="77777777" w:rsidR="00093A32" w:rsidRDefault="00093A32">
      <w:pPr>
        <w:pStyle w:val="BodyText"/>
        <w:ind w:firstLine="360"/>
      </w:pPr>
      <w:r>
        <w:t>El virus de Epstein-Barr ocasiona otros cuadros diferentes, que incluyen síndrome linfoproliferativo ligado al X, trastornos linfoproliferativos después de trasplante, linfoma de Burkitt, carcinoma nasofaríngeo y linfomas del sistema nervioso central por células B y diferenciadas. El síndrome linfoproliferativo ligado al X aparece en niños con algún defecto genético recesivo, hereditario y proveniente de la madre, que se caracteriza por algunas expresiones fenotípicas que incluye la aparición de mononucleosis infecciosa en etapa temprana de la vida en varoncitos, linfomas de células B nodulares, a menudo con ataque del SNC e hipogammaglobulinemia profunda.</w:t>
      </w:r>
    </w:p>
    <w:p w14:paraId="53AABB7A" w14:textId="77777777" w:rsidR="00093A32" w:rsidRDefault="00093A32">
      <w:pPr>
        <w:pStyle w:val="BodyText"/>
        <w:ind w:firstLine="360"/>
      </w:pPr>
      <w:r>
        <w:t>El virus de Epstein-Barr que aparece en las enfermedades linfoproliferativas ocasiona diversos síndromes complejos en sujetos inmunodeficientes, como serían los que reciben trasplantes o individuos infectados por el virus de inmunodeficiencia humana (VIH). La mayor incidencia de tales cuadros se observa entre quienes han recibido trasplantes de hígado y corazón. Otros síndromes por EBV adquieren mayor importancia fuera de Estados Unidos, e incluyen linfoma de Burkitt (tumor de células B), que aparece más bien en África Central, y el carcinoma nasofaríngeo, que se observa en el sureste asiático.</w:t>
      </w:r>
    </w:p>
    <w:p w14:paraId="57E72AA2" w14:textId="77777777" w:rsidR="00093A32" w:rsidRDefault="00093A32">
      <w:pPr>
        <w:pStyle w:val="BodyText"/>
        <w:ind w:firstLine="360"/>
      </w:pPr>
      <w:r>
        <w:t>El síndrome de fatiga crónica no guarda relación específica con la infección por EBV. Un reducido número de individuos con síntomas recurrentes o persistentes muestran anormalidades en los resultados de estudios serológicos para detectar EBV, así como otros virus.</w:t>
      </w:r>
    </w:p>
    <w:p w14:paraId="5A5B7798" w14:textId="77777777" w:rsidR="00093A32" w:rsidRDefault="00093A32">
      <w:pPr>
        <w:pStyle w:val="BodyText"/>
        <w:ind w:firstLine="0"/>
      </w:pPr>
      <w:r>
        <w:rPr>
          <w:b/>
          <w:bCs/>
        </w:rPr>
        <w:t>C</w:t>
      </w:r>
      <w:r>
        <w:rPr>
          <w:b/>
          <w:bCs/>
          <w:sz w:val="13"/>
          <w:szCs w:val="13"/>
        </w:rPr>
        <w:t>AUSAS</w:t>
      </w:r>
      <w:r>
        <w:rPr>
          <w:b/>
          <w:bCs/>
        </w:rPr>
        <w:t xml:space="preserve">: </w:t>
      </w:r>
      <w:r>
        <w:t>El virus de Epstein-Barr, que es un virus herpético linfotrópico B, es la causa más frecuente de mononucleosis infecciosa.</w:t>
      </w:r>
    </w:p>
    <w:p w14:paraId="0207EDE5" w14:textId="77777777" w:rsidR="00093A32" w:rsidRDefault="00093A32">
      <w:pPr>
        <w:pStyle w:val="BodyText"/>
        <w:ind w:firstLine="0"/>
      </w:pPr>
      <w:r>
        <w:rPr>
          <w:b/>
          <w:bCs/>
        </w:rPr>
        <w:t>A</w:t>
      </w:r>
      <w:r>
        <w:rPr>
          <w:b/>
          <w:bCs/>
          <w:sz w:val="13"/>
          <w:szCs w:val="13"/>
        </w:rPr>
        <w:t>SPECTOS EPIDEMIOLÓGICOS</w:t>
      </w:r>
      <w:r>
        <w:rPr>
          <w:b/>
          <w:bCs/>
        </w:rPr>
        <w:t xml:space="preserve">: </w:t>
      </w:r>
      <w:r>
        <w:t>Los seres humanos son la única fuente de EBV.</w:t>
      </w:r>
    </w:p>
    <w:p w14:paraId="053E1E58" w14:textId="77777777" w:rsidR="00093A32" w:rsidRDefault="00093A32">
      <w:pPr>
        <w:pStyle w:val="BodyText"/>
        <w:ind w:firstLine="0"/>
      </w:pPr>
      <w:r>
        <w:t>Generalmente se necesita el contacto personal muy cercano para la transmisión. El virus es viable en saliva varias horas fuera del cuerpo, pero se desconoce la participación de artículos inanimados en la transmisión. El virus también es transmitido a veces por sangre en transfusión. La infección suele contraerse en los comienzos de la vida, particularmente en miembros de grupos socioeconómicos bajos, en los cuales es frecuente la propagación intrafamiliar. La mononucleosis infecciosa endémica es frecuente en algunos grupos de adolescentes, como en instituciones educativas. No se ha corroborado un perfil estacional. La excreción de virus por vías respiratorias surge muchos meses después de la infección, y es frecuente el estado de portador asintomático. La excreción intermitente dura toda la vida y el periodo de transmisibilidad es indeterminado.</w:t>
      </w:r>
    </w:p>
    <w:p w14:paraId="3B1ED9A2" w14:textId="77777777" w:rsidR="00093A32" w:rsidRDefault="00093A32">
      <w:pPr>
        <w:pStyle w:val="BodyText"/>
        <w:ind w:firstLine="360"/>
      </w:pPr>
      <w:r>
        <w:t xml:space="preserve">El </w:t>
      </w:r>
      <w:r>
        <w:rPr>
          <w:b/>
          <w:bCs/>
        </w:rPr>
        <w:t xml:space="preserve">periodo de incubación </w:t>
      </w:r>
      <w:r>
        <w:t>de la mononucleosis infecciosa, según cálculos, es de 30 a 50 días.</w:t>
      </w:r>
    </w:p>
    <w:p w14:paraId="298FE726" w14:textId="77777777" w:rsidR="00093A32" w:rsidRDefault="00093A32">
      <w:pPr>
        <w:pStyle w:val="BodyText"/>
        <w:ind w:firstLine="0"/>
      </w:pPr>
      <w:r>
        <w:rPr>
          <w:b/>
          <w:bCs/>
        </w:rPr>
        <w:t>M</w:t>
      </w:r>
      <w:r>
        <w:rPr>
          <w:b/>
          <w:bCs/>
          <w:sz w:val="13"/>
          <w:szCs w:val="13"/>
        </w:rPr>
        <w:t>ÉTODOS DIAGNÓSTICOS</w:t>
      </w:r>
      <w:r>
        <w:rPr>
          <w:b/>
          <w:bCs/>
        </w:rPr>
        <w:t xml:space="preserve">: </w:t>
      </w:r>
      <w:r>
        <w:t>Es posible aislar el virus de Epstein-Barr de las secreciones bucofaríngeas, pero en el laboratorio de diagnóstico corriente por lo común no se practican las técnicas para tal finalidad, y el aislamiento del virus no indica obligadamente la presencia de una infección aguda. Por tal razón, el diagnóstico depende de métodos serológicos. Los practicados con mayor frecuencia son estudios inespecíficos en busca de anticuerpo heterófilo, que incluye la prueba de Paul-Bunnell y la reacción de aglutinación en laminilla. El anticuerpo heterófilo es predominantemente la inmunoglobulina (Ig) M, que surge en las primeras dos semanas de enfermedad para desaparecer poco a poco en un lapso de seis meses. Los resultados de las pruebas para valorar el anticuerpo mencionado suelen ser negativos en niños menores de cuatro años con infección por EBV, pero identifican alrededor de 90% de los casos (probados por métodos serológicos específicos de EBV) en niños de mayor edad y en adultos. Un dato característico, aunque inespecífico, es el incremento absoluto del número de linfocitos atípicos en la segunda semana de la enfermedad, con mononucleosis infecciosa. Sin embargo, detectar más de 10% de linfocitos atípicos junto con la positividad de una prueba de anticuerpo heterófilo se considera como datos que permiten diagnosticar una infección aguda.</w:t>
      </w:r>
    </w:p>
    <w:p w14:paraId="10A3560E" w14:textId="77777777" w:rsidR="00093A32" w:rsidRDefault="00093A32">
      <w:pPr>
        <w:pStyle w:val="BodyText"/>
        <w:ind w:firstLine="360"/>
      </w:pPr>
      <w:r>
        <w:t xml:space="preserve">En los laboratorios de virología diagnóstica se practican múltiples métodos serológicos específicos para identificar anticuerpos en la infección por EBV (cuadro 3-10). El método que más se practica es el de la detección de anticuerpo contra el antígeno de la cápside vírica </w:t>
      </w:r>
      <w:r>
        <w:rPr>
          <w:i/>
          <w:iCs/>
        </w:rPr>
        <w:t>(</w:t>
      </w:r>
      <w:r>
        <w:rPr>
          <w:rFonts w:ascii="Times New Roman" w:eastAsia="Times New Roman" w:hAnsi="Times New Roman" w:cs="Times New Roman"/>
          <w:i/>
          <w:iCs/>
          <w:sz w:val="16"/>
          <w:szCs w:val="16"/>
        </w:rPr>
        <w:t>viral capsid antigen</w:t>
      </w:r>
      <w:r>
        <w:rPr>
          <w:i/>
          <w:iCs/>
        </w:rPr>
        <w:t>,</w:t>
      </w:r>
      <w:r>
        <w:t xml:space="preserve"> VCA). El anticuerpo de tipo IgG contra dicho antígeno aparece en altos títulos poco después de comenzar la infección, por lo que quizá no sea útil para definir la presencia de tal situación, someter a prueba las muestras de suero de fase aguda y de convalecencia en busca del anticuerpo recién mencionado. Buscar el anticuerpo IgM contra VCA y anticuerpos contra el antígeno temprano permite identificar infecciones recientes. El anticuerpo sérico contra el antígeno nuclear de EBV </w:t>
      </w:r>
      <w:r>
        <w:rPr>
          <w:i/>
          <w:iCs/>
        </w:rPr>
        <w:t>(</w:t>
      </w:r>
      <w:r>
        <w:rPr>
          <w:rFonts w:ascii="Times New Roman" w:eastAsia="Times New Roman" w:hAnsi="Times New Roman" w:cs="Times New Roman"/>
          <w:i/>
          <w:iCs/>
          <w:sz w:val="16"/>
          <w:szCs w:val="16"/>
        </w:rPr>
        <w:t>EB nuclear antigen</w:t>
      </w:r>
      <w:r>
        <w:rPr>
          <w:i/>
          <w:iCs/>
        </w:rPr>
        <w:t>,</w:t>
      </w:r>
      <w:r>
        <w:t xml:space="preserve"> EBNA) aparece sólo después que han transcurrido semanas o meses del inicio de la infección, razón por la cual si se detecta el anticuerpo comentado, ello permite descartar la infección primaria.</w:t>
      </w:r>
    </w:p>
    <w:p w14:paraId="652901DE" w14:textId="77777777" w:rsidR="00093A32" w:rsidRDefault="00093A32">
      <w:pPr>
        <w:pStyle w:val="BodyText"/>
        <w:spacing w:after="240"/>
        <w:ind w:firstLine="360"/>
      </w:pPr>
      <w:r>
        <w:t xml:space="preserve">Los estudios serológicos del virus de Epstein-Barr particularmente son útiles para valorar a pacientes que tienen mononucleosis infecciosa sin anticuerpo heterófilo. En tales enfermos quizá también convenga buscar otros antígenos víricos, en particular el virus citomegálico. En estudios de investigación, métodos como el cultivo de muestras de saliva o la búsqueda de EBV mononucleares de sangre periférica, la hibridación de DNA </w:t>
      </w:r>
      <w:r>
        <w:rPr>
          <w:rFonts w:ascii="Times New Roman" w:eastAsia="Times New Roman" w:hAnsi="Times New Roman" w:cs="Times New Roman"/>
          <w:i/>
          <w:iCs/>
          <w:sz w:val="16"/>
          <w:szCs w:val="16"/>
        </w:rPr>
        <w:t>in situ</w:t>
      </w:r>
      <w:r>
        <w:t xml:space="preserve"> o la reacción en cadena de polimerasa, permitirán identificar la presencia de EBV o su DNA, y quizá se pudiera asignar una participación causal del virus en un síndrome como el de linfoproliferación.</w:t>
      </w:r>
    </w:p>
    <w:p w14:paraId="713996FC" w14:textId="77777777" w:rsidR="00093A32" w:rsidRDefault="00093A32">
      <w:pPr>
        <w:pStyle w:val="Heading31"/>
        <w:keepNext/>
        <w:keepLines/>
        <w:spacing w:after="60" w:line="211" w:lineRule="auto"/>
        <w:jc w:val="center"/>
      </w:pPr>
      <w:bookmarkStart w:id="75" w:name="bookmark681"/>
      <w:bookmarkStart w:id="76" w:name="bookmark682"/>
      <w:bookmarkStart w:id="77" w:name="bookmark683"/>
      <w:r>
        <w:rPr>
          <w:b w:val="0"/>
          <w:bCs w:val="0"/>
        </w:rPr>
        <w:t xml:space="preserve">Cuadro 3-10. </w:t>
      </w:r>
      <w:r>
        <w:t>Anticuerpos séricos contra el virus de Epstein-Barr (EBV)</w:t>
      </w:r>
      <w:r>
        <w:br/>
        <w:t>en la infección por dicho virus</w:t>
      </w:r>
      <w:bookmarkEnd w:id="75"/>
      <w:bookmarkEnd w:id="76"/>
      <w:bookmarkEnd w:id="77"/>
    </w:p>
    <w:tbl>
      <w:tblPr>
        <w:tblOverlap w:val="never"/>
        <w:tblW w:w="0" w:type="auto"/>
        <w:jc w:val="center"/>
        <w:tblLayout w:type="fixed"/>
        <w:tblCellMar>
          <w:left w:w="10" w:type="dxa"/>
          <w:right w:w="10" w:type="dxa"/>
        </w:tblCellMar>
        <w:tblLook w:val="04A0" w:firstRow="1" w:lastRow="0" w:firstColumn="1" w:lastColumn="0" w:noHBand="0" w:noVBand="1"/>
      </w:tblPr>
      <w:tblGrid>
        <w:gridCol w:w="2035"/>
        <w:gridCol w:w="1258"/>
        <w:gridCol w:w="1334"/>
        <w:gridCol w:w="1008"/>
        <w:gridCol w:w="1210"/>
      </w:tblGrid>
      <w:tr w:rsidR="00093A32" w14:paraId="2C16F782" w14:textId="77777777">
        <w:tblPrEx>
          <w:tblCellMar>
            <w:top w:w="0" w:type="dxa"/>
            <w:bottom w:w="0" w:type="dxa"/>
          </w:tblCellMar>
        </w:tblPrEx>
        <w:trPr>
          <w:trHeight w:hRule="exact" w:val="562"/>
          <w:jc w:val="center"/>
        </w:trPr>
        <w:tc>
          <w:tcPr>
            <w:tcW w:w="2035" w:type="dxa"/>
            <w:shd w:val="clear" w:color="auto" w:fill="231F20"/>
            <w:vAlign w:val="bottom"/>
          </w:tcPr>
          <w:p w14:paraId="49622C9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Infección</w:t>
            </w:r>
          </w:p>
        </w:tc>
        <w:tc>
          <w:tcPr>
            <w:tcW w:w="1258" w:type="dxa"/>
            <w:shd w:val="clear" w:color="auto" w:fill="231F20"/>
          </w:tcPr>
          <w:p w14:paraId="565698F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jc w:val="center"/>
              <w:rPr>
                <w:sz w:val="24"/>
                <w:szCs w:val="24"/>
              </w:rPr>
            </w:pPr>
            <w:r>
              <w:rPr>
                <w:rFonts w:ascii="Arial" w:eastAsia="Arial" w:hAnsi="Arial" w:cs="Arial"/>
                <w:b/>
                <w:bCs/>
                <w:color w:val="FFFFFF"/>
                <w:w w:val="70"/>
                <w:sz w:val="24"/>
                <w:szCs w:val="24"/>
              </w:rPr>
              <w:t>IgG contra VCA</w:t>
            </w:r>
          </w:p>
        </w:tc>
        <w:tc>
          <w:tcPr>
            <w:tcW w:w="1334" w:type="dxa"/>
            <w:shd w:val="clear" w:color="auto" w:fill="231F20"/>
          </w:tcPr>
          <w:p w14:paraId="5337275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IgM contra VCA</w:t>
            </w:r>
          </w:p>
        </w:tc>
        <w:tc>
          <w:tcPr>
            <w:tcW w:w="1008" w:type="dxa"/>
            <w:shd w:val="clear" w:color="auto" w:fill="231F20"/>
            <w:vAlign w:val="bottom"/>
          </w:tcPr>
          <w:p w14:paraId="05EC951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EA (D)</w:t>
            </w:r>
          </w:p>
        </w:tc>
        <w:tc>
          <w:tcPr>
            <w:tcW w:w="1210" w:type="dxa"/>
            <w:shd w:val="clear" w:color="auto" w:fill="231F20"/>
            <w:vAlign w:val="bottom"/>
          </w:tcPr>
          <w:p w14:paraId="601F4E9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200" w:firstLine="0"/>
              <w:jc w:val="center"/>
              <w:rPr>
                <w:sz w:val="24"/>
                <w:szCs w:val="24"/>
              </w:rPr>
            </w:pPr>
            <w:r>
              <w:rPr>
                <w:rFonts w:ascii="Arial" w:eastAsia="Arial" w:hAnsi="Arial" w:cs="Arial"/>
                <w:b/>
                <w:bCs/>
                <w:color w:val="FFFFFF"/>
                <w:w w:val="70"/>
                <w:sz w:val="24"/>
                <w:szCs w:val="24"/>
              </w:rPr>
              <w:t>EBNA</w:t>
            </w:r>
          </w:p>
        </w:tc>
      </w:tr>
      <w:tr w:rsidR="00093A32" w14:paraId="5414D9A3" w14:textId="77777777">
        <w:tblPrEx>
          <w:tblCellMar>
            <w:top w:w="0" w:type="dxa"/>
            <w:bottom w:w="0" w:type="dxa"/>
          </w:tblCellMar>
        </w:tblPrEx>
        <w:trPr>
          <w:trHeight w:hRule="exact" w:val="269"/>
          <w:jc w:val="center"/>
        </w:trPr>
        <w:tc>
          <w:tcPr>
            <w:tcW w:w="2035" w:type="dxa"/>
            <w:shd w:val="clear" w:color="auto" w:fill="FFFFFF"/>
            <w:vAlign w:val="bottom"/>
          </w:tcPr>
          <w:p w14:paraId="08220B5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hubo infección previa</w:t>
            </w:r>
          </w:p>
        </w:tc>
        <w:tc>
          <w:tcPr>
            <w:tcW w:w="1258" w:type="dxa"/>
            <w:shd w:val="clear" w:color="auto" w:fill="FFFFFF"/>
            <w:vAlign w:val="bottom"/>
          </w:tcPr>
          <w:p w14:paraId="1D1A15FF"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334" w:type="dxa"/>
            <w:shd w:val="clear" w:color="auto" w:fill="FFFFFF"/>
            <w:vAlign w:val="bottom"/>
          </w:tcPr>
          <w:p w14:paraId="0CCAA81D" w14:textId="77777777" w:rsidR="00093A32" w:rsidRDefault="00093A32">
            <w:pPr>
              <w:pStyle w:val="Other0"/>
              <w:spacing w:line="240" w:lineRule="auto"/>
              <w:ind w:firstLine="660"/>
              <w:jc w:val="both"/>
              <w:rPr>
                <w:sz w:val="16"/>
                <w:szCs w:val="16"/>
              </w:rPr>
            </w:pPr>
            <w:r>
              <w:rPr>
                <w:rFonts w:ascii="Times New Roman" w:eastAsia="Times New Roman" w:hAnsi="Times New Roman" w:cs="Times New Roman"/>
                <w:sz w:val="16"/>
                <w:szCs w:val="16"/>
              </w:rPr>
              <w:t>-</w:t>
            </w:r>
          </w:p>
        </w:tc>
        <w:tc>
          <w:tcPr>
            <w:tcW w:w="1008" w:type="dxa"/>
            <w:shd w:val="clear" w:color="auto" w:fill="FFFFFF"/>
            <w:vAlign w:val="bottom"/>
          </w:tcPr>
          <w:p w14:paraId="55A01728" w14:textId="77777777" w:rsidR="00093A32" w:rsidRDefault="00093A32">
            <w:pPr>
              <w:pStyle w:val="Other0"/>
              <w:spacing w:line="240" w:lineRule="auto"/>
              <w:ind w:firstLine="420"/>
              <w:rPr>
                <w:sz w:val="16"/>
                <w:szCs w:val="16"/>
              </w:rPr>
            </w:pPr>
            <w:r>
              <w:rPr>
                <w:rFonts w:ascii="Times New Roman" w:eastAsia="Times New Roman" w:hAnsi="Times New Roman" w:cs="Times New Roman"/>
                <w:sz w:val="16"/>
                <w:szCs w:val="16"/>
              </w:rPr>
              <w:t>-</w:t>
            </w:r>
          </w:p>
        </w:tc>
        <w:tc>
          <w:tcPr>
            <w:tcW w:w="1210" w:type="dxa"/>
            <w:shd w:val="clear" w:color="auto" w:fill="FFFFFF"/>
            <w:vAlign w:val="bottom"/>
          </w:tcPr>
          <w:p w14:paraId="79A54354" w14:textId="77777777" w:rsidR="00093A32" w:rsidRDefault="00093A32">
            <w:pPr>
              <w:pStyle w:val="Other0"/>
              <w:spacing w:line="240" w:lineRule="auto"/>
              <w:ind w:firstLine="460"/>
              <w:jc w:val="both"/>
              <w:rPr>
                <w:sz w:val="16"/>
                <w:szCs w:val="16"/>
              </w:rPr>
            </w:pPr>
            <w:r>
              <w:rPr>
                <w:rFonts w:ascii="Times New Roman" w:eastAsia="Times New Roman" w:hAnsi="Times New Roman" w:cs="Times New Roman"/>
                <w:sz w:val="16"/>
                <w:szCs w:val="16"/>
              </w:rPr>
              <w:t>-</w:t>
            </w:r>
          </w:p>
        </w:tc>
      </w:tr>
      <w:tr w:rsidR="00093A32" w14:paraId="7248D8B9" w14:textId="77777777">
        <w:tblPrEx>
          <w:tblCellMar>
            <w:top w:w="0" w:type="dxa"/>
            <w:bottom w:w="0" w:type="dxa"/>
          </w:tblCellMar>
        </w:tblPrEx>
        <w:trPr>
          <w:trHeight w:hRule="exact" w:val="221"/>
          <w:jc w:val="center"/>
        </w:trPr>
        <w:tc>
          <w:tcPr>
            <w:tcW w:w="2035" w:type="dxa"/>
            <w:shd w:val="clear" w:color="auto" w:fill="FFFFFF"/>
            <w:vAlign w:val="bottom"/>
          </w:tcPr>
          <w:p w14:paraId="3EEE204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Infección aguda</w:t>
            </w:r>
          </w:p>
        </w:tc>
        <w:tc>
          <w:tcPr>
            <w:tcW w:w="1258" w:type="dxa"/>
            <w:shd w:val="clear" w:color="auto" w:fill="FFFFFF"/>
            <w:vAlign w:val="bottom"/>
          </w:tcPr>
          <w:p w14:paraId="50580F84"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334" w:type="dxa"/>
            <w:shd w:val="clear" w:color="auto" w:fill="FFFFFF"/>
            <w:vAlign w:val="bottom"/>
          </w:tcPr>
          <w:p w14:paraId="5D5813BE"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008" w:type="dxa"/>
            <w:shd w:val="clear" w:color="auto" w:fill="FFFFFF"/>
            <w:vAlign w:val="bottom"/>
          </w:tcPr>
          <w:p w14:paraId="16FA433B"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210" w:type="dxa"/>
            <w:shd w:val="clear" w:color="auto" w:fill="FFFFFF"/>
            <w:vAlign w:val="bottom"/>
          </w:tcPr>
          <w:p w14:paraId="19F1F4CB" w14:textId="77777777" w:rsidR="00093A32" w:rsidRDefault="00093A32">
            <w:pPr>
              <w:pStyle w:val="Other0"/>
              <w:spacing w:line="240" w:lineRule="auto"/>
              <w:ind w:firstLine="460"/>
              <w:rPr>
                <w:sz w:val="16"/>
                <w:szCs w:val="16"/>
              </w:rPr>
            </w:pPr>
            <w:r>
              <w:rPr>
                <w:rFonts w:ascii="Times New Roman" w:eastAsia="Times New Roman" w:hAnsi="Times New Roman" w:cs="Times New Roman"/>
                <w:sz w:val="16"/>
                <w:szCs w:val="16"/>
              </w:rPr>
              <w:t>-</w:t>
            </w:r>
          </w:p>
        </w:tc>
      </w:tr>
      <w:tr w:rsidR="00093A32" w14:paraId="5259FCC9" w14:textId="77777777">
        <w:tblPrEx>
          <w:tblCellMar>
            <w:top w:w="0" w:type="dxa"/>
            <w:bottom w:w="0" w:type="dxa"/>
          </w:tblCellMar>
        </w:tblPrEx>
        <w:trPr>
          <w:trHeight w:hRule="exact" w:val="211"/>
          <w:jc w:val="center"/>
        </w:trPr>
        <w:tc>
          <w:tcPr>
            <w:tcW w:w="2035" w:type="dxa"/>
            <w:shd w:val="clear" w:color="auto" w:fill="FFFFFF"/>
            <w:vAlign w:val="bottom"/>
          </w:tcPr>
          <w:p w14:paraId="6FAF2E4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Infección reciente</w:t>
            </w:r>
          </w:p>
        </w:tc>
        <w:tc>
          <w:tcPr>
            <w:tcW w:w="1258" w:type="dxa"/>
            <w:shd w:val="clear" w:color="auto" w:fill="FFFFFF"/>
            <w:vAlign w:val="bottom"/>
          </w:tcPr>
          <w:p w14:paraId="2E8EA053"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334" w:type="dxa"/>
            <w:shd w:val="clear" w:color="auto" w:fill="FFFFFF"/>
            <w:vAlign w:val="bottom"/>
          </w:tcPr>
          <w:p w14:paraId="30A95DDB"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008" w:type="dxa"/>
            <w:shd w:val="clear" w:color="auto" w:fill="FFFFFF"/>
            <w:vAlign w:val="bottom"/>
          </w:tcPr>
          <w:p w14:paraId="6C825BE5"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210" w:type="dxa"/>
            <w:shd w:val="clear" w:color="auto" w:fill="FFFFFF"/>
            <w:vAlign w:val="bottom"/>
          </w:tcPr>
          <w:p w14:paraId="600C4904"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w:t>
            </w:r>
          </w:p>
        </w:tc>
      </w:tr>
      <w:tr w:rsidR="00093A32" w14:paraId="6C2D40D6" w14:textId="77777777">
        <w:tblPrEx>
          <w:tblCellMar>
            <w:top w:w="0" w:type="dxa"/>
            <w:bottom w:w="0" w:type="dxa"/>
          </w:tblCellMar>
        </w:tblPrEx>
        <w:trPr>
          <w:trHeight w:hRule="exact" w:val="331"/>
          <w:jc w:val="center"/>
        </w:trPr>
        <w:tc>
          <w:tcPr>
            <w:tcW w:w="2035" w:type="dxa"/>
            <w:tcBorders>
              <w:bottom w:val="single" w:sz="4" w:space="0" w:color="auto"/>
            </w:tcBorders>
            <w:shd w:val="clear" w:color="auto" w:fill="FFFFFF"/>
            <w:vAlign w:val="center"/>
          </w:tcPr>
          <w:p w14:paraId="61439F2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Infección pasada</w:t>
            </w:r>
          </w:p>
        </w:tc>
        <w:tc>
          <w:tcPr>
            <w:tcW w:w="1258" w:type="dxa"/>
            <w:tcBorders>
              <w:bottom w:val="single" w:sz="4" w:space="0" w:color="auto"/>
            </w:tcBorders>
            <w:shd w:val="clear" w:color="auto" w:fill="FFFFFF"/>
            <w:vAlign w:val="center"/>
          </w:tcPr>
          <w:p w14:paraId="7A3DB032"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334" w:type="dxa"/>
            <w:tcBorders>
              <w:bottom w:val="single" w:sz="4" w:space="0" w:color="auto"/>
            </w:tcBorders>
            <w:shd w:val="clear" w:color="auto" w:fill="FFFFFF"/>
            <w:vAlign w:val="center"/>
          </w:tcPr>
          <w:p w14:paraId="2B9D793C"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008" w:type="dxa"/>
            <w:tcBorders>
              <w:bottom w:val="single" w:sz="4" w:space="0" w:color="auto"/>
            </w:tcBorders>
            <w:shd w:val="clear" w:color="auto" w:fill="FFFFFF"/>
            <w:vAlign w:val="center"/>
          </w:tcPr>
          <w:p w14:paraId="5340AB1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w:t>
            </w:r>
          </w:p>
        </w:tc>
        <w:tc>
          <w:tcPr>
            <w:tcW w:w="1210" w:type="dxa"/>
            <w:tcBorders>
              <w:bottom w:val="single" w:sz="4" w:space="0" w:color="auto"/>
            </w:tcBorders>
            <w:shd w:val="clear" w:color="auto" w:fill="FFFFFF"/>
            <w:vAlign w:val="center"/>
          </w:tcPr>
          <w:p w14:paraId="72EF94D2" w14:textId="77777777" w:rsidR="00093A32" w:rsidRDefault="00093A32">
            <w:pPr>
              <w:pStyle w:val="Other0"/>
              <w:spacing w:line="240" w:lineRule="auto"/>
              <w:ind w:firstLine="460"/>
              <w:rPr>
                <w:sz w:val="16"/>
                <w:szCs w:val="16"/>
              </w:rPr>
            </w:pPr>
            <w:r>
              <w:rPr>
                <w:rFonts w:ascii="Times New Roman" w:eastAsia="Times New Roman" w:hAnsi="Times New Roman" w:cs="Times New Roman"/>
                <w:sz w:val="16"/>
                <w:szCs w:val="16"/>
              </w:rPr>
              <w:t>+</w:t>
            </w:r>
          </w:p>
        </w:tc>
      </w:tr>
    </w:tbl>
    <w:p w14:paraId="1F1D3806" w14:textId="77777777" w:rsidR="00093A32" w:rsidRDefault="00093A32">
      <w:pPr>
        <w:pStyle w:val="Tablecaption0"/>
        <w:spacing w:line="240" w:lineRule="auto"/>
        <w:ind w:left="211"/>
        <w:sectPr w:rsidR="00093A32" w:rsidSect="00093A32">
          <w:headerReference w:type="even" r:id="rId246"/>
          <w:headerReference w:type="default" r:id="rId247"/>
          <w:footerReference w:type="even" r:id="rId248"/>
          <w:footerReference w:type="default" r:id="rId249"/>
          <w:headerReference w:type="first" r:id="rId250"/>
          <w:footerReference w:type="first" r:id="rId251"/>
          <w:footnotePr>
            <w:numFmt w:val="chicago"/>
          </w:footnotePr>
          <w:pgSz w:w="8501" w:h="13022"/>
          <w:pgMar w:top="708" w:right="805" w:bottom="440" w:left="770" w:header="0" w:footer="3" w:gutter="0"/>
          <w:cols w:space="720"/>
          <w:noEndnote/>
          <w:titlePg/>
          <w:docGrid w:linePitch="360"/>
          <w15:footnoteColumns w:val="1"/>
        </w:sectPr>
      </w:pPr>
      <w:r>
        <w:t xml:space="preserve">IgG contra VCA, anticuerpo de la clase de la inmunoglobulina (Ig) G contra el antígeno de la cápside vírica; IgM contra VCA, anticuerpo de la clase IgM contra VCA; EA (D), tinción difusa del antígeno temprano </w:t>
      </w:r>
      <w:r>
        <w:rPr>
          <w:i/>
          <w:iCs/>
        </w:rPr>
        <w:t>(early antigen diffuse staining);</w:t>
      </w:r>
      <w:r>
        <w:t xml:space="preserve"> EBNA, antígeno nuclear de virus de Epstein-Barr.</w:t>
      </w:r>
    </w:p>
    <w:p w14:paraId="3EFAEF68" w14:textId="77777777" w:rsidR="00093A32" w:rsidRDefault="00093A32">
      <w:pPr>
        <w:pStyle w:val="BodyText"/>
        <w:ind w:firstLine="0"/>
      </w:pPr>
      <w:r>
        <w:rPr>
          <w:b/>
          <w:bCs/>
        </w:rPr>
        <w:t>T</w:t>
      </w:r>
      <w:r>
        <w:rPr>
          <w:b/>
          <w:bCs/>
          <w:sz w:val="13"/>
          <w:szCs w:val="13"/>
        </w:rPr>
        <w:t>RATAMIENTO</w:t>
      </w:r>
      <w:r>
        <w:rPr>
          <w:b/>
          <w:bCs/>
        </w:rPr>
        <w:t xml:space="preserve">: </w:t>
      </w:r>
      <w:r>
        <w:t xml:space="preserve">Es importante que la persona no participe en deportes por contacto hasta que se recupere totalmente de la mononucleosis infecciosa y no se le palpe el bazo. No se administrará ampicilina ni amoxicilina a individuos en quienes se sospeche la enfermedad mencionada porque los fármacos originarán erupciones morbiliformes no alérgicas en una elevada proporción de sujetos con mononucleosis. La administración de un ciclo breve de corticosteroides pudiera tener efecto beneficioso en los síntomas agudos, pero ante sus posibles efectos adversos habrá que destinar su uso exclusivamente a pacientes con complicaciones como la inflamación amigdalina extraordinaria con obstrucción inminente de vías respiratorias, esplenomegalia masiva, miocarditis, anemia hemolítica o síndrome hemofagocítico. La dosis de prednisona suele ser de 1 mg/kg de peso al día, ingerida (máximo, 20 mg si el niño pesa más de 10 kg), durante siete días con disminución gradual ulterior. El aciclovir posee actividad antivírica </w:t>
      </w:r>
      <w:r>
        <w:rPr>
          <w:rFonts w:ascii="Times New Roman" w:eastAsia="Times New Roman" w:hAnsi="Times New Roman" w:cs="Times New Roman"/>
          <w:i/>
          <w:iCs/>
          <w:sz w:val="16"/>
          <w:szCs w:val="16"/>
        </w:rPr>
        <w:t>in vitro</w:t>
      </w:r>
      <w:r>
        <w:t xml:space="preserve"> contra EBV, pero no ha tenido utilidad probada en los síndromes linfoproliferativos contra dicho virus. Disminuir las dosis de inmunosupresores podría ser una estrategia favorable en sujetos con linfoproliferación inducida por EBV, como el caso de los trastornos linfoproliferativos después de trasplantes.</w:t>
      </w:r>
    </w:p>
    <w:p w14:paraId="3BBF4F95"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355CE910" w14:textId="77777777" w:rsidR="00093A32" w:rsidRDefault="00093A32">
      <w:pPr>
        <w:pStyle w:val="BodyText"/>
        <w:spacing w:after="100"/>
        <w:ind w:firstLine="0"/>
      </w:pPr>
      <w:r>
        <w:rPr>
          <w:b/>
          <w:bCs/>
        </w:rPr>
        <w:t>M</w:t>
      </w:r>
      <w:r>
        <w:rPr>
          <w:b/>
          <w:bCs/>
          <w:sz w:val="13"/>
          <w:szCs w:val="13"/>
        </w:rPr>
        <w:t>EDIDAS PREVENTIVAS</w:t>
      </w:r>
      <w:r>
        <w:rPr>
          <w:b/>
          <w:bCs/>
        </w:rPr>
        <w:t xml:space="preserve">: </w:t>
      </w:r>
      <w:r>
        <w:t>Es importante que todo sujeto con el antecedente reciente de infección por EBV o un trastorno semejante al de la mononucleosis infecciosa no done sangre.</w:t>
      </w:r>
    </w:p>
    <w:p w14:paraId="4865CDCC" w14:textId="77777777" w:rsidR="00093A32" w:rsidRDefault="00093A32">
      <w:pPr>
        <w:pStyle w:val="Bodytext70"/>
        <w:spacing w:after="0"/>
      </w:pPr>
      <w:r>
        <w:t>Escabiasis</w:t>
      </w:r>
    </w:p>
    <w:p w14:paraId="0494F3CA"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(Sarna)</w:t>
      </w:r>
    </w:p>
    <w:p w14:paraId="61593657" w14:textId="77777777" w:rsidR="00093A32" w:rsidRDefault="00093A32">
      <w:pPr>
        <w:pStyle w:val="BodyText"/>
        <w:ind w:firstLine="0"/>
      </w:pPr>
      <w:r>
        <w:rPr>
          <w:b/>
          <w:bCs/>
        </w:rPr>
        <w:t>M</w:t>
      </w:r>
      <w:r>
        <w:rPr>
          <w:b/>
          <w:bCs/>
          <w:sz w:val="13"/>
          <w:szCs w:val="13"/>
        </w:rPr>
        <w:t>ANIFESTACIONES CLÍNICAS</w:t>
      </w:r>
      <w:r>
        <w:rPr>
          <w:b/>
          <w:bCs/>
        </w:rPr>
        <w:t xml:space="preserve">: </w:t>
      </w:r>
      <w:r>
        <w:t>La escabiasis o sarna se caracteriza por una erupción intensamente pruriginosa, eritematosa, y papular causada por la penetración de los ácaros hembra adultos en túneles de las capas superiores de la epidermis con lo cual se crean trayectos serpiginosos. El prurito es más intenso por la noche. En niños de mayor edad y en adultos los sitios predilectos de ataque son los pliegues interdigitales, la cara flexora de muñecas y extensora de codos, los pliegues axilares anteriores, la cintura, los muslos, el ombligo, los genitales, las areolas, el abdomen, la hendidura interglútea y los glúteos. En niños menores de dos años la erupción por lo común es vesiculosa y suele aparecer en áreas indemnes en niños de mayor edad y adultos, como sería la cabeza, el cuello, las palmas y las plantas. La erupción es causada por una reacción de hipersensibilidad a las proteínas del parásito.</w:t>
      </w:r>
    </w:p>
    <w:p w14:paraId="36869D05" w14:textId="77777777" w:rsidR="00093A32" w:rsidRDefault="00093A32">
      <w:pPr>
        <w:pStyle w:val="BodyText"/>
        <w:spacing w:line="276" w:lineRule="auto"/>
        <w:ind w:firstLine="360"/>
        <w:rPr>
          <w:sz w:val="16"/>
          <w:szCs w:val="16"/>
        </w:rPr>
      </w:pPr>
      <w:r>
        <w:t xml:space="preserve">Los clásicos túneles escabióticos tienen un aspecto grisáceo o blanquecino, son flexosos y parecen ser líneas piliformes. Las excoriaciones son frecuentes y casi todos los túneles son obliterados al rascarse el paciente antes de ser atendido por un médico. En ocasiones se identifican nódulos pardo rojizos de 2 a 5 mm, particularmente en zonas cubiertas como los genitales, la ingle y las axilas. Los nódulos mencionados constituyen una respuesta granulomatosa a los antígenos y excrementos de los ácaros muertos; dichos nódulos persisten semanas o meses después del tratamiento eficaz. La infección secundaria de la piel por bacterias surge y a veces es causada por </w:t>
      </w:r>
      <w:r>
        <w:rPr>
          <w:rFonts w:ascii="Times New Roman" w:eastAsia="Times New Roman" w:hAnsi="Times New Roman" w:cs="Times New Roman"/>
          <w:i/>
          <w:iCs/>
          <w:sz w:val="16"/>
          <w:szCs w:val="16"/>
        </w:rPr>
        <w:t>Streptococcus pyogenes</w:t>
      </w:r>
      <w:r>
        <w:t xml:space="preserve"> o </w:t>
      </w:r>
      <w:r>
        <w:rPr>
          <w:rFonts w:ascii="Times New Roman" w:eastAsia="Times New Roman" w:hAnsi="Times New Roman" w:cs="Times New Roman"/>
          <w:i/>
          <w:iCs/>
          <w:sz w:val="16"/>
          <w:szCs w:val="16"/>
        </w:rPr>
        <w:t>Staphylococcus aureus.</w:t>
      </w:r>
    </w:p>
    <w:p w14:paraId="6542947E" w14:textId="77777777" w:rsidR="00093A32" w:rsidRDefault="00093A32">
      <w:pPr>
        <w:pStyle w:val="BodyText"/>
        <w:spacing w:after="40"/>
        <w:ind w:firstLine="360"/>
      </w:pPr>
      <w:r>
        <w:t>La sarna noruega es un síndrome clínico poco común que se caracteriza por un gran número de ácaros y lesiones extensas, encostradas e hiperqueratóticas. Esta variedad de sarna aparece en personas debilitadas, con discapacidades del desarrollo o deficiencias inmunitarias.</w:t>
      </w:r>
    </w:p>
    <w:p w14:paraId="46479125" w14:textId="77777777" w:rsidR="00093A32" w:rsidRDefault="00093A32">
      <w:pPr>
        <w:pStyle w:val="BodyText"/>
        <w:ind w:firstLine="0"/>
      </w:pPr>
      <w:r>
        <w:t>frecuencia que exceda de la recomendada por el fabricante y así disminuirá el peligro de posibles efectos tóxicos en el sistema nervioso después de absorberse el fármaco por la piel. No debe utilizarse tal fármaco inmediatamente después de un baño en tina o regadera.</w:t>
      </w:r>
    </w:p>
    <w:p w14:paraId="42981D72" w14:textId="77777777" w:rsidR="00093A32" w:rsidRDefault="00093A32">
      <w:pPr>
        <w:pStyle w:val="BodyText"/>
        <w:spacing w:after="220"/>
        <w:ind w:firstLine="360"/>
      </w:pPr>
      <w:r>
        <w:t xml:space="preserve">Las lesiones escabiásicas son resultado de una reacción de hipersensibilidad al ácaro, por lo que es posible que el prurito persista durante varias semanas a pesar del tratamiento satisfactorio. Tal signo molesto puede ceder con el uso de antihistamínicos ingeribles y corticosteroides tópicos. Los antimicrobianos tópicos y sistémicos están indicados en casos de infecciones bacterianas secundarias en las lesiones excoriadas.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las que se siguen para evitar la transmisión por contacto hasta que el paciente haya sido tratado con el escabicida apropiado.</w:t>
      </w:r>
    </w:p>
    <w:p w14:paraId="60AE728F"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1F6DB11E" w14:textId="77777777" w:rsidR="00093A32" w:rsidRDefault="00093A32">
      <w:pPr>
        <w:pStyle w:val="BodyText"/>
        <w:numPr>
          <w:ilvl w:val="0"/>
          <w:numId w:val="59"/>
        </w:numPr>
        <w:tabs>
          <w:tab w:val="left" w:pos="340"/>
        </w:tabs>
        <w:ind w:left="360" w:hanging="360"/>
      </w:pPr>
      <w:bookmarkStart w:id="78" w:name="bookmark684"/>
      <w:bookmarkEnd w:id="78"/>
      <w:r>
        <w:t>Se recomienda emplear medidas profilácticas en los miembros del círculo familiar, particularmente los que han tenido contacto cutáneo directo y duradero. Las manifestaciones de la sarna pueden surgir incluso dos meses después de la exposición, y en ese lapso el paciente transmite el ácaro. Es necesario tratar a todos los miembros del círculo familiar, en la misma fecha, para evitar la reinfestación. Hay que lavar en una lavadora con agua caliente y secarla con el ciclo de calor las ropas de cama y personales que se pongan en contacto con la piel durante cuatro días antes de emprender el tratamiento. Los ácaros no sobreviven más de tres a cuatro días si pierden el contacto con la piel. Las ropas que no pueden ser lavadas deben ser separadas del cuerpo del paciente y guardadas durante varios días a una semana para evitar la reinfestación.</w:t>
      </w:r>
    </w:p>
    <w:p w14:paraId="4E308538" w14:textId="77777777" w:rsidR="00093A32" w:rsidRDefault="00093A32">
      <w:pPr>
        <w:pStyle w:val="BodyText"/>
        <w:numPr>
          <w:ilvl w:val="0"/>
          <w:numId w:val="59"/>
        </w:numPr>
        <w:tabs>
          <w:tab w:val="left" w:pos="340"/>
        </w:tabs>
        <w:ind w:left="360" w:hanging="360"/>
      </w:pPr>
      <w:bookmarkStart w:id="79" w:name="bookmark685"/>
      <w:bookmarkEnd w:id="79"/>
      <w:r>
        <w:t>Se permitirá el retorno de los menores a instituciones de cuidado infantil o a la escuela después de completar el tratamiento.</w:t>
      </w:r>
    </w:p>
    <w:p w14:paraId="36738D76" w14:textId="77777777" w:rsidR="00093A32" w:rsidRDefault="00093A32">
      <w:pPr>
        <w:pStyle w:val="BodyText"/>
        <w:numPr>
          <w:ilvl w:val="0"/>
          <w:numId w:val="59"/>
        </w:numPr>
        <w:tabs>
          <w:tab w:val="left" w:pos="340"/>
        </w:tabs>
        <w:ind w:left="360" w:hanging="360"/>
      </w:pPr>
      <w:bookmarkStart w:id="80" w:name="bookmark686"/>
      <w:bookmarkEnd w:id="80"/>
      <w:r>
        <w:t>Las epidemias y los brotes localizados obligan a veces a la institución de medidas estrictas y constantes para tratar a los contactos. Los cuidadores que han tenido contacto prolongado piel con piel de pacientes infestados se pueden beneficiar con las medidas profilácticas.</w:t>
      </w:r>
    </w:p>
    <w:p w14:paraId="0A06B2B9" w14:textId="77777777" w:rsidR="00093A32" w:rsidRDefault="00093A32">
      <w:pPr>
        <w:pStyle w:val="BodyText"/>
        <w:numPr>
          <w:ilvl w:val="0"/>
          <w:numId w:val="59"/>
        </w:numPr>
        <w:tabs>
          <w:tab w:val="left" w:pos="340"/>
        </w:tabs>
        <w:ind w:left="360" w:hanging="360"/>
      </w:pPr>
      <w:bookmarkStart w:id="81" w:name="bookmark687"/>
      <w:bookmarkEnd w:id="81"/>
      <w:r>
        <w:t>No se necesita ni se justifica la desinfestación ambiental. Se recomienda la limpieza minuciosa de las superficies del entorno con una aspiradora después que un individuo con sarna encostrada o noruega utiliza una estancia.</w:t>
      </w:r>
    </w:p>
    <w:p w14:paraId="3E03284B" w14:textId="77777777" w:rsidR="00093A32" w:rsidRDefault="00093A32">
      <w:pPr>
        <w:pStyle w:val="BodyText"/>
        <w:numPr>
          <w:ilvl w:val="0"/>
          <w:numId w:val="59"/>
        </w:numPr>
        <w:tabs>
          <w:tab w:val="left" w:pos="340"/>
        </w:tabs>
        <w:spacing w:after="100"/>
        <w:ind w:left="360" w:hanging="360"/>
      </w:pPr>
      <w:bookmarkStart w:id="82" w:name="bookmark688"/>
      <w:bookmarkEnd w:id="82"/>
      <w:r>
        <w:t>Hay que tratar de manera inmediata e intensiva a toda persona con sarna encostrada (noruega) y sus contactos cercanos para evitar brotes de la enfermedad.</w:t>
      </w:r>
    </w:p>
    <w:p w14:paraId="1A2D8ADB" w14:textId="77777777" w:rsidR="00093A32" w:rsidRDefault="00093A32">
      <w:pPr>
        <w:pStyle w:val="Bodytext70"/>
        <w:spacing w:after="0"/>
      </w:pPr>
      <w:r>
        <w:rPr>
          <w:i/>
          <w:iCs/>
        </w:rPr>
        <w:t xml:space="preserve">Escherichia coli, </w:t>
      </w:r>
      <w:r>
        <w:rPr>
          <w:i/>
          <w:iCs/>
          <w:w w:val="100"/>
        </w:rPr>
        <w:t>y</w:t>
      </w:r>
      <w:r>
        <w:t xml:space="preserve"> otros bacilos gramnegativos</w:t>
      </w:r>
    </w:p>
    <w:p w14:paraId="6034C395"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(Septicemia y meningitis en neonatos)</w:t>
      </w:r>
    </w:p>
    <w:p w14:paraId="634004AB" w14:textId="77777777" w:rsidR="00093A32" w:rsidRDefault="00093A32">
      <w:pPr>
        <w:pStyle w:val="BodyText"/>
        <w:spacing w:after="40" w:line="276" w:lineRule="auto"/>
        <w:ind w:firstLine="0"/>
        <w:sectPr w:rsidR="00093A32" w:rsidSect="00093A32">
          <w:headerReference w:type="even" r:id="rId252"/>
          <w:headerReference w:type="default" r:id="rId253"/>
          <w:footerReference w:type="even" r:id="rId254"/>
          <w:footerReference w:type="default" r:id="rId255"/>
          <w:headerReference w:type="first" r:id="rId256"/>
          <w:footerReference w:type="first" r:id="rId257"/>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Es imposible diferenciar sobre bases clínicas a la septicemia o la meningitis neonatal causadas por </w:t>
      </w:r>
      <w:r>
        <w:rPr>
          <w:rFonts w:ascii="Times New Roman" w:eastAsia="Times New Roman" w:hAnsi="Times New Roman" w:cs="Times New Roman"/>
          <w:i/>
          <w:iCs/>
          <w:sz w:val="16"/>
          <w:szCs w:val="16"/>
        </w:rPr>
        <w:t>Escherichia coli</w:t>
      </w:r>
      <w:r>
        <w:t xml:space="preserve"> y otros bacilos gramnegativos, de infecciones graves causadas por otros agentes infecciosos. Los primeros signos de sepsis tal vez sean sutiles y semejantes a los observados en cuadros no infecciosos. Los signos clínicos de septicemia incluyen fiebre, inestabilidad térmica, “gruñidos” respiratorios, apnea, cianosis, letargia, irritabilidad, anorexia, vómitos, ictericia, hepatomegalia, distensión abdominal y diarrea. La meningitis puede aparecer sin signos manifiestos que sugieran ataque del sistema nervioso central. Algunos bacilos gramnegativos, como </w:t>
      </w:r>
      <w:r>
        <w:rPr>
          <w:rFonts w:ascii="Times New Roman" w:eastAsia="Times New Roman" w:hAnsi="Times New Roman" w:cs="Times New Roman"/>
          <w:i/>
          <w:iCs/>
          <w:sz w:val="16"/>
          <w:szCs w:val="16"/>
        </w:rPr>
        <w:t>Citrobacter koseri, Enterobacter sakazakii</w:t>
      </w:r>
      <w:r>
        <w:t xml:space="preserve"> y </w:t>
      </w:r>
      <w:r>
        <w:rPr>
          <w:rFonts w:ascii="Times New Roman" w:eastAsia="Times New Roman" w:hAnsi="Times New Roman" w:cs="Times New Roman"/>
          <w:i/>
          <w:iCs/>
          <w:sz w:val="16"/>
          <w:szCs w:val="16"/>
        </w:rPr>
        <w:t>Serratia marcescens</w:t>
      </w:r>
      <w:r>
        <w:t xml:space="preserve"> pueden ocasionar abscesos encefálicos en lactantes con meningitis causada por dichos microorganismos.</w:t>
      </w:r>
    </w:p>
    <w:p w14:paraId="29FFF049" w14:textId="77777777" w:rsidR="00093A32" w:rsidRDefault="00093A32">
      <w:pPr>
        <w:pStyle w:val="BodyText"/>
        <w:spacing w:line="276" w:lineRule="auto"/>
        <w:ind w:firstLine="0"/>
      </w:pPr>
      <w:r>
        <w:rPr>
          <w:b/>
          <w:bCs/>
        </w:rPr>
        <w:t>C</w:t>
      </w:r>
      <w:r>
        <w:rPr>
          <w:b/>
          <w:bCs/>
          <w:sz w:val="13"/>
          <w:szCs w:val="13"/>
        </w:rPr>
        <w:t>AUSAS</w:t>
      </w:r>
      <w:r>
        <w:rPr>
          <w:b/>
          <w:bCs/>
        </w:rPr>
        <w:t xml:space="preserve">: </w:t>
      </w:r>
      <w:r>
        <w:t xml:space="preserve">Las cepas de </w:t>
      </w:r>
      <w:r>
        <w:rPr>
          <w:rFonts w:ascii="Times New Roman" w:eastAsia="Times New Roman" w:hAnsi="Times New Roman" w:cs="Times New Roman"/>
          <w:i/>
          <w:iCs/>
          <w:sz w:val="16"/>
          <w:szCs w:val="16"/>
        </w:rPr>
        <w:t>Escherichia coli</w:t>
      </w:r>
      <w:r>
        <w:t xml:space="preserve"> con el antígeno polisacárido capsular K1 ocasionan en promedio 40% de los casos de septicemia y 80% de los de meningitis ocasionada por tal microorganismo. Otros bacilos gramnegativos importantes que causan septicemia neonatal incluyen cepas de </w:t>
      </w:r>
      <w:r>
        <w:rPr>
          <w:rFonts w:ascii="Times New Roman" w:eastAsia="Times New Roman" w:hAnsi="Times New Roman" w:cs="Times New Roman"/>
          <w:i/>
          <w:iCs/>
          <w:sz w:val="16"/>
          <w:szCs w:val="16"/>
        </w:rPr>
        <w:t>E. coli</w:t>
      </w:r>
      <w:r>
        <w:t xml:space="preserve"> (que no son del tipo K1), </w:t>
      </w:r>
      <w:r>
        <w:rPr>
          <w:rFonts w:ascii="Times New Roman" w:eastAsia="Times New Roman" w:hAnsi="Times New Roman" w:cs="Times New Roman"/>
          <w:i/>
          <w:iCs/>
          <w:sz w:val="16"/>
          <w:szCs w:val="16"/>
        </w:rPr>
        <w:t>Klebsiella, Enterobacter, Proteus, Citrobacter, Salmonella, Pseudomonas</w:t>
      </w:r>
      <w:r>
        <w:t xml:space="preserve"> y especies de </w:t>
      </w:r>
      <w:r>
        <w:rPr>
          <w:rFonts w:ascii="Times New Roman" w:eastAsia="Times New Roman" w:hAnsi="Times New Roman" w:cs="Times New Roman"/>
          <w:i/>
          <w:iCs/>
          <w:sz w:val="16"/>
          <w:szCs w:val="16"/>
        </w:rPr>
        <w:t>Serratia</w:t>
      </w:r>
      <w:r>
        <w:rPr>
          <w:i/>
          <w:iCs/>
        </w:rPr>
        <w:t>.</w:t>
      </w:r>
      <w:r>
        <w:t xml:space="preserve"> Otros patógenos que rara vez ocasionan trastornos son las cepas no encapsuladas de </w:t>
      </w:r>
      <w:r>
        <w:rPr>
          <w:rFonts w:ascii="Times New Roman" w:eastAsia="Times New Roman" w:hAnsi="Times New Roman" w:cs="Times New Roman"/>
          <w:i/>
          <w:iCs/>
          <w:sz w:val="16"/>
          <w:szCs w:val="16"/>
        </w:rPr>
        <w:t>Haemophilus influenzae; Streptococcus pneumoniae;</w:t>
      </w:r>
      <w:r>
        <w:t xml:space="preserve"> estreptococos de los grupos A, C o G; </w:t>
      </w:r>
      <w:r>
        <w:rPr>
          <w:rFonts w:ascii="Times New Roman" w:eastAsia="Times New Roman" w:hAnsi="Times New Roman" w:cs="Times New Roman"/>
          <w:i/>
          <w:iCs/>
          <w:sz w:val="16"/>
          <w:szCs w:val="16"/>
        </w:rPr>
        <w:t>Neisseria meningitidis</w:t>
      </w:r>
      <w:r>
        <w:t xml:space="preserve"> y bacilos gramnegativos anaerobios.</w:t>
      </w:r>
    </w:p>
    <w:p w14:paraId="5AB1E407"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El punto del origen de </w:t>
      </w:r>
      <w:r>
        <w:rPr>
          <w:rFonts w:ascii="Times New Roman" w:eastAsia="Times New Roman" w:hAnsi="Times New Roman" w:cs="Times New Roman"/>
          <w:i/>
          <w:iCs/>
          <w:sz w:val="16"/>
          <w:szCs w:val="16"/>
        </w:rPr>
        <w:t>E. coli</w:t>
      </w:r>
      <w:r>
        <w:t xml:space="preserve"> y otros patógenos bacterianos gramnegativos en las infecciones neonatales son las vías genitales de la mujer. Además, se ha corroborado el contagio nosocomial de gérmenes gramnegativos por transmisión de una persona a otra en personal de enfermería y salas de cuna, y de sitios del entorno como fregaderos, soluciones para usos múltiples y contratapas, especialmente en productos pretérmino que necesitan medidas de cuidados intensivos por tiempo prolongado. Entre los factores predisponentes en las infecciones neonatales por bacterias gramnegativas están la infección de la parturienta durante el parto, gestación menor de 37 semanas, bajo peso neonatal, rotura duradera de membranas y parto traumático. Se ha dicho que a veces intervienen anormalidades metabólicas, como galactosemia, hipoxia y acidosis fetales, que constituyen factores predisponentes. Los neonatos con defectos en la integridad de piel o mucosas (como serían los que tienen mielomeningocele), están expuestos a un mayor peligro de mostrar infecciones por bacterias gramnegativas. En unidades de cuidados intensivos de neonatos, los sistemas complejos de apoyo respiratorio metabólico, las técnicas invasoras o quirúrgicas, la colocación permanente de catéteres en vasos y el empleo frecuente de antimicrobianos, permite la proliferación “selectiva” de cepas de bacilos gramnegativos patógenos resistentes a múltiples antimicrobianos.</w:t>
      </w:r>
    </w:p>
    <w:p w14:paraId="7585D3A1" w14:textId="77777777" w:rsidR="00093A32" w:rsidRDefault="00093A32">
      <w:pPr>
        <w:pStyle w:val="BodyText"/>
        <w:ind w:firstLine="360"/>
      </w:pPr>
      <w:r>
        <w:t>El periodo de incubación es muy variable; el lapso que media hasta el comienzo de la infección varía del nacimiento a varias semanas después del mismo, o un lapso mayor en productos de bajísimo peso, pretérmino.</w:t>
      </w:r>
    </w:p>
    <w:p w14:paraId="2A14C7B1" w14:textId="77777777" w:rsidR="00093A32" w:rsidRDefault="00093A32">
      <w:pPr>
        <w:pStyle w:val="BodyText"/>
        <w:spacing w:after="220"/>
        <w:ind w:firstLine="0"/>
      </w:pPr>
      <w:r>
        <w:rPr>
          <w:b/>
          <w:bCs/>
        </w:rPr>
        <w:t>M</w:t>
      </w:r>
      <w:r>
        <w:rPr>
          <w:b/>
          <w:bCs/>
          <w:sz w:val="13"/>
          <w:szCs w:val="13"/>
        </w:rPr>
        <w:t>ÉTODOS DIAGNÓSTICOS</w:t>
      </w:r>
      <w:r>
        <w:rPr>
          <w:b/>
          <w:bCs/>
        </w:rPr>
        <w:t xml:space="preserve">: </w:t>
      </w:r>
      <w:r>
        <w:t xml:space="preserve">El diagnóstico se confirma cuando prolifera </w:t>
      </w:r>
      <w:r>
        <w:rPr>
          <w:rFonts w:ascii="Times New Roman" w:eastAsia="Times New Roman" w:hAnsi="Times New Roman" w:cs="Times New Roman"/>
          <w:i/>
          <w:iCs/>
          <w:sz w:val="16"/>
          <w:szCs w:val="16"/>
        </w:rPr>
        <w:t>E. coli</w:t>
      </w:r>
      <w:r>
        <w:t xml:space="preserve"> u otros bacilos gramnegativos, obtenidos de sangre, líquido cefalorraquídeo o sitios por lo demás estériles.</w:t>
      </w:r>
    </w:p>
    <w:p w14:paraId="7A3DA30B"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smallCaps/>
          <w:sz w:val="20"/>
          <w:szCs w:val="20"/>
        </w:rPr>
        <w:t>:</w:t>
      </w:r>
    </w:p>
    <w:p w14:paraId="29A4E3B8" w14:textId="77777777" w:rsidR="00093A32" w:rsidRDefault="00093A32">
      <w:pPr>
        <w:pStyle w:val="BodyText"/>
        <w:numPr>
          <w:ilvl w:val="0"/>
          <w:numId w:val="59"/>
        </w:numPr>
        <w:tabs>
          <w:tab w:val="left" w:pos="338"/>
        </w:tabs>
        <w:ind w:left="360" w:hanging="360"/>
      </w:pPr>
      <w:bookmarkStart w:id="83" w:name="bookmark689"/>
      <w:bookmarkEnd w:id="83"/>
      <w:r>
        <w:t xml:space="preserve">El tratamiento empírico inicial en casos de sospecha de septicemia o meningitis bacteriana en los neonatos incluye ampicilina y un aminoglucósido. Puede recurrirse a otro régimen con ampicilina y una cefalosporina de espectro expandido (como la cefotaxima), pero si se les utiliza sistemáticamente pueden aparecer rápidamente cepas resistentes a la cefalosporina, y en particular especies de </w:t>
      </w:r>
      <w:r>
        <w:rPr>
          <w:rFonts w:ascii="Times New Roman" w:eastAsia="Times New Roman" w:hAnsi="Times New Roman" w:cs="Times New Roman"/>
          <w:i/>
          <w:iCs/>
          <w:sz w:val="16"/>
          <w:szCs w:val="16"/>
        </w:rPr>
        <w:t>Enterobacter cloacae</w:t>
      </w:r>
      <w:r>
        <w:t xml:space="preserve"> y </w:t>
      </w:r>
      <w:r>
        <w:rPr>
          <w:rFonts w:ascii="Times New Roman" w:eastAsia="Times New Roman" w:hAnsi="Times New Roman" w:cs="Times New Roman"/>
          <w:i/>
          <w:iCs/>
          <w:sz w:val="16"/>
          <w:szCs w:val="16"/>
        </w:rPr>
        <w:t>Klebsiella</w:t>
      </w:r>
      <w:r>
        <w:t xml:space="preserve"> y </w:t>
      </w:r>
      <w:r>
        <w:rPr>
          <w:rFonts w:ascii="Times New Roman" w:eastAsia="Times New Roman" w:hAnsi="Times New Roman" w:cs="Times New Roman"/>
          <w:i/>
          <w:iCs/>
          <w:sz w:val="16"/>
          <w:szCs w:val="16"/>
        </w:rPr>
        <w:t>Serratia</w:t>
      </w:r>
      <w:r>
        <w:rPr>
          <w:i/>
          <w:iCs/>
        </w:rPr>
        <w:t>.</w:t>
      </w:r>
      <w:r>
        <w:t xml:space="preserve"> Por tal razón no se recomienda el uso sistemático de una cefalosporina de espectro expandido, salvo que se sospeche decididamente que existe meningitis bacteriana por gramnegativos.</w:t>
      </w:r>
    </w:p>
    <w:p w14:paraId="35C0D419" w14:textId="77777777" w:rsidR="00093A32" w:rsidRDefault="00093A32">
      <w:pPr>
        <w:pStyle w:val="BodyText"/>
        <w:numPr>
          <w:ilvl w:val="0"/>
          <w:numId w:val="59"/>
        </w:numPr>
        <w:tabs>
          <w:tab w:val="left" w:pos="338"/>
        </w:tabs>
        <w:ind w:left="360" w:hanging="360"/>
      </w:pPr>
      <w:bookmarkStart w:id="84" w:name="bookmark690"/>
      <w:bookmarkEnd w:id="84"/>
      <w:r>
        <w:t xml:space="preserve">Una vez que se identifique el agente causal y su perfil de susceptibilidad a antimicrobianos </w:t>
      </w:r>
      <w:r>
        <w:rPr>
          <w:rFonts w:ascii="Times New Roman" w:eastAsia="Times New Roman" w:hAnsi="Times New Roman" w:cs="Times New Roman"/>
          <w:i/>
          <w:iCs/>
          <w:sz w:val="16"/>
          <w:szCs w:val="16"/>
        </w:rPr>
        <w:t>in vitro</w:t>
      </w:r>
      <w:r>
        <w:t xml:space="preserve">, las infecciones no meníngeas deben ser tratadas con ampicilina, un aminoglucósido apropiado o una cefalosporina de espectro expandido (como la cefotaxima). Muchos expertos tratarían las infecciones no meníngeas causadas por especies de </w:t>
      </w:r>
      <w:r>
        <w:rPr>
          <w:rFonts w:ascii="Times New Roman" w:eastAsia="Times New Roman" w:hAnsi="Times New Roman" w:cs="Times New Roman"/>
          <w:i/>
          <w:iCs/>
          <w:sz w:val="16"/>
          <w:szCs w:val="16"/>
        </w:rPr>
        <w:t>Enterobacter, Serratia</w:t>
      </w:r>
      <w:r>
        <w:t xml:space="preserve"> o </w:t>
      </w:r>
      <w:r>
        <w:rPr>
          <w:rFonts w:ascii="Times New Roman" w:eastAsia="Times New Roman" w:hAnsi="Times New Roman" w:cs="Times New Roman"/>
          <w:i/>
          <w:iCs/>
          <w:sz w:val="16"/>
          <w:szCs w:val="16"/>
        </w:rPr>
        <w:t>Pseudomonas</w:t>
      </w:r>
      <w:r>
        <w:t xml:space="preserve"> y otros bacilos menos comunes gramnegativos, con algún antimicrobiano lactámico beta y un aminoglucósido. La meningitis generalmente se trata con ampicilina o una cefalosporina de espectro expandido en combinación con un aminoglucósido. Puede ser conveniente el consejo experto de un infectólogo para tratar la meningitis.</w:t>
      </w:r>
    </w:p>
    <w:p w14:paraId="41959D25" w14:textId="77777777" w:rsidR="00093A32" w:rsidRDefault="00093A32">
      <w:pPr>
        <w:pStyle w:val="BodyText"/>
        <w:numPr>
          <w:ilvl w:val="0"/>
          <w:numId w:val="59"/>
        </w:numPr>
        <w:tabs>
          <w:tab w:val="left" w:pos="337"/>
        </w:tabs>
        <w:ind w:left="360" w:hanging="360"/>
      </w:pPr>
      <w:bookmarkStart w:id="85" w:name="bookmark691"/>
      <w:bookmarkEnd w:id="85"/>
      <w:r>
        <w:t>La duración del tratamiento se basa en la respuesta clínica y bacteriológica del enfermo, así como en los sitios de la infección; la duración usual de la terapia en caso de septicemia no complicada es de 10 a 14 días, y en el caso de la meningitis, un lapso mínimo de 21 días.</w:t>
      </w:r>
    </w:p>
    <w:p w14:paraId="23BA7B05" w14:textId="77777777" w:rsidR="00093A32" w:rsidRDefault="00093A32">
      <w:pPr>
        <w:pStyle w:val="BodyText"/>
        <w:numPr>
          <w:ilvl w:val="0"/>
          <w:numId w:val="59"/>
        </w:numPr>
        <w:tabs>
          <w:tab w:val="left" w:pos="337"/>
        </w:tabs>
        <w:spacing w:line="283" w:lineRule="auto"/>
        <w:ind w:left="360" w:hanging="360"/>
      </w:pPr>
      <w:bookmarkStart w:id="86" w:name="bookmark692"/>
      <w:bookmarkEnd w:id="86"/>
      <w:r>
        <w:t xml:space="preserve">No se ha definido la utilidad terapéutica de un concentrado inmunoglobulínico o de otras terapias complementarias en la septicemia o la meningitis causada por </w:t>
      </w:r>
      <w:r>
        <w:rPr>
          <w:rFonts w:ascii="Times New Roman" w:eastAsia="Times New Roman" w:hAnsi="Times New Roman" w:cs="Times New Roman"/>
          <w:i/>
          <w:iCs/>
          <w:sz w:val="16"/>
          <w:szCs w:val="16"/>
        </w:rPr>
        <w:t>E. coli</w:t>
      </w:r>
      <w:r>
        <w:t xml:space="preserve"> u otros gérmenes gramnegativos.</w:t>
      </w:r>
    </w:p>
    <w:p w14:paraId="440E3BD8" w14:textId="77777777" w:rsidR="00093A32" w:rsidRDefault="00093A32">
      <w:pPr>
        <w:pStyle w:val="BodyText"/>
        <w:numPr>
          <w:ilvl w:val="0"/>
          <w:numId w:val="59"/>
        </w:numPr>
        <w:tabs>
          <w:tab w:val="left" w:pos="337"/>
        </w:tabs>
        <w:spacing w:after="240"/>
        <w:ind w:left="360" w:hanging="360"/>
      </w:pPr>
      <w:bookmarkStart w:id="87" w:name="bookmark693"/>
      <w:bookmarkEnd w:id="87"/>
      <w:r>
        <w:t>Todo lactante con meningitis debe ser sometido a revisiones de vigilancia cuidadosas, que incluyen métodos para valorar pérdida auditiva y anormalidades del sistema nervioso.</w:t>
      </w:r>
    </w:p>
    <w:p w14:paraId="711A9CD1" w14:textId="77777777" w:rsidR="00093A32" w:rsidRDefault="00093A32">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Entre las excepciones estarían las epidemias en la salas de cuna, los casos de lactantes con infección por </w:t>
      </w:r>
      <w:r>
        <w:rPr>
          <w:rFonts w:ascii="Times New Roman" w:eastAsia="Times New Roman" w:hAnsi="Times New Roman" w:cs="Times New Roman"/>
          <w:i/>
          <w:iCs/>
          <w:sz w:val="16"/>
          <w:szCs w:val="16"/>
        </w:rPr>
        <w:t>Salmonella</w:t>
      </w:r>
      <w:r>
        <w:t xml:space="preserve"> y pequeños con infección causada por bacilos gramnegativos, resistentes a múltiples antimicrobianos; en dichas situaciones están indicadas las precauciones para evitar la transmisión por contacto, además de las estándar.</w:t>
      </w:r>
    </w:p>
    <w:p w14:paraId="24FEE57B"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El médico que dirige la sala de cunas y el personal de infectología deben identificar los patógenos que causan infecciones en lactantes y en las personas que los atienden para así reconocer los “grupos” de infecciones e investigarlos apropiadamente. Los casos de infecciones originados por el mismo género y especie de bacterias que atacan a lactantes en gran cercanía u originados por un patógeno poco común denotan la necesidad de emprender un estudio epidemiológico (véase “Control infectológico de niños hospitalizados”, sección 2). Se pueden obtener datos epidemiológicos y terapéuticos útiles con la revisión periódica de los perfiles de susceptibilidad a antimicrobianos </w:t>
      </w:r>
      <w:r>
        <w:rPr>
          <w:rFonts w:ascii="Times New Roman" w:eastAsia="Times New Roman" w:hAnsi="Times New Roman" w:cs="Times New Roman"/>
          <w:i/>
          <w:iCs/>
          <w:sz w:val="16"/>
          <w:szCs w:val="16"/>
        </w:rPr>
        <w:t>in vitro</w:t>
      </w:r>
      <w:r>
        <w:t xml:space="preserve"> (antibioticogramas) de bacterias clínicamente importantes aisladas de neonatos, en particular los que son atendidos en la sala de cuidados intensivos.</w:t>
      </w:r>
    </w:p>
    <w:p w14:paraId="61B6545B" w14:textId="77777777" w:rsidR="00093A32" w:rsidRDefault="00093A32">
      <w:pPr>
        <w:pStyle w:val="Bodytext70"/>
        <w:spacing w:after="0"/>
      </w:pPr>
      <w:r>
        <w:rPr>
          <w:i/>
          <w:iCs/>
        </w:rPr>
        <w:t>Escherichia coli,</w:t>
      </w:r>
      <w:r>
        <w:t xml:space="preserve"> diarrea</w:t>
      </w:r>
    </w:p>
    <w:p w14:paraId="2ACF1B80" w14:textId="77777777" w:rsidR="00093A32" w:rsidRDefault="00093A32">
      <w:pPr>
        <w:pStyle w:val="Other0"/>
        <w:spacing w:after="240" w:line="240" w:lineRule="auto"/>
        <w:ind w:firstLine="0"/>
        <w:rPr>
          <w:sz w:val="20"/>
          <w:szCs w:val="20"/>
        </w:rPr>
      </w:pPr>
      <w:r>
        <w:rPr>
          <w:rFonts w:ascii="Arial" w:eastAsia="Arial" w:hAnsi="Arial" w:cs="Arial"/>
          <w:b/>
          <w:bCs/>
          <w:w w:val="70"/>
          <w:sz w:val="20"/>
          <w:szCs w:val="20"/>
        </w:rPr>
        <w:t>(Incluido el síndrome hemolítico-urémico)</w:t>
      </w:r>
    </w:p>
    <w:p w14:paraId="665EBB50" w14:textId="77777777" w:rsidR="00093A32" w:rsidRDefault="00093A32">
      <w:pPr>
        <w:pStyle w:val="BodyText"/>
        <w:spacing w:line="283" w:lineRule="auto"/>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Se han identificado como mínimo cinco tipos de cepas de </w:t>
      </w:r>
      <w:r>
        <w:rPr>
          <w:rFonts w:ascii="Times New Roman" w:eastAsia="Times New Roman" w:hAnsi="Times New Roman" w:cs="Times New Roman"/>
          <w:i/>
          <w:iCs/>
          <w:sz w:val="16"/>
          <w:szCs w:val="16"/>
        </w:rPr>
        <w:t>Escherichia coli</w:t>
      </w:r>
      <w:r>
        <w:t xml:space="preserve"> productoras de diarrea. Los signos clínicos de enfermedad causados por cada tipo patológico se resumen en líneas siguientes (véase también cuadro 3-11):</w:t>
      </w:r>
    </w:p>
    <w:p w14:paraId="5B44E6A5" w14:textId="77777777" w:rsidR="00093A32" w:rsidRDefault="00093A32">
      <w:pPr>
        <w:pStyle w:val="BodyText"/>
        <w:numPr>
          <w:ilvl w:val="0"/>
          <w:numId w:val="59"/>
        </w:numPr>
        <w:tabs>
          <w:tab w:val="left" w:pos="337"/>
        </w:tabs>
        <w:ind w:left="360" w:hanging="360"/>
      </w:pPr>
      <w:bookmarkStart w:id="88" w:name="bookmark694"/>
      <w:bookmarkEnd w:id="88"/>
      <w:r>
        <w:t xml:space="preserve">Las cepas de </w:t>
      </w:r>
      <w:r>
        <w:rPr>
          <w:rFonts w:ascii="Times New Roman" w:eastAsia="Times New Roman" w:hAnsi="Times New Roman" w:cs="Times New Roman"/>
          <w:i/>
          <w:iCs/>
          <w:sz w:val="16"/>
          <w:szCs w:val="16"/>
        </w:rPr>
        <w:t>E. coli</w:t>
      </w:r>
      <w:r>
        <w:t xml:space="preserve"> productoras de toxina shiga (shiga toxin-producing </w:t>
      </w:r>
      <w:r>
        <w:rPr>
          <w:rFonts w:ascii="Times New Roman" w:eastAsia="Times New Roman" w:hAnsi="Times New Roman" w:cs="Times New Roman"/>
          <w:i/>
          <w:iCs/>
          <w:sz w:val="16"/>
          <w:szCs w:val="16"/>
        </w:rPr>
        <w:t xml:space="preserve">E. coli, </w:t>
      </w:r>
      <w:r>
        <w:t xml:space="preserve">STEC) conocidas en épocas pasadas como </w:t>
      </w:r>
      <w:r>
        <w:rPr>
          <w:rFonts w:ascii="Times New Roman" w:eastAsia="Times New Roman" w:hAnsi="Times New Roman" w:cs="Times New Roman"/>
          <w:i/>
          <w:iCs/>
          <w:sz w:val="16"/>
          <w:szCs w:val="16"/>
        </w:rPr>
        <w:t>E. coli</w:t>
      </w:r>
      <w:r>
        <w:t xml:space="preserve"> enterohemorrágica o </w:t>
      </w:r>
      <w:r>
        <w:rPr>
          <w:rFonts w:ascii="Times New Roman" w:eastAsia="Times New Roman" w:hAnsi="Times New Roman" w:cs="Times New Roman"/>
          <w:i/>
          <w:iCs/>
          <w:sz w:val="16"/>
          <w:szCs w:val="16"/>
        </w:rPr>
        <w:t xml:space="preserve">E. coli </w:t>
      </w:r>
      <w:r>
        <w:t xml:space="preserve">productora de verotoxina, han originado diarrea, colitis hemorrágica, síndrome hemolítico-urémico </w:t>
      </w:r>
      <w:r>
        <w:rPr>
          <w:i/>
          <w:iCs/>
        </w:rPr>
        <w:t>(</w:t>
      </w:r>
      <w:r>
        <w:rPr>
          <w:rFonts w:ascii="Times New Roman" w:eastAsia="Times New Roman" w:hAnsi="Times New Roman" w:cs="Times New Roman"/>
          <w:i/>
          <w:iCs/>
          <w:sz w:val="16"/>
          <w:szCs w:val="16"/>
        </w:rPr>
        <w:t>hemolytic-uremic syndrome</w:t>
      </w:r>
      <w:r>
        <w:rPr>
          <w:i/>
          <w:iCs/>
        </w:rPr>
        <w:t>,</w:t>
      </w:r>
      <w:r>
        <w:t xml:space="preserve"> HUS) y púrpura trombocitopénica trombótica </w:t>
      </w:r>
      <w:r>
        <w:rPr>
          <w:i/>
          <w:iCs/>
        </w:rPr>
        <w:t>(</w:t>
      </w:r>
      <w:r>
        <w:rPr>
          <w:rFonts w:ascii="Times New Roman" w:eastAsia="Times New Roman" w:hAnsi="Times New Roman" w:cs="Times New Roman"/>
          <w:i/>
          <w:iCs/>
          <w:sz w:val="16"/>
          <w:szCs w:val="16"/>
        </w:rPr>
        <w:t>thrombotic thrombocytopenic purpura</w:t>
      </w:r>
      <w:r>
        <w:rPr>
          <w:i/>
          <w:iCs/>
        </w:rPr>
        <w:t>,</w:t>
      </w:r>
      <w:r>
        <w:t xml:space="preserve"> TTP) después de diarrea. El prototipo es </w:t>
      </w:r>
      <w:r>
        <w:rPr>
          <w:rFonts w:ascii="Times New Roman" w:eastAsia="Times New Roman" w:hAnsi="Times New Roman" w:cs="Times New Roman"/>
          <w:i/>
          <w:iCs/>
          <w:sz w:val="16"/>
          <w:szCs w:val="16"/>
        </w:rPr>
        <w:t>E. coli</w:t>
      </w:r>
      <w:r>
        <w:t xml:space="preserve"> O157:H7 productora de toxinas shiga, y es el miembro más virulento de este tipo patológico del microorganismo. El trastorno originado por STEC generalmente comienza con diarrea no sanguinolenta hasta evolucionar a la diarrea con sangre visible u oculta. En forma beta y un aminoglucósido. La meningitis generalmente se trata con ampicilina o una cefalosporina de espectro expandido en combinación con un aminoglucósido. Puede ser conveniente el consejo experto de un infectólogo para tratar la meningitis.</w:t>
      </w:r>
    </w:p>
    <w:p w14:paraId="7D512812" w14:textId="77777777" w:rsidR="00093A32" w:rsidRDefault="00093A32">
      <w:pPr>
        <w:pStyle w:val="BodyText"/>
        <w:numPr>
          <w:ilvl w:val="0"/>
          <w:numId w:val="59"/>
        </w:numPr>
        <w:tabs>
          <w:tab w:val="left" w:pos="337"/>
        </w:tabs>
        <w:ind w:left="360" w:hanging="360"/>
      </w:pPr>
      <w:bookmarkStart w:id="89" w:name="bookmark695"/>
      <w:bookmarkEnd w:id="89"/>
      <w:r>
        <w:t>La duración del tratamiento se basa en la respuesta clínica y bacteriológica del enfermo, así como en los sitios de la infección; la duración usual de la terapia en caso de septicemia no complicada es de 10 a 14 días, y en el caso de la meningitis, un lapso mínimo de 21 días.</w:t>
      </w:r>
    </w:p>
    <w:p w14:paraId="2D7B3C77" w14:textId="77777777" w:rsidR="00093A32" w:rsidRDefault="00093A32">
      <w:pPr>
        <w:pStyle w:val="BodyText"/>
        <w:numPr>
          <w:ilvl w:val="0"/>
          <w:numId w:val="59"/>
        </w:numPr>
        <w:tabs>
          <w:tab w:val="left" w:pos="337"/>
        </w:tabs>
        <w:spacing w:line="283" w:lineRule="auto"/>
        <w:ind w:left="360" w:hanging="360"/>
      </w:pPr>
      <w:bookmarkStart w:id="90" w:name="bookmark696"/>
      <w:bookmarkEnd w:id="90"/>
      <w:r>
        <w:t xml:space="preserve">No se ha definido la utilidad terapéutica de un concentrado inmunoglobulínico o de otras terapias complementarias en la septicemia o la meningitis causada por </w:t>
      </w:r>
      <w:r>
        <w:rPr>
          <w:rFonts w:ascii="Times New Roman" w:eastAsia="Times New Roman" w:hAnsi="Times New Roman" w:cs="Times New Roman"/>
          <w:i/>
          <w:iCs/>
          <w:sz w:val="16"/>
          <w:szCs w:val="16"/>
        </w:rPr>
        <w:t>E. coli</w:t>
      </w:r>
      <w:r>
        <w:t xml:space="preserve"> u otros gérmenes gramnegativos.</w:t>
      </w:r>
    </w:p>
    <w:p w14:paraId="6BCB79DE" w14:textId="77777777" w:rsidR="00093A32" w:rsidRDefault="00093A32">
      <w:pPr>
        <w:pStyle w:val="BodyText"/>
        <w:numPr>
          <w:ilvl w:val="0"/>
          <w:numId w:val="59"/>
        </w:numPr>
        <w:tabs>
          <w:tab w:val="left" w:pos="337"/>
        </w:tabs>
        <w:spacing w:after="240"/>
        <w:ind w:left="360" w:hanging="360"/>
      </w:pPr>
      <w:bookmarkStart w:id="91" w:name="bookmark697"/>
      <w:bookmarkEnd w:id="91"/>
      <w:r>
        <w:t>Todo lactante con meningitis debe ser sometido a revisiones de vigilancia cuidadosas, que incluyen métodos para valorar pérdida auditiva y anormalidades del sistema nervioso.</w:t>
      </w:r>
    </w:p>
    <w:p w14:paraId="780F3547" w14:textId="77777777" w:rsidR="00093A32" w:rsidRDefault="00093A32">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Entre las excepciones estarían las epidemias en la salas de cuna, los casos de lactantes con infección por </w:t>
      </w:r>
      <w:r>
        <w:rPr>
          <w:rFonts w:ascii="Times New Roman" w:eastAsia="Times New Roman" w:hAnsi="Times New Roman" w:cs="Times New Roman"/>
          <w:i/>
          <w:iCs/>
          <w:sz w:val="16"/>
          <w:szCs w:val="16"/>
        </w:rPr>
        <w:t>Salmonella</w:t>
      </w:r>
      <w:r>
        <w:t xml:space="preserve"> y pequeños con infección causada por bacilos gramnegativos, resistentes a múltiples antimicrobianos; en dichas situaciones están indicadas las precauciones para evitar la transmisión por contacto, además de las estándar.</w:t>
      </w:r>
    </w:p>
    <w:p w14:paraId="7A7BD9E7"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El médico que dirige la sala de cunas y el personal de infectología deben identificar los patógenos que causan infecciones en lactantes y en las personas que los atienden para así reconocer los “grupos” de infecciones e investigarlos apropiadamente. Los casos de infecciones originados por el mismo género y especie de bacterias que atacan a lactantes en gran cercanía u originados por un patógeno poco común denotan la necesidad de emprender un estudio epidemiológico (véase “Control infectológico de niños hospitalizados”, sección 2). Se pueden obtener datos epidemiológicos y terapéuticos útiles con la revisión periódica de los perfiles de susceptibilidad a antimicrobianos </w:t>
      </w:r>
      <w:r>
        <w:rPr>
          <w:rFonts w:ascii="Times New Roman" w:eastAsia="Times New Roman" w:hAnsi="Times New Roman" w:cs="Times New Roman"/>
          <w:i/>
          <w:iCs/>
          <w:sz w:val="16"/>
          <w:szCs w:val="16"/>
        </w:rPr>
        <w:t>in vitro</w:t>
      </w:r>
      <w:r>
        <w:t xml:space="preserve"> (antibioticogramas) de bacterias clínicamente importantes aisladas de neonatos, en particular los que son atendidos en la sala de cuidados intensivos.</w:t>
      </w:r>
    </w:p>
    <w:p w14:paraId="7C636F85" w14:textId="77777777" w:rsidR="00093A32" w:rsidRDefault="00093A32">
      <w:pPr>
        <w:pStyle w:val="Bodytext70"/>
        <w:spacing w:after="0"/>
      </w:pPr>
      <w:r>
        <w:rPr>
          <w:i/>
          <w:iCs/>
        </w:rPr>
        <w:t>Escherichia coli,</w:t>
      </w:r>
      <w:r>
        <w:t xml:space="preserve"> diarrea</w:t>
      </w:r>
    </w:p>
    <w:p w14:paraId="0DBA4438" w14:textId="77777777" w:rsidR="00093A32" w:rsidRDefault="00093A32">
      <w:pPr>
        <w:pStyle w:val="Other0"/>
        <w:spacing w:after="240" w:line="240" w:lineRule="auto"/>
        <w:ind w:firstLine="0"/>
        <w:rPr>
          <w:sz w:val="20"/>
          <w:szCs w:val="20"/>
        </w:rPr>
      </w:pPr>
      <w:r>
        <w:rPr>
          <w:rFonts w:ascii="Arial" w:eastAsia="Arial" w:hAnsi="Arial" w:cs="Arial"/>
          <w:b/>
          <w:bCs/>
          <w:w w:val="70"/>
          <w:sz w:val="20"/>
          <w:szCs w:val="20"/>
        </w:rPr>
        <w:t>(Incluido el síndrome hemolítico-urémico)</w:t>
      </w:r>
    </w:p>
    <w:p w14:paraId="3DD7D868" w14:textId="77777777" w:rsidR="00093A32" w:rsidRDefault="00093A32">
      <w:pPr>
        <w:pStyle w:val="BodyText"/>
        <w:spacing w:line="283" w:lineRule="auto"/>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Se han identificado como mínimo cinco tipos de cepas de </w:t>
      </w:r>
      <w:r>
        <w:rPr>
          <w:rFonts w:ascii="Times New Roman" w:eastAsia="Times New Roman" w:hAnsi="Times New Roman" w:cs="Times New Roman"/>
          <w:i/>
          <w:iCs/>
          <w:sz w:val="16"/>
          <w:szCs w:val="16"/>
        </w:rPr>
        <w:t>Escherichia coli</w:t>
      </w:r>
      <w:r>
        <w:t xml:space="preserve"> productoras de diarrea. Los signos clínicos de enfermedad causados por cada tipo patológico se resumen en líneas siguientes (véase también cuadro 3-11):</w:t>
      </w:r>
    </w:p>
    <w:p w14:paraId="1C95F33D" w14:textId="77777777" w:rsidR="00093A32" w:rsidRDefault="00093A32">
      <w:pPr>
        <w:pStyle w:val="BodyText"/>
        <w:numPr>
          <w:ilvl w:val="0"/>
          <w:numId w:val="59"/>
        </w:numPr>
        <w:tabs>
          <w:tab w:val="left" w:pos="337"/>
        </w:tabs>
        <w:spacing w:after="160"/>
        <w:ind w:left="360" w:hanging="360"/>
        <w:sectPr w:rsidR="00093A32" w:rsidSect="00093A32">
          <w:headerReference w:type="even" r:id="rId258"/>
          <w:headerReference w:type="default" r:id="rId259"/>
          <w:footerReference w:type="even" r:id="rId260"/>
          <w:footerReference w:type="default" r:id="rId261"/>
          <w:headerReference w:type="first" r:id="rId262"/>
          <w:footerReference w:type="first" r:id="rId263"/>
          <w:footnotePr>
            <w:numFmt w:val="chicago"/>
          </w:footnotePr>
          <w:pgSz w:w="8501" w:h="13022"/>
          <w:pgMar w:top="708" w:right="805" w:bottom="440" w:left="770" w:header="0" w:footer="3" w:gutter="0"/>
          <w:cols w:space="720"/>
          <w:noEndnote/>
          <w:titlePg/>
          <w:docGrid w:linePitch="360"/>
          <w15:footnoteColumns w:val="1"/>
        </w:sectPr>
      </w:pPr>
      <w:bookmarkStart w:id="92" w:name="bookmark698"/>
      <w:bookmarkEnd w:id="92"/>
      <w:r>
        <w:t xml:space="preserve">Las cepas de </w:t>
      </w:r>
      <w:r>
        <w:rPr>
          <w:rFonts w:ascii="Times New Roman" w:eastAsia="Times New Roman" w:hAnsi="Times New Roman" w:cs="Times New Roman"/>
          <w:i/>
          <w:iCs/>
          <w:sz w:val="16"/>
          <w:szCs w:val="16"/>
        </w:rPr>
        <w:t>E. coli</w:t>
      </w:r>
      <w:r>
        <w:t xml:space="preserve"> productoras de toxina shiga (shiga toxin-producing </w:t>
      </w:r>
      <w:r>
        <w:rPr>
          <w:rFonts w:ascii="Times New Roman" w:eastAsia="Times New Roman" w:hAnsi="Times New Roman" w:cs="Times New Roman"/>
          <w:i/>
          <w:iCs/>
          <w:sz w:val="16"/>
          <w:szCs w:val="16"/>
        </w:rPr>
        <w:t xml:space="preserve">E. coli, </w:t>
      </w:r>
      <w:r>
        <w:t xml:space="preserve">STEC) conocidas en épocas pasadas como </w:t>
      </w:r>
      <w:r>
        <w:rPr>
          <w:rFonts w:ascii="Times New Roman" w:eastAsia="Times New Roman" w:hAnsi="Times New Roman" w:cs="Times New Roman"/>
          <w:i/>
          <w:iCs/>
          <w:sz w:val="16"/>
          <w:szCs w:val="16"/>
        </w:rPr>
        <w:t>E. coli</w:t>
      </w:r>
      <w:r>
        <w:t xml:space="preserve"> enterohemorrágica o </w:t>
      </w:r>
      <w:r>
        <w:rPr>
          <w:rFonts w:ascii="Times New Roman" w:eastAsia="Times New Roman" w:hAnsi="Times New Roman" w:cs="Times New Roman"/>
          <w:i/>
          <w:iCs/>
          <w:sz w:val="16"/>
          <w:szCs w:val="16"/>
        </w:rPr>
        <w:t xml:space="preserve">E. coli </w:t>
      </w:r>
      <w:r>
        <w:t xml:space="preserve">productora de verotoxina, han originado diarrea, colitis hemorrágica, síndrome hemolítico-urémico </w:t>
      </w:r>
      <w:r>
        <w:rPr>
          <w:i/>
          <w:iCs/>
        </w:rPr>
        <w:t>(</w:t>
      </w:r>
      <w:r>
        <w:rPr>
          <w:rFonts w:ascii="Times New Roman" w:eastAsia="Times New Roman" w:hAnsi="Times New Roman" w:cs="Times New Roman"/>
          <w:i/>
          <w:iCs/>
          <w:sz w:val="16"/>
          <w:szCs w:val="16"/>
        </w:rPr>
        <w:t>hemolytic-uremic syndrome</w:t>
      </w:r>
      <w:r>
        <w:rPr>
          <w:i/>
          <w:iCs/>
        </w:rPr>
        <w:t>,</w:t>
      </w:r>
      <w:r>
        <w:t xml:space="preserve"> HUS) y púrpura trombocitopénica trombótica </w:t>
      </w:r>
      <w:r>
        <w:rPr>
          <w:i/>
          <w:iCs/>
        </w:rPr>
        <w:t>(</w:t>
      </w:r>
      <w:r>
        <w:rPr>
          <w:rFonts w:ascii="Times New Roman" w:eastAsia="Times New Roman" w:hAnsi="Times New Roman" w:cs="Times New Roman"/>
          <w:i/>
          <w:iCs/>
          <w:sz w:val="16"/>
          <w:szCs w:val="16"/>
        </w:rPr>
        <w:t>thrombotic thrombocytopenic purpura</w:t>
      </w:r>
      <w:r>
        <w:rPr>
          <w:i/>
          <w:iCs/>
        </w:rPr>
        <w:t>,</w:t>
      </w:r>
      <w:r>
        <w:t xml:space="preserve"> TTP) después de diarrea. El prototipo es </w:t>
      </w:r>
      <w:r>
        <w:rPr>
          <w:rFonts w:ascii="Times New Roman" w:eastAsia="Times New Roman" w:hAnsi="Times New Roman" w:cs="Times New Roman"/>
          <w:i/>
          <w:iCs/>
          <w:sz w:val="16"/>
          <w:szCs w:val="16"/>
        </w:rPr>
        <w:t>E. coli</w:t>
      </w:r>
      <w:r>
        <w:t xml:space="preserve"> O157:H7 productora de toxinas shiga, y es el miembro más virulento de este tipo patológico del microorganismo. El trastorno originado por STEC generalmente comienza con diarrea no sanguinolenta hasta evolucionar a la diarrea con sangre visible u oculta. En forma</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45"/>
        <w:gridCol w:w="2376"/>
        <w:gridCol w:w="1622"/>
        <w:gridCol w:w="1478"/>
      </w:tblGrid>
      <w:tr w:rsidR="00093A32" w14:paraId="22CAE8C5" w14:textId="77777777">
        <w:tblPrEx>
          <w:tblCellMar>
            <w:top w:w="0" w:type="dxa"/>
            <w:bottom w:w="0" w:type="dxa"/>
          </w:tblCellMar>
        </w:tblPrEx>
        <w:trPr>
          <w:trHeight w:hRule="exact" w:val="605"/>
          <w:jc w:val="center"/>
        </w:trPr>
        <w:tc>
          <w:tcPr>
            <w:tcW w:w="6921" w:type="dxa"/>
            <w:gridSpan w:val="4"/>
            <w:tcBorders>
              <w:top w:val="single" w:sz="4" w:space="0" w:color="auto"/>
            </w:tcBorders>
            <w:shd w:val="clear" w:color="auto" w:fill="FFFFFF"/>
            <w:vAlign w:val="bottom"/>
          </w:tcPr>
          <w:p w14:paraId="3FA11C63" w14:textId="77777777" w:rsidR="00093A32" w:rsidRDefault="00093A32">
            <w:pPr>
              <w:pStyle w:val="Other0"/>
              <w:spacing w:line="240" w:lineRule="auto"/>
              <w:ind w:firstLine="0"/>
              <w:jc w:val="center"/>
              <w:rPr>
                <w:sz w:val="26"/>
                <w:szCs w:val="26"/>
              </w:rPr>
            </w:pPr>
            <w:r>
              <w:rPr>
                <w:rFonts w:ascii="Arial" w:eastAsia="Arial" w:hAnsi="Arial" w:cs="Arial"/>
                <w:w w:val="70"/>
                <w:sz w:val="26"/>
                <w:szCs w:val="26"/>
              </w:rPr>
              <w:t xml:space="preserve">Cuadro 3-11. </w:t>
            </w:r>
            <w:r>
              <w:rPr>
                <w:rFonts w:ascii="Arial" w:eastAsia="Arial" w:hAnsi="Arial" w:cs="Arial"/>
                <w:b/>
                <w:bCs/>
                <w:w w:val="70"/>
                <w:sz w:val="26"/>
                <w:szCs w:val="26"/>
              </w:rPr>
              <w:t>Clasificación de Escherichia coli productora de diarrea</w:t>
            </w:r>
          </w:p>
        </w:tc>
      </w:tr>
      <w:tr w:rsidR="00093A32" w14:paraId="2DB6D167" w14:textId="77777777">
        <w:tblPrEx>
          <w:tblCellMar>
            <w:top w:w="0" w:type="dxa"/>
            <w:bottom w:w="0" w:type="dxa"/>
          </w:tblCellMar>
        </w:tblPrEx>
        <w:trPr>
          <w:trHeight w:hRule="exact" w:val="552"/>
          <w:jc w:val="center"/>
        </w:trPr>
        <w:tc>
          <w:tcPr>
            <w:tcW w:w="1445" w:type="dxa"/>
            <w:shd w:val="clear" w:color="auto" w:fill="231F20"/>
          </w:tcPr>
          <w:p w14:paraId="5D50892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left="180" w:hanging="180"/>
              <w:rPr>
                <w:sz w:val="20"/>
                <w:szCs w:val="20"/>
              </w:rPr>
            </w:pPr>
            <w:r>
              <w:rPr>
                <w:rFonts w:ascii="Arial" w:eastAsia="Arial" w:hAnsi="Arial" w:cs="Arial"/>
                <w:b/>
                <w:bCs/>
                <w:color w:val="FFFFFF"/>
                <w:w w:val="70"/>
                <w:sz w:val="24"/>
                <w:szCs w:val="24"/>
              </w:rPr>
              <w:t xml:space="preserve">Tipo patológico de </w:t>
            </w:r>
            <w:r>
              <w:rPr>
                <w:rFonts w:ascii="Arial" w:eastAsia="Arial" w:hAnsi="Arial" w:cs="Arial"/>
                <w:b/>
                <w:bCs/>
                <w:i/>
                <w:iCs/>
                <w:color w:val="FFFFFF"/>
                <w:w w:val="80"/>
                <w:sz w:val="20"/>
                <w:szCs w:val="20"/>
              </w:rPr>
              <w:t>E. coli</w:t>
            </w:r>
          </w:p>
        </w:tc>
        <w:tc>
          <w:tcPr>
            <w:tcW w:w="2376" w:type="dxa"/>
            <w:shd w:val="clear" w:color="auto" w:fill="231F20"/>
          </w:tcPr>
          <w:p w14:paraId="75A9C6B3"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20" w:hanging="220"/>
              <w:rPr>
                <w:sz w:val="24"/>
                <w:szCs w:val="24"/>
              </w:rPr>
            </w:pPr>
            <w:r>
              <w:rPr>
                <w:rFonts w:ascii="Arial" w:eastAsia="Arial" w:hAnsi="Arial" w:cs="Arial"/>
                <w:b/>
                <w:bCs/>
                <w:color w:val="FFFFFF"/>
                <w:w w:val="70"/>
                <w:sz w:val="24"/>
                <w:szCs w:val="24"/>
              </w:rPr>
              <w:t>Aspectos epidemiológicos</w:t>
            </w:r>
          </w:p>
        </w:tc>
        <w:tc>
          <w:tcPr>
            <w:tcW w:w="1622" w:type="dxa"/>
            <w:shd w:val="clear" w:color="auto" w:fill="231F20"/>
          </w:tcPr>
          <w:p w14:paraId="0D38A9B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00" w:hanging="200"/>
              <w:rPr>
                <w:sz w:val="24"/>
                <w:szCs w:val="24"/>
              </w:rPr>
            </w:pPr>
            <w:r>
              <w:rPr>
                <w:rFonts w:ascii="Arial" w:eastAsia="Arial" w:hAnsi="Arial" w:cs="Arial"/>
                <w:b/>
                <w:bCs/>
                <w:color w:val="FFFFFF"/>
                <w:w w:val="70"/>
                <w:sz w:val="24"/>
                <w:szCs w:val="24"/>
              </w:rPr>
              <w:t>Tipo de diarrea</w:t>
            </w:r>
          </w:p>
        </w:tc>
        <w:tc>
          <w:tcPr>
            <w:tcW w:w="1478" w:type="dxa"/>
            <w:shd w:val="clear" w:color="auto" w:fill="231F20"/>
          </w:tcPr>
          <w:p w14:paraId="51D32ECA"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jc w:val="center"/>
              <w:rPr>
                <w:sz w:val="24"/>
                <w:szCs w:val="24"/>
              </w:rPr>
            </w:pPr>
            <w:r>
              <w:rPr>
                <w:rFonts w:ascii="Arial" w:eastAsia="Arial" w:hAnsi="Arial" w:cs="Arial"/>
                <w:b/>
                <w:bCs/>
                <w:color w:val="FFFFFF"/>
                <w:w w:val="70"/>
                <w:sz w:val="24"/>
                <w:szCs w:val="24"/>
              </w:rPr>
              <w:t>Mecanismo patógeno</w:t>
            </w:r>
          </w:p>
        </w:tc>
      </w:tr>
      <w:tr w:rsidR="00093A32" w14:paraId="6D96C26A" w14:textId="77777777">
        <w:tblPrEx>
          <w:tblCellMar>
            <w:top w:w="0" w:type="dxa"/>
            <w:bottom w:w="0" w:type="dxa"/>
          </w:tblCellMar>
        </w:tblPrEx>
        <w:trPr>
          <w:trHeight w:hRule="exact" w:val="288"/>
          <w:jc w:val="center"/>
        </w:trPr>
        <w:tc>
          <w:tcPr>
            <w:tcW w:w="1445" w:type="dxa"/>
            <w:shd w:val="clear" w:color="auto" w:fill="FFFFFF"/>
            <w:vAlign w:val="bottom"/>
          </w:tcPr>
          <w:p w14:paraId="598C23F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Productora</w:t>
            </w:r>
          </w:p>
        </w:tc>
        <w:tc>
          <w:tcPr>
            <w:tcW w:w="2376" w:type="dxa"/>
            <w:shd w:val="clear" w:color="auto" w:fill="FFFFFF"/>
            <w:vAlign w:val="bottom"/>
          </w:tcPr>
          <w:p w14:paraId="704CF33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Colitis hemorrágica y síndrome</w:t>
            </w:r>
          </w:p>
        </w:tc>
        <w:tc>
          <w:tcPr>
            <w:tcW w:w="1622" w:type="dxa"/>
            <w:shd w:val="clear" w:color="auto" w:fill="FFFFFF"/>
            <w:vAlign w:val="bottom"/>
          </w:tcPr>
          <w:p w14:paraId="531AF35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Sanguinolenta</w:t>
            </w:r>
          </w:p>
        </w:tc>
        <w:tc>
          <w:tcPr>
            <w:tcW w:w="1478" w:type="dxa"/>
            <w:shd w:val="clear" w:color="auto" w:fill="FFFFFF"/>
            <w:vAlign w:val="bottom"/>
          </w:tcPr>
          <w:p w14:paraId="4BF7697D"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“Adherencia” y</w:t>
            </w:r>
          </w:p>
        </w:tc>
      </w:tr>
      <w:tr w:rsidR="00093A32" w14:paraId="31042F43" w14:textId="77777777">
        <w:tblPrEx>
          <w:tblCellMar>
            <w:top w:w="0" w:type="dxa"/>
            <w:bottom w:w="0" w:type="dxa"/>
          </w:tblCellMar>
        </w:tblPrEx>
        <w:trPr>
          <w:trHeight w:hRule="exact" w:val="197"/>
          <w:jc w:val="center"/>
        </w:trPr>
        <w:tc>
          <w:tcPr>
            <w:tcW w:w="1445" w:type="dxa"/>
            <w:shd w:val="clear" w:color="auto" w:fill="FFFFFF"/>
            <w:vAlign w:val="bottom"/>
          </w:tcPr>
          <w:p w14:paraId="4BAD4CD3"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de toxina</w:t>
            </w:r>
          </w:p>
        </w:tc>
        <w:tc>
          <w:tcPr>
            <w:tcW w:w="2376" w:type="dxa"/>
            <w:shd w:val="clear" w:color="auto" w:fill="FFFFFF"/>
            <w:vAlign w:val="bottom"/>
          </w:tcPr>
          <w:p w14:paraId="52691F4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urèmico hemolítico en todas</w:t>
            </w:r>
          </w:p>
        </w:tc>
        <w:tc>
          <w:tcPr>
            <w:tcW w:w="1622" w:type="dxa"/>
            <w:shd w:val="clear" w:color="auto" w:fill="FFFFFF"/>
            <w:vAlign w:val="bottom"/>
          </w:tcPr>
          <w:p w14:paraId="25E1E4D3"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o no</w:t>
            </w:r>
          </w:p>
        </w:tc>
        <w:tc>
          <w:tcPr>
            <w:tcW w:w="1478" w:type="dxa"/>
            <w:shd w:val="clear" w:color="auto" w:fill="FFFFFF"/>
            <w:vAlign w:val="bottom"/>
          </w:tcPr>
          <w:p w14:paraId="66143A0F" w14:textId="77777777" w:rsidR="00093A32" w:rsidRDefault="00093A32">
            <w:pPr>
              <w:pStyle w:val="Other0"/>
              <w:spacing w:line="240" w:lineRule="auto"/>
              <w:ind w:firstLine="260"/>
              <w:rPr>
                <w:sz w:val="16"/>
                <w:szCs w:val="16"/>
              </w:rPr>
            </w:pPr>
            <w:r>
              <w:rPr>
                <w:rFonts w:ascii="Times New Roman" w:eastAsia="Times New Roman" w:hAnsi="Times New Roman" w:cs="Times New Roman"/>
                <w:sz w:val="16"/>
                <w:szCs w:val="16"/>
              </w:rPr>
              <w:t>borramiento,</w:t>
            </w:r>
          </w:p>
        </w:tc>
      </w:tr>
      <w:tr w:rsidR="00093A32" w14:paraId="017D1A6E" w14:textId="77777777">
        <w:tblPrEx>
          <w:tblCellMar>
            <w:top w:w="0" w:type="dxa"/>
            <w:bottom w:w="0" w:type="dxa"/>
          </w:tblCellMar>
        </w:tblPrEx>
        <w:trPr>
          <w:trHeight w:hRule="exact" w:val="653"/>
          <w:jc w:val="center"/>
        </w:trPr>
        <w:tc>
          <w:tcPr>
            <w:tcW w:w="1445" w:type="dxa"/>
            <w:shd w:val="clear" w:color="auto" w:fill="FFFFFF"/>
          </w:tcPr>
          <w:p w14:paraId="0895E0B4"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shiga (STEC)</w:t>
            </w:r>
          </w:p>
        </w:tc>
        <w:tc>
          <w:tcPr>
            <w:tcW w:w="2376" w:type="dxa"/>
            <w:shd w:val="clear" w:color="auto" w:fill="FFFFFF"/>
            <w:vAlign w:val="bottom"/>
          </w:tcPr>
          <w:p w14:paraId="78DA182D"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las edades y púrpura trombocitopénica trombótica después de diarrea en adultos</w:t>
            </w:r>
          </w:p>
        </w:tc>
        <w:tc>
          <w:tcPr>
            <w:tcW w:w="1622" w:type="dxa"/>
            <w:shd w:val="clear" w:color="auto" w:fill="FFFFFF"/>
          </w:tcPr>
          <w:p w14:paraId="61DE7ECA"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sanguinolenta</w:t>
            </w:r>
          </w:p>
        </w:tc>
        <w:tc>
          <w:tcPr>
            <w:tcW w:w="1478" w:type="dxa"/>
            <w:shd w:val="clear" w:color="auto" w:fill="FFFFFF"/>
          </w:tcPr>
          <w:p w14:paraId="2FB302BF" w14:textId="77777777" w:rsidR="00093A32" w:rsidRDefault="00093A32">
            <w:pPr>
              <w:pStyle w:val="Other0"/>
              <w:spacing w:line="283" w:lineRule="auto"/>
              <w:ind w:left="260" w:firstLine="0"/>
              <w:rPr>
                <w:sz w:val="16"/>
                <w:szCs w:val="16"/>
              </w:rPr>
            </w:pPr>
            <w:r>
              <w:rPr>
                <w:rFonts w:ascii="Times New Roman" w:eastAsia="Times New Roman" w:hAnsi="Times New Roman" w:cs="Times New Roman"/>
                <w:sz w:val="16"/>
                <w:szCs w:val="16"/>
              </w:rPr>
              <w:t>producción de citotoxina</w:t>
            </w:r>
          </w:p>
        </w:tc>
      </w:tr>
      <w:tr w:rsidR="00093A32" w14:paraId="1B2BC982" w14:textId="77777777">
        <w:tblPrEx>
          <w:tblCellMar>
            <w:top w:w="0" w:type="dxa"/>
            <w:bottom w:w="0" w:type="dxa"/>
          </w:tblCellMar>
        </w:tblPrEx>
        <w:trPr>
          <w:trHeight w:hRule="exact" w:val="662"/>
          <w:jc w:val="center"/>
        </w:trPr>
        <w:tc>
          <w:tcPr>
            <w:tcW w:w="1445" w:type="dxa"/>
            <w:shd w:val="clear" w:color="auto" w:fill="FFFFFF"/>
            <w:vAlign w:val="bottom"/>
          </w:tcPr>
          <w:p w14:paraId="376B948D"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Enteropatógeno (EPEC)</w:t>
            </w:r>
          </w:p>
          <w:p w14:paraId="352EAD9B"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Enterotoxígeno</w:t>
            </w:r>
          </w:p>
        </w:tc>
        <w:tc>
          <w:tcPr>
            <w:tcW w:w="2376" w:type="dxa"/>
            <w:shd w:val="clear" w:color="auto" w:fill="FFFFFF"/>
            <w:vAlign w:val="bottom"/>
          </w:tcPr>
          <w:p w14:paraId="5AC6E414"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Diarrea endémica y epidémica en lactantes, aguda y crónica</w:t>
            </w:r>
          </w:p>
          <w:p w14:paraId="1B28CC21"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Diarrea en lactantes de países</w:t>
            </w:r>
          </w:p>
        </w:tc>
        <w:tc>
          <w:tcPr>
            <w:tcW w:w="1622" w:type="dxa"/>
            <w:shd w:val="clear" w:color="auto" w:fill="FFFFFF"/>
          </w:tcPr>
          <w:p w14:paraId="072BC0F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Acuosa</w:t>
            </w:r>
          </w:p>
        </w:tc>
        <w:tc>
          <w:tcPr>
            <w:tcW w:w="1478" w:type="dxa"/>
            <w:shd w:val="clear" w:color="auto" w:fill="FFFFFF"/>
          </w:tcPr>
          <w:p w14:paraId="3495A4CF"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Adherencia</w:t>
            </w:r>
          </w:p>
          <w:p w14:paraId="6BE06912" w14:textId="77777777" w:rsidR="00093A32" w:rsidRDefault="00093A32">
            <w:pPr>
              <w:pStyle w:val="Other0"/>
              <w:spacing w:line="240" w:lineRule="auto"/>
              <w:ind w:firstLine="260"/>
              <w:rPr>
                <w:sz w:val="16"/>
                <w:szCs w:val="16"/>
              </w:rPr>
            </w:pPr>
            <w:r>
              <w:rPr>
                <w:rFonts w:ascii="Times New Roman" w:eastAsia="Times New Roman" w:hAnsi="Times New Roman" w:cs="Times New Roman"/>
                <w:sz w:val="16"/>
                <w:szCs w:val="16"/>
              </w:rPr>
              <w:t>y borramiento</w:t>
            </w:r>
          </w:p>
        </w:tc>
      </w:tr>
      <w:tr w:rsidR="00093A32" w14:paraId="6341670C" w14:textId="77777777">
        <w:tblPrEx>
          <w:tblCellMar>
            <w:top w:w="0" w:type="dxa"/>
            <w:bottom w:w="0" w:type="dxa"/>
          </w:tblCellMar>
        </w:tblPrEx>
        <w:trPr>
          <w:trHeight w:hRule="exact" w:val="634"/>
          <w:jc w:val="center"/>
        </w:trPr>
        <w:tc>
          <w:tcPr>
            <w:tcW w:w="1445" w:type="dxa"/>
            <w:shd w:val="clear" w:color="auto" w:fill="FFFFFF"/>
          </w:tcPr>
          <w:p w14:paraId="79DE3E57"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(ETEC)</w:t>
            </w:r>
          </w:p>
        </w:tc>
        <w:tc>
          <w:tcPr>
            <w:tcW w:w="2376" w:type="dxa"/>
            <w:shd w:val="clear" w:color="auto" w:fill="FFFFFF"/>
            <w:vAlign w:val="bottom"/>
          </w:tcPr>
          <w:p w14:paraId="5E0A7FB2"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de escasos recursos y diarrea de los viajeros en personas de cualquier edad</w:t>
            </w:r>
          </w:p>
        </w:tc>
        <w:tc>
          <w:tcPr>
            <w:tcW w:w="1622" w:type="dxa"/>
            <w:shd w:val="clear" w:color="auto" w:fill="FFFFFF"/>
          </w:tcPr>
          <w:p w14:paraId="53D1C5A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Acuosa</w:t>
            </w:r>
          </w:p>
        </w:tc>
        <w:tc>
          <w:tcPr>
            <w:tcW w:w="1478" w:type="dxa"/>
            <w:shd w:val="clear" w:color="auto" w:fill="FFFFFF"/>
            <w:vAlign w:val="bottom"/>
          </w:tcPr>
          <w:p w14:paraId="31995AE9" w14:textId="77777777" w:rsidR="00093A32" w:rsidRDefault="00093A32">
            <w:pPr>
              <w:pStyle w:val="Other0"/>
              <w:spacing w:line="283" w:lineRule="auto"/>
              <w:ind w:left="260" w:hanging="80"/>
              <w:rPr>
                <w:sz w:val="16"/>
                <w:szCs w:val="16"/>
              </w:rPr>
            </w:pPr>
            <w:r>
              <w:rPr>
                <w:rFonts w:ascii="Times New Roman" w:eastAsia="Times New Roman" w:hAnsi="Times New Roman" w:cs="Times New Roman"/>
                <w:sz w:val="16"/>
                <w:szCs w:val="16"/>
              </w:rPr>
              <w:t>Adherencia, producción de enterotoxina</w:t>
            </w:r>
          </w:p>
        </w:tc>
      </w:tr>
      <w:tr w:rsidR="00093A32" w14:paraId="15F7DF14" w14:textId="77777777">
        <w:tblPrEx>
          <w:tblCellMar>
            <w:top w:w="0" w:type="dxa"/>
            <w:bottom w:w="0" w:type="dxa"/>
          </w:tblCellMar>
        </w:tblPrEx>
        <w:trPr>
          <w:trHeight w:hRule="exact" w:val="230"/>
          <w:jc w:val="center"/>
        </w:trPr>
        <w:tc>
          <w:tcPr>
            <w:tcW w:w="1445" w:type="dxa"/>
            <w:shd w:val="clear" w:color="auto" w:fill="FFFFFF"/>
            <w:vAlign w:val="bottom"/>
          </w:tcPr>
          <w:p w14:paraId="5F1B1F5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Enteroinvasor</w:t>
            </w:r>
          </w:p>
        </w:tc>
        <w:tc>
          <w:tcPr>
            <w:tcW w:w="2376" w:type="dxa"/>
            <w:shd w:val="clear" w:color="auto" w:fill="FFFFFF"/>
            <w:vAlign w:val="bottom"/>
          </w:tcPr>
          <w:p w14:paraId="2E8EEAC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Diarrea con fiebre en sujetos</w:t>
            </w:r>
          </w:p>
        </w:tc>
        <w:tc>
          <w:tcPr>
            <w:tcW w:w="1622" w:type="dxa"/>
            <w:shd w:val="clear" w:color="auto" w:fill="FFFFFF"/>
            <w:vAlign w:val="bottom"/>
          </w:tcPr>
          <w:p w14:paraId="3BD0E24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Sanguinolenta</w:t>
            </w:r>
          </w:p>
        </w:tc>
        <w:tc>
          <w:tcPr>
            <w:tcW w:w="1478" w:type="dxa"/>
            <w:shd w:val="clear" w:color="auto" w:fill="FFFFFF"/>
            <w:vAlign w:val="bottom"/>
          </w:tcPr>
          <w:p w14:paraId="57849FEB"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Adherencia,</w:t>
            </w:r>
          </w:p>
        </w:tc>
      </w:tr>
      <w:tr w:rsidR="00093A32" w14:paraId="2C4177EB" w14:textId="77777777">
        <w:tblPrEx>
          <w:tblCellMar>
            <w:top w:w="0" w:type="dxa"/>
            <w:bottom w:w="0" w:type="dxa"/>
          </w:tblCellMar>
        </w:tblPrEx>
        <w:trPr>
          <w:trHeight w:hRule="exact" w:val="634"/>
          <w:jc w:val="center"/>
        </w:trPr>
        <w:tc>
          <w:tcPr>
            <w:tcW w:w="1445" w:type="dxa"/>
            <w:shd w:val="clear" w:color="auto" w:fill="FFFFFF"/>
          </w:tcPr>
          <w:p w14:paraId="6135BA89"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(EIEC)</w:t>
            </w:r>
          </w:p>
        </w:tc>
        <w:tc>
          <w:tcPr>
            <w:tcW w:w="2376" w:type="dxa"/>
            <w:shd w:val="clear" w:color="auto" w:fill="FFFFFF"/>
          </w:tcPr>
          <w:p w14:paraId="6542036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de cualquier edad</w:t>
            </w:r>
          </w:p>
        </w:tc>
        <w:tc>
          <w:tcPr>
            <w:tcW w:w="1622" w:type="dxa"/>
            <w:shd w:val="clear" w:color="auto" w:fill="FFFFFF"/>
          </w:tcPr>
          <w:p w14:paraId="3089FE0F" w14:textId="77777777" w:rsidR="00093A32" w:rsidRDefault="00093A32">
            <w:pPr>
              <w:pStyle w:val="Other0"/>
              <w:spacing w:line="283" w:lineRule="auto"/>
              <w:ind w:left="200" w:firstLine="0"/>
              <w:rPr>
                <w:sz w:val="16"/>
                <w:szCs w:val="16"/>
              </w:rPr>
            </w:pPr>
            <w:r>
              <w:rPr>
                <w:rFonts w:ascii="Times New Roman" w:eastAsia="Times New Roman" w:hAnsi="Times New Roman" w:cs="Times New Roman"/>
                <w:sz w:val="16"/>
                <w:szCs w:val="16"/>
              </w:rPr>
              <w:t>o no sanguinolenta; disentería</w:t>
            </w:r>
          </w:p>
        </w:tc>
        <w:tc>
          <w:tcPr>
            <w:tcW w:w="1478" w:type="dxa"/>
            <w:shd w:val="clear" w:color="auto" w:fill="FFFFFF"/>
          </w:tcPr>
          <w:p w14:paraId="38E4454A" w14:textId="77777777" w:rsidR="00093A32" w:rsidRDefault="00093A32">
            <w:pPr>
              <w:pStyle w:val="Other0"/>
              <w:spacing w:line="283" w:lineRule="auto"/>
              <w:ind w:firstLine="260"/>
              <w:rPr>
                <w:sz w:val="16"/>
                <w:szCs w:val="16"/>
              </w:rPr>
            </w:pPr>
            <w:r>
              <w:rPr>
                <w:rFonts w:ascii="Times New Roman" w:eastAsia="Times New Roman" w:hAnsi="Times New Roman" w:cs="Times New Roman"/>
                <w:sz w:val="16"/>
                <w:szCs w:val="16"/>
              </w:rPr>
              <w:t>invasión de la</w:t>
            </w:r>
          </w:p>
          <w:p w14:paraId="2842F86F" w14:textId="77777777" w:rsidR="00093A32" w:rsidRDefault="00093A32">
            <w:pPr>
              <w:pStyle w:val="Other0"/>
              <w:spacing w:line="283" w:lineRule="auto"/>
              <w:ind w:left="260" w:firstLine="0"/>
              <w:rPr>
                <w:sz w:val="16"/>
                <w:szCs w:val="16"/>
              </w:rPr>
            </w:pPr>
            <w:r>
              <w:rPr>
                <w:rFonts w:ascii="Times New Roman" w:eastAsia="Times New Roman" w:hAnsi="Times New Roman" w:cs="Times New Roman"/>
                <w:sz w:val="16"/>
                <w:szCs w:val="16"/>
              </w:rPr>
              <w:t>mucosa e inflamación</w:t>
            </w:r>
          </w:p>
        </w:tc>
      </w:tr>
      <w:tr w:rsidR="00093A32" w14:paraId="3ED75008" w14:textId="77777777">
        <w:tblPrEx>
          <w:tblCellMar>
            <w:top w:w="0" w:type="dxa"/>
            <w:bottom w:w="0" w:type="dxa"/>
          </w:tblCellMar>
        </w:tblPrEx>
        <w:trPr>
          <w:trHeight w:hRule="exact" w:val="230"/>
          <w:jc w:val="center"/>
        </w:trPr>
        <w:tc>
          <w:tcPr>
            <w:tcW w:w="1445" w:type="dxa"/>
            <w:shd w:val="clear" w:color="auto" w:fill="FFFFFF"/>
            <w:vAlign w:val="bottom"/>
          </w:tcPr>
          <w:p w14:paraId="66A231A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Enteroagregado</w:t>
            </w:r>
          </w:p>
        </w:tc>
        <w:tc>
          <w:tcPr>
            <w:tcW w:w="2376" w:type="dxa"/>
            <w:shd w:val="clear" w:color="auto" w:fill="FFFFFF"/>
            <w:vAlign w:val="bottom"/>
          </w:tcPr>
          <w:p w14:paraId="7758F31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Diarrea aguda y crónica</w:t>
            </w:r>
          </w:p>
        </w:tc>
        <w:tc>
          <w:tcPr>
            <w:tcW w:w="1622" w:type="dxa"/>
            <w:shd w:val="clear" w:color="auto" w:fill="FFFFFF"/>
            <w:vAlign w:val="bottom"/>
          </w:tcPr>
          <w:p w14:paraId="2A71D3F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Acuosa y a veces</w:t>
            </w:r>
          </w:p>
        </w:tc>
        <w:tc>
          <w:tcPr>
            <w:tcW w:w="1478" w:type="dxa"/>
            <w:shd w:val="clear" w:color="auto" w:fill="FFFFFF"/>
            <w:vAlign w:val="bottom"/>
          </w:tcPr>
          <w:p w14:paraId="6BDE00F3"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Adherencia y</w:t>
            </w:r>
          </w:p>
        </w:tc>
      </w:tr>
      <w:tr w:rsidR="00093A32" w14:paraId="069ED4B8" w14:textId="77777777">
        <w:tblPrEx>
          <w:tblCellMar>
            <w:top w:w="0" w:type="dxa"/>
            <w:bottom w:w="0" w:type="dxa"/>
          </w:tblCellMar>
        </w:tblPrEx>
        <w:trPr>
          <w:trHeight w:hRule="exact" w:val="523"/>
          <w:jc w:val="center"/>
        </w:trPr>
        <w:tc>
          <w:tcPr>
            <w:tcW w:w="1445" w:type="dxa"/>
            <w:tcBorders>
              <w:bottom w:val="single" w:sz="4" w:space="0" w:color="auto"/>
            </w:tcBorders>
            <w:shd w:val="clear" w:color="auto" w:fill="FFFFFF"/>
          </w:tcPr>
          <w:p w14:paraId="65261028"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(EAEC)</w:t>
            </w:r>
          </w:p>
        </w:tc>
        <w:tc>
          <w:tcPr>
            <w:tcW w:w="2376" w:type="dxa"/>
            <w:tcBorders>
              <w:bottom w:val="single" w:sz="4" w:space="0" w:color="auto"/>
            </w:tcBorders>
            <w:shd w:val="clear" w:color="auto" w:fill="FFFFFF"/>
          </w:tcPr>
          <w:p w14:paraId="0046B2C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 lactantes</w:t>
            </w:r>
          </w:p>
        </w:tc>
        <w:tc>
          <w:tcPr>
            <w:tcW w:w="1622" w:type="dxa"/>
            <w:tcBorders>
              <w:bottom w:val="single" w:sz="4" w:space="0" w:color="auto"/>
            </w:tcBorders>
            <w:shd w:val="clear" w:color="auto" w:fill="FFFFFF"/>
          </w:tcPr>
          <w:p w14:paraId="3345A435"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sanguinolenta</w:t>
            </w:r>
          </w:p>
        </w:tc>
        <w:tc>
          <w:tcPr>
            <w:tcW w:w="1478" w:type="dxa"/>
            <w:tcBorders>
              <w:bottom w:val="single" w:sz="4" w:space="0" w:color="auto"/>
            </w:tcBorders>
            <w:shd w:val="clear" w:color="auto" w:fill="FFFFFF"/>
          </w:tcPr>
          <w:p w14:paraId="11B96145" w14:textId="77777777" w:rsidR="00093A32" w:rsidRDefault="00093A32">
            <w:pPr>
              <w:pStyle w:val="Other0"/>
              <w:spacing w:line="240" w:lineRule="auto"/>
              <w:ind w:firstLine="260"/>
              <w:rPr>
                <w:sz w:val="16"/>
                <w:szCs w:val="16"/>
              </w:rPr>
            </w:pPr>
            <w:r>
              <w:rPr>
                <w:rFonts w:ascii="Times New Roman" w:eastAsia="Times New Roman" w:hAnsi="Times New Roman" w:cs="Times New Roman"/>
                <w:sz w:val="16"/>
                <w:szCs w:val="16"/>
              </w:rPr>
              <w:t>lesión de la</w:t>
            </w:r>
          </w:p>
          <w:p w14:paraId="0FD55808" w14:textId="77777777" w:rsidR="00093A32" w:rsidRDefault="00093A32">
            <w:pPr>
              <w:pStyle w:val="Other0"/>
              <w:spacing w:line="240" w:lineRule="auto"/>
              <w:ind w:firstLine="260"/>
              <w:rPr>
                <w:sz w:val="16"/>
                <w:szCs w:val="16"/>
              </w:rPr>
            </w:pPr>
            <w:r>
              <w:rPr>
                <w:rFonts w:ascii="Times New Roman" w:eastAsia="Times New Roman" w:hAnsi="Times New Roman" w:cs="Times New Roman"/>
                <w:sz w:val="16"/>
                <w:szCs w:val="16"/>
              </w:rPr>
              <w:t>mucosa</w:t>
            </w:r>
          </w:p>
        </w:tc>
      </w:tr>
    </w:tbl>
    <w:p w14:paraId="165357F6" w14:textId="77777777" w:rsidR="00093A32" w:rsidRDefault="00093A32">
      <w:pPr>
        <w:spacing w:after="599" w:line="1" w:lineRule="exact"/>
      </w:pPr>
    </w:p>
    <w:p w14:paraId="166225ED" w14:textId="77777777" w:rsidR="00093A32" w:rsidRDefault="00093A32">
      <w:pPr>
        <w:pStyle w:val="BodyText"/>
        <w:ind w:left="380" w:firstLine="0"/>
      </w:pPr>
      <w:r>
        <w:t>típica se advierte dolor abdominal intenso; la fiebre aparece en menos de 33% de los enfermos. La infección grave puede ocasionar colitis hemorrágica.</w:t>
      </w:r>
    </w:p>
    <w:p w14:paraId="4E55B95B" w14:textId="77777777" w:rsidR="00093A32" w:rsidRDefault="00093A32">
      <w:pPr>
        <w:pStyle w:val="BodyText"/>
        <w:ind w:left="380" w:firstLine="0"/>
      </w:pPr>
      <w:r>
        <w:t xml:space="preserve">La diarrea causada por </w:t>
      </w:r>
      <w:r>
        <w:rPr>
          <w:rFonts w:ascii="Times New Roman" w:eastAsia="Times New Roman" w:hAnsi="Times New Roman" w:cs="Times New Roman"/>
          <w:i/>
          <w:iCs/>
          <w:sz w:val="16"/>
          <w:szCs w:val="16"/>
        </w:rPr>
        <w:t>E. coli</w:t>
      </w:r>
      <w:r>
        <w:t xml:space="preserve"> enteropatógena </w:t>
      </w:r>
      <w:r>
        <w:rPr>
          <w:i/>
          <w:iCs/>
        </w:rPr>
        <w:t>(</w:t>
      </w:r>
      <w:r>
        <w:rPr>
          <w:rFonts w:ascii="Times New Roman" w:eastAsia="Times New Roman" w:hAnsi="Times New Roman" w:cs="Times New Roman"/>
          <w:i/>
          <w:iCs/>
          <w:sz w:val="16"/>
          <w:szCs w:val="16"/>
        </w:rPr>
        <w:t>enteropathogenic E. coli,</w:t>
      </w:r>
      <w:r>
        <w:t xml:space="preserve"> EPEC) es acuosa y tiene la gravedad suficiente para culminar en deshidratación. La diarrea grave por tal microorganismo es persistente de manera característica y puede ocasionar retardo del crecimiento. El trastorno se identifica casi exclusivamente en neonatos y niños menos de dos años de vida y de manera predominante (aunque no exclusiva) en países con escasos recursos, de manera esporádica o en epidemias. La diarrea causada por </w:t>
      </w:r>
      <w:r>
        <w:rPr>
          <w:rFonts w:ascii="Times New Roman" w:eastAsia="Times New Roman" w:hAnsi="Times New Roman" w:cs="Times New Roman"/>
          <w:i/>
          <w:iCs/>
          <w:sz w:val="16"/>
          <w:szCs w:val="16"/>
        </w:rPr>
        <w:t>E. coli</w:t>
      </w:r>
      <w:r>
        <w:t xml:space="preserve"> enterotoxígena </w:t>
      </w:r>
      <w:r>
        <w:rPr>
          <w:i/>
          <w:iCs/>
        </w:rPr>
        <w:t>(</w:t>
      </w:r>
      <w:r>
        <w:rPr>
          <w:rFonts w:ascii="Times New Roman" w:eastAsia="Times New Roman" w:hAnsi="Times New Roman" w:cs="Times New Roman"/>
          <w:i/>
          <w:iCs/>
          <w:sz w:val="16"/>
          <w:szCs w:val="16"/>
        </w:rPr>
        <w:t>enterotoxigenic E. coli,</w:t>
      </w:r>
      <w:r>
        <w:t xml:space="preserve"> ETEC) es breve (dura de uno a cinco días), cede por sí sola y tiene intensidad moderada, con heces acuosas y cólicos abdominales.</w:t>
      </w:r>
    </w:p>
    <w:p w14:paraId="49B4C41B" w14:textId="77777777" w:rsidR="00093A32" w:rsidRDefault="00093A32">
      <w:pPr>
        <w:pStyle w:val="BodyText"/>
        <w:ind w:left="380" w:firstLine="0"/>
      </w:pPr>
      <w:r>
        <w:t xml:space="preserve">La diarrea causada por </w:t>
      </w:r>
      <w:r>
        <w:rPr>
          <w:rFonts w:ascii="Times New Roman" w:eastAsia="Times New Roman" w:hAnsi="Times New Roman" w:cs="Times New Roman"/>
          <w:i/>
          <w:iCs/>
          <w:sz w:val="16"/>
          <w:szCs w:val="16"/>
        </w:rPr>
        <w:t>E. coli</w:t>
      </w:r>
      <w:r>
        <w:t xml:space="preserve"> enteroinvasor </w:t>
      </w:r>
      <w:r>
        <w:rPr>
          <w:i/>
          <w:iCs/>
        </w:rPr>
        <w:t>(</w:t>
      </w:r>
      <w:r>
        <w:rPr>
          <w:rFonts w:ascii="Times New Roman" w:eastAsia="Times New Roman" w:hAnsi="Times New Roman" w:cs="Times New Roman"/>
          <w:i/>
          <w:iCs/>
          <w:sz w:val="16"/>
          <w:szCs w:val="16"/>
        </w:rPr>
        <w:t>enteroinvasive E. coli,</w:t>
      </w:r>
      <w:r>
        <w:t xml:space="preserve"> EIEC) guarda semejanza clínica con la infección causada por especies de </w:t>
      </w:r>
      <w:r>
        <w:rPr>
          <w:rFonts w:ascii="Times New Roman" w:eastAsia="Times New Roman" w:hAnsi="Times New Roman" w:cs="Times New Roman"/>
          <w:i/>
          <w:iCs/>
          <w:sz w:val="16"/>
          <w:szCs w:val="16"/>
        </w:rPr>
        <w:t>Shigella</w:t>
      </w:r>
      <w:r>
        <w:rPr>
          <w:i/>
          <w:iCs/>
        </w:rPr>
        <w:t>.</w:t>
      </w:r>
      <w:r>
        <w:t xml:space="preserve"> Puede surgir disentería, pero la diarrea generalmente es acuosa sin sangre ni moco. Los niños a menudo muestran fiebre, y los excrementos pueden contener leucocitos.</w:t>
      </w:r>
    </w:p>
    <w:p w14:paraId="36D416CD" w14:textId="77777777" w:rsidR="00093A32" w:rsidRDefault="00093A32">
      <w:pPr>
        <w:pStyle w:val="BodyText"/>
        <w:spacing w:after="220" w:line="276" w:lineRule="auto"/>
        <w:ind w:left="380" w:firstLine="0"/>
      </w:pPr>
      <w:r>
        <w:rPr>
          <w:rFonts w:ascii="Times New Roman" w:eastAsia="Times New Roman" w:hAnsi="Times New Roman" w:cs="Times New Roman"/>
          <w:i/>
          <w:iCs/>
          <w:sz w:val="16"/>
          <w:szCs w:val="16"/>
        </w:rPr>
        <w:t>E. coli</w:t>
      </w:r>
      <w:r>
        <w:t xml:space="preserve"> enteroagregada </w:t>
      </w:r>
      <w:r>
        <w:rPr>
          <w:i/>
          <w:iCs/>
        </w:rPr>
        <w:t>(</w:t>
      </w:r>
      <w:r>
        <w:rPr>
          <w:rFonts w:ascii="Times New Roman" w:eastAsia="Times New Roman" w:hAnsi="Times New Roman" w:cs="Times New Roman"/>
          <w:i/>
          <w:iCs/>
          <w:sz w:val="16"/>
          <w:szCs w:val="16"/>
        </w:rPr>
        <w:t>enteroaggregative E. coli,</w:t>
      </w:r>
      <w:r>
        <w:t xml:space="preserve"> EAEC) origina diarrea acuosa principalmente en lactantes y niños de corta edad en países de escasos recursos, pero puede atacar a personas de cualquier edad. La variedad mencionada se ha vinculado con la aparición de diarrea duradera (más de 14 días). La infección asintomática puede acompañarse de enteritis inflamatoria subclínica y puede ocasionar perturbaciones del crecimiento.</w:t>
      </w:r>
    </w:p>
    <w:p w14:paraId="017B8BE5" w14:textId="77777777" w:rsidR="00093A32" w:rsidRDefault="00093A32">
      <w:pPr>
        <w:pStyle w:val="BodyText"/>
        <w:ind w:firstLine="0"/>
      </w:pPr>
      <w:r>
        <w:rPr>
          <w:rFonts w:ascii="Arial" w:eastAsia="Arial" w:hAnsi="Arial" w:cs="Arial"/>
          <w:b/>
          <w:bCs/>
          <w:i/>
          <w:iCs/>
          <w:sz w:val="15"/>
          <w:szCs w:val="15"/>
        </w:rPr>
        <w:t>Secuelas tardías de la infección por STEC.</w:t>
      </w:r>
      <w:r>
        <w:t xml:space="preserve"> El síndrome hemolítico-urémico es una secuela grave de la infección entérica por STEC, especialmente por </w:t>
      </w:r>
      <w:r>
        <w:rPr>
          <w:rFonts w:ascii="Times New Roman" w:eastAsia="Times New Roman" w:hAnsi="Times New Roman" w:cs="Times New Roman"/>
          <w:i/>
          <w:iCs/>
          <w:sz w:val="16"/>
          <w:szCs w:val="16"/>
        </w:rPr>
        <w:t>E. coli</w:t>
      </w:r>
      <w:r>
        <w:t xml:space="preserve"> O157:H7. El síndrome mencionado se define por la tríada de anemia hemolítica microangiopática, trombocitopenia y disfunción renal aguda. En muchos niños con diarrea causada por </w:t>
      </w:r>
      <w:r>
        <w:rPr>
          <w:rFonts w:ascii="Times New Roman" w:eastAsia="Times New Roman" w:hAnsi="Times New Roman" w:cs="Times New Roman"/>
          <w:i/>
          <w:iCs/>
          <w:sz w:val="16"/>
          <w:szCs w:val="16"/>
        </w:rPr>
        <w:t>E. coli</w:t>
      </w:r>
      <w:r>
        <w:t xml:space="preserve"> O157:H7, surgen en las dos semanas siguientes al comienzo de la diarrea, cambios hematológicos microangiopáticos leves que ceden por sí solos; trombocitopenia, nefropatía o la tríada de conjunto. La púrpura trombocitopénica aparece en adultos, puede surgir después de la infección por STEC e incluye ataque del sistema nervioso central y fiebre; puede tener un comienzo más gradual que HUS y es parte de un espectro patológico que a menudo ha sido llamado TTP-HUS. Muchos casos de HUS en niños en Estados Unidos son causados por </w:t>
      </w:r>
      <w:r>
        <w:rPr>
          <w:rFonts w:ascii="Times New Roman" w:eastAsia="Times New Roman" w:hAnsi="Times New Roman" w:cs="Times New Roman"/>
          <w:i/>
          <w:iCs/>
          <w:sz w:val="16"/>
          <w:szCs w:val="16"/>
        </w:rPr>
        <w:t>E. coli</w:t>
      </w:r>
      <w:r>
        <w:t xml:space="preserve"> O157:H7, pero gran parte de los casos de TTP en los adultos no tienen causa conocida.</w:t>
      </w:r>
    </w:p>
    <w:p w14:paraId="7BB2865C" w14:textId="77777777" w:rsidR="00093A32" w:rsidRDefault="00093A32">
      <w:pPr>
        <w:pStyle w:val="BodyText"/>
        <w:ind w:firstLine="0"/>
      </w:pPr>
      <w:r>
        <w:rPr>
          <w:b/>
          <w:bCs/>
        </w:rPr>
        <w:t>C</w:t>
      </w:r>
      <w:r>
        <w:rPr>
          <w:b/>
          <w:bCs/>
          <w:sz w:val="13"/>
          <w:szCs w:val="13"/>
        </w:rPr>
        <w:t>AUSAS</w:t>
      </w:r>
      <w:r>
        <w:rPr>
          <w:b/>
          <w:bCs/>
        </w:rPr>
        <w:t xml:space="preserve">: </w:t>
      </w:r>
      <w:r>
        <w:t xml:space="preserve">Cada tipo patológico de </w:t>
      </w:r>
      <w:r>
        <w:rPr>
          <w:rFonts w:ascii="Times New Roman" w:eastAsia="Times New Roman" w:hAnsi="Times New Roman" w:cs="Times New Roman"/>
          <w:i/>
          <w:iCs/>
          <w:sz w:val="16"/>
          <w:szCs w:val="16"/>
        </w:rPr>
        <w:t>E. coli</w:t>
      </w:r>
      <w:r>
        <w:t xml:space="preserve"> posee características específicas de virulencia, algunas codificadas en plásmidos específicos para cada tipo patológico. Cada tipo patológico posee un conjunto peculiar de antígenos somáticos (O) y flagelares (H). Las características patógenas son:</w:t>
      </w:r>
    </w:p>
    <w:p w14:paraId="0AD98424" w14:textId="77777777" w:rsidR="00093A32" w:rsidRDefault="00093A32">
      <w:pPr>
        <w:pStyle w:val="BodyText"/>
        <w:numPr>
          <w:ilvl w:val="0"/>
          <w:numId w:val="59"/>
        </w:numPr>
        <w:tabs>
          <w:tab w:val="left" w:pos="339"/>
        </w:tabs>
        <w:ind w:left="360" w:hanging="360"/>
      </w:pPr>
      <w:bookmarkStart w:id="93" w:name="bookmark699"/>
      <w:bookmarkEnd w:id="93"/>
      <w:r>
        <w:t xml:space="preserve">La enfermedad causada por </w:t>
      </w:r>
      <w:r>
        <w:rPr>
          <w:rFonts w:ascii="Times New Roman" w:eastAsia="Times New Roman" w:hAnsi="Times New Roman" w:cs="Times New Roman"/>
          <w:i/>
          <w:iCs/>
          <w:sz w:val="16"/>
          <w:szCs w:val="16"/>
        </w:rPr>
        <w:t>E. coli</w:t>
      </w:r>
      <w:r>
        <w:t xml:space="preserve"> O157:H7 sigue una evolución bifásica. La fase intestinal se caracteriza por la formación de la lesión de “adherencia” y borramiento, con lo cual surge diarrea secretoria. Después de la fase mencionada sigue la elaboración de la toxina shiga, citotoxina potente que también aparece en </w:t>
      </w:r>
      <w:r>
        <w:rPr>
          <w:rFonts w:ascii="Times New Roman" w:eastAsia="Times New Roman" w:hAnsi="Times New Roman" w:cs="Times New Roman"/>
          <w:i/>
          <w:iCs/>
          <w:sz w:val="16"/>
          <w:szCs w:val="16"/>
        </w:rPr>
        <w:t>Shigella dysenteriae</w:t>
      </w:r>
      <w:r>
        <w:t xml:space="preserve"> 1. La acción de la toxina shiga en células de intestino origina colitis hemorrágica, y la absorción de la toxina en la circulación causa complicaciones sistémicas, como HUS y secuelas neurológicas.</w:t>
      </w:r>
    </w:p>
    <w:p w14:paraId="55AF1CBD" w14:textId="77777777" w:rsidR="00093A32" w:rsidRDefault="00093A32">
      <w:pPr>
        <w:pStyle w:val="BodyText"/>
        <w:numPr>
          <w:ilvl w:val="0"/>
          <w:numId w:val="59"/>
        </w:numPr>
        <w:tabs>
          <w:tab w:val="left" w:pos="339"/>
        </w:tabs>
        <w:spacing w:line="276" w:lineRule="auto"/>
        <w:ind w:left="360" w:hanging="360"/>
      </w:pPr>
      <w:bookmarkStart w:id="94" w:name="bookmark700"/>
      <w:bookmarkEnd w:id="94"/>
      <w:r>
        <w:t xml:space="preserve">Las cepas de EPEC se adhieren a la mucosa del intestino delgado, y a semejanza de </w:t>
      </w:r>
      <w:r>
        <w:rPr>
          <w:rFonts w:ascii="Times New Roman" w:eastAsia="Times New Roman" w:hAnsi="Times New Roman" w:cs="Times New Roman"/>
          <w:i/>
          <w:iCs/>
          <w:sz w:val="16"/>
          <w:szCs w:val="16"/>
        </w:rPr>
        <w:t>E. coli</w:t>
      </w:r>
      <w:r>
        <w:t xml:space="preserve"> O157:H7, originan lesiones “adherentes” y de borramiento. Las cepas mencionadas históricamente fueron definidas como miembros de serotipos específicos de </w:t>
      </w:r>
      <w:r>
        <w:rPr>
          <w:rFonts w:ascii="Times New Roman" w:eastAsia="Times New Roman" w:hAnsi="Times New Roman" w:cs="Times New Roman"/>
          <w:i/>
          <w:iCs/>
          <w:sz w:val="16"/>
          <w:szCs w:val="16"/>
        </w:rPr>
        <w:t>E. coli</w:t>
      </w:r>
      <w:r>
        <w:t xml:space="preserve"> a los que se achacaron desde el punto de vista epidemiológico, ser causas de diarrea de niños; en la actualidad una definición patógena más exacta incluye la capacidad de formar las lesiones de “adherencia y borramiento” sin que exista la producción de toxina shiga.</w:t>
      </w:r>
    </w:p>
    <w:p w14:paraId="39EE5953" w14:textId="77777777" w:rsidR="00093A32" w:rsidRDefault="00093A32">
      <w:pPr>
        <w:pStyle w:val="BodyText"/>
        <w:numPr>
          <w:ilvl w:val="0"/>
          <w:numId w:val="59"/>
        </w:numPr>
        <w:tabs>
          <w:tab w:val="left" w:pos="339"/>
        </w:tabs>
        <w:ind w:left="360" w:hanging="360"/>
      </w:pPr>
      <w:bookmarkStart w:id="95" w:name="bookmark701"/>
      <w:bookmarkEnd w:id="95"/>
      <w:r>
        <w:t>Las cepas de ETEC colonizan el intestino delgado sin invadirlo y producen enterotoxinas termolábil o termoestable, o ambas. Las cepas que originan la enterotoxina termoestable son las que causan casi todos los casos de enfermedad en seres humanos.</w:t>
      </w:r>
    </w:p>
    <w:p w14:paraId="07E596C1" w14:textId="77777777" w:rsidR="00093A32" w:rsidRDefault="00093A32">
      <w:pPr>
        <w:pStyle w:val="BodyText"/>
        <w:numPr>
          <w:ilvl w:val="0"/>
          <w:numId w:val="59"/>
        </w:numPr>
        <w:tabs>
          <w:tab w:val="left" w:pos="339"/>
        </w:tabs>
        <w:ind w:left="360" w:hanging="360"/>
      </w:pPr>
      <w:bookmarkStart w:id="96" w:name="bookmark702"/>
      <w:bookmarkEnd w:id="96"/>
      <w:r>
        <w:t xml:space="preserve">De manera típica, </w:t>
      </w:r>
      <w:r>
        <w:rPr>
          <w:rFonts w:ascii="Times New Roman" w:eastAsia="Times New Roman" w:hAnsi="Times New Roman" w:cs="Times New Roman"/>
          <w:i/>
          <w:iCs/>
          <w:sz w:val="16"/>
          <w:szCs w:val="16"/>
        </w:rPr>
        <w:t>E. coli</w:t>
      </w:r>
      <w:r>
        <w:t xml:space="preserve"> enteroinvasora, a semejanza de las especies de </w:t>
      </w:r>
      <w:r>
        <w:rPr>
          <w:rFonts w:ascii="Times New Roman" w:eastAsia="Times New Roman" w:hAnsi="Times New Roman" w:cs="Times New Roman"/>
          <w:i/>
          <w:iCs/>
          <w:sz w:val="16"/>
          <w:szCs w:val="16"/>
        </w:rPr>
        <w:t>Shigella</w:t>
      </w:r>
      <w:r>
        <w:rPr>
          <w:i/>
          <w:iCs/>
        </w:rPr>
        <w:t>,</w:t>
      </w:r>
      <w:r>
        <w:t xml:space="preserve"> no fermentan la lactosa e invaden la mucosa del colon, donde se propagan en sentido lateral e inducen una respuesta inflamatoria local.</w:t>
      </w:r>
    </w:p>
    <w:p w14:paraId="0DD5162D" w14:textId="77777777" w:rsidR="00093A32" w:rsidRDefault="00093A32">
      <w:pPr>
        <w:pStyle w:val="BodyText"/>
        <w:numPr>
          <w:ilvl w:val="0"/>
          <w:numId w:val="59"/>
        </w:numPr>
        <w:tabs>
          <w:tab w:val="left" w:pos="339"/>
        </w:tabs>
        <w:spacing w:after="220"/>
        <w:ind w:left="360" w:hanging="360"/>
      </w:pPr>
      <w:bookmarkStart w:id="97" w:name="bookmark703"/>
      <w:bookmarkEnd w:id="97"/>
      <w:r>
        <w:rPr>
          <w:rFonts w:ascii="Times New Roman" w:eastAsia="Times New Roman" w:hAnsi="Times New Roman" w:cs="Times New Roman"/>
          <w:i/>
          <w:iCs/>
          <w:sz w:val="16"/>
          <w:szCs w:val="16"/>
        </w:rPr>
        <w:t>E. coli</w:t>
      </w:r>
      <w:r>
        <w:t xml:space="preserve"> enteroagregada ha sido definida por su perfil de adherencia característico en “pilas de ladrillos” en métodos basados en cultivos celulares. Estos microorganismos elaboran una o más enterotoxinas y desencadenan daño en la mucosa intestinal.</w:t>
      </w:r>
    </w:p>
    <w:p w14:paraId="42C06855"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Casi todas las cepas de </w:t>
      </w:r>
      <w:r>
        <w:rPr>
          <w:rFonts w:ascii="Times New Roman" w:eastAsia="Times New Roman" w:hAnsi="Times New Roman" w:cs="Times New Roman"/>
          <w:i/>
          <w:iCs/>
          <w:sz w:val="16"/>
          <w:szCs w:val="16"/>
        </w:rPr>
        <w:t>E. coli</w:t>
      </w:r>
      <w:r>
        <w:t xml:space="preserve"> que ocasionan diarrea son transmitidas por personas sintomáticas infectadas o portadores, o bien por alimentos o agua contaminados con excrementos de seres humanos o animales. El único tipo patológico de </w:t>
      </w:r>
      <w:r>
        <w:rPr>
          <w:rFonts w:ascii="Times New Roman" w:eastAsia="Times New Roman" w:hAnsi="Times New Roman" w:cs="Times New Roman"/>
          <w:i/>
          <w:iCs/>
          <w:sz w:val="16"/>
          <w:szCs w:val="16"/>
        </w:rPr>
        <w:t>E. coli</w:t>
      </w:r>
      <w:r>
        <w:t xml:space="preserve"> que suele causar diarrea en niños que viven en Estados Unidos es STEC, e incluye </w:t>
      </w:r>
      <w:r>
        <w:rPr>
          <w:rFonts w:ascii="Times New Roman" w:eastAsia="Times New Roman" w:hAnsi="Times New Roman" w:cs="Times New Roman"/>
          <w:i/>
          <w:iCs/>
          <w:sz w:val="16"/>
          <w:szCs w:val="16"/>
        </w:rPr>
        <w:t>E. coli</w:t>
      </w:r>
      <w:r>
        <w:t xml:space="preserve"> O157:H7, que es exteriorizado y se propaga en el excremento de ganado vacuno y, en menor extensión, del de ovejas, ciervos y otros rumiantes, y es transmitido por la carne molida mal cocida, la leche no pasteurizada y muy diversos vehículos contaminados con excremento de bovinos. Son cada vez más frecuentes en Estados Unidos las infecciones causadas por </w:t>
      </w:r>
      <w:r>
        <w:rPr>
          <w:rFonts w:ascii="Times New Roman" w:eastAsia="Times New Roman" w:hAnsi="Times New Roman" w:cs="Times New Roman"/>
          <w:i/>
          <w:iCs/>
          <w:sz w:val="16"/>
          <w:szCs w:val="16"/>
        </w:rPr>
        <w:t>E. coli</w:t>
      </w:r>
      <w:r>
        <w:t xml:space="preserve"> O157:H7, y surgen de manera esporádica o en brotes. Se ha vinculado la aparición de estos últimos con el consumo de sidra de manzana contaminada, verduras crudas, salami, yogur, agua potable y la ingestión de agua en zonas de recreo. La dosis infectante es pequeña (unos 100 microorganismos), y durante los brotes es frecuente que la transmisión sea directa, de una persona a otra. Se ha calculado que la frecuencia de HUS como complicación de infección por </w:t>
      </w:r>
      <w:r>
        <w:rPr>
          <w:rFonts w:ascii="Times New Roman" w:eastAsia="Times New Roman" w:hAnsi="Times New Roman" w:cs="Times New Roman"/>
          <w:i/>
          <w:iCs/>
          <w:sz w:val="16"/>
          <w:szCs w:val="16"/>
        </w:rPr>
        <w:t>E. coli</w:t>
      </w:r>
      <w:r>
        <w:t xml:space="preserve"> O157:H7 en niños va de 5 a 10%, pero puede ser mayor en los brotes. Fuera de Estados Unidos es frecuente detectar diarrea, y en ocasiones, HUS causada por cepas de STEC diferentes de O157:H7.</w:t>
      </w:r>
    </w:p>
    <w:p w14:paraId="6A6F5041" w14:textId="77777777" w:rsidR="00093A32" w:rsidRDefault="00093A32">
      <w:pPr>
        <w:pStyle w:val="BodyText"/>
        <w:ind w:firstLine="360"/>
      </w:pPr>
      <w:r>
        <w:t xml:space="preserve">Los tipos patológicos que no corresponden a STEC ocasionan enfermedad predominantemente en países de recursos escasos donde a menudo los abastos de alimentos y agua están contaminados y son subóptimas las instalaciones y el material para la higiene de las manos. En la actualidad, la enfermedad epidémica por EPEC en salas de cuna de neonatos es poco frecuente, pero EPEC y </w:t>
      </w:r>
      <w:r>
        <w:rPr>
          <w:rFonts w:ascii="Times New Roman" w:eastAsia="Times New Roman" w:hAnsi="Times New Roman" w:cs="Times New Roman"/>
          <w:i/>
          <w:iCs/>
          <w:sz w:val="16"/>
          <w:szCs w:val="16"/>
        </w:rPr>
        <w:t>E. coli</w:t>
      </w:r>
      <w:r>
        <w:t xml:space="preserve"> O157:H7 han ocasionado innumerables brotes de diarrea en centros de atención pediátrica. La diarrea atribuible a ETEC afecta a personas de cualquier edad, pero es especialmente importante en los lactantes. Se ha sabido de brotes en adultos, por lo común después de ingerir alimentos o agua contaminados. </w:t>
      </w:r>
      <w:r>
        <w:rPr>
          <w:rFonts w:ascii="Times New Roman" w:eastAsia="Times New Roman" w:hAnsi="Times New Roman" w:cs="Times New Roman"/>
          <w:i/>
          <w:iCs/>
          <w:sz w:val="16"/>
          <w:szCs w:val="16"/>
        </w:rPr>
        <w:t>E. coli</w:t>
      </w:r>
      <w:r>
        <w:t xml:space="preserve"> enterotoxígena es la causa principal de diarrea de los viajeros. Se han identificado brotes de infección atribuibles a EIEC y EAEC, por lo común después de consumir alimentos contaminados, entre personas de todas las edades en países prósperos. La transmisibilidad dura lo que dura la excreción del patógeno específico.</w:t>
      </w:r>
    </w:p>
    <w:p w14:paraId="4B66C37A" w14:textId="77777777" w:rsidR="00093A32" w:rsidRDefault="00093A32">
      <w:pPr>
        <w:pStyle w:val="BodyText"/>
        <w:ind w:firstLine="360"/>
      </w:pPr>
      <w:r>
        <w:t xml:space="preserve">El periodo de incubación de casi todas las cepas de </w:t>
      </w:r>
      <w:r>
        <w:rPr>
          <w:rFonts w:ascii="Times New Roman" w:eastAsia="Times New Roman" w:hAnsi="Times New Roman" w:cs="Times New Roman"/>
          <w:i/>
          <w:iCs/>
          <w:sz w:val="16"/>
          <w:szCs w:val="16"/>
        </w:rPr>
        <w:t>E. coli</w:t>
      </w:r>
      <w:r>
        <w:t xml:space="preserve"> va de 10 h a seis días; el de </w:t>
      </w:r>
      <w:r>
        <w:rPr>
          <w:rFonts w:ascii="Times New Roman" w:eastAsia="Times New Roman" w:hAnsi="Times New Roman" w:cs="Times New Roman"/>
          <w:i/>
          <w:iCs/>
          <w:sz w:val="16"/>
          <w:szCs w:val="16"/>
        </w:rPr>
        <w:t>E. coli</w:t>
      </w:r>
      <w:r>
        <w:t xml:space="preserve"> 0157:H7 suele ser de tres a cuatro días, pero varía de uno a ocho días. </w:t>
      </w:r>
      <w:r>
        <w:rPr>
          <w:b/>
          <w:bCs/>
        </w:rPr>
        <w:t>M</w:t>
      </w:r>
      <w:r>
        <w:rPr>
          <w:b/>
          <w:bCs/>
          <w:sz w:val="13"/>
          <w:szCs w:val="13"/>
        </w:rPr>
        <w:t>ÉTODOS DIAGNÓSTICOS</w:t>
      </w:r>
      <w:r>
        <w:rPr>
          <w:b/>
          <w:bCs/>
        </w:rPr>
        <w:t xml:space="preserve">: </w:t>
      </w:r>
      <w:r>
        <w:t xml:space="preserve">Es difícil diagnosticar la infección causada por </w:t>
      </w:r>
      <w:r>
        <w:rPr>
          <w:rFonts w:ascii="Times New Roman" w:eastAsia="Times New Roman" w:hAnsi="Times New Roman" w:cs="Times New Roman"/>
          <w:i/>
          <w:iCs/>
          <w:sz w:val="16"/>
          <w:szCs w:val="16"/>
        </w:rPr>
        <w:t xml:space="preserve">E. coli </w:t>
      </w:r>
      <w:r>
        <w:t xml:space="preserve">diarreógeno porque en muchos de los laboratorios clínicos no diferencian entre las cepas de </w:t>
      </w:r>
      <w:r>
        <w:rPr>
          <w:rFonts w:ascii="Times New Roman" w:eastAsia="Times New Roman" w:hAnsi="Times New Roman" w:cs="Times New Roman"/>
          <w:i/>
          <w:iCs/>
          <w:sz w:val="16"/>
          <w:szCs w:val="16"/>
        </w:rPr>
        <w:t>E. coli</w:t>
      </w:r>
      <w:r>
        <w:t xml:space="preserve"> causantes de diarrea de las cepas de </w:t>
      </w:r>
      <w:r>
        <w:rPr>
          <w:rFonts w:ascii="Times New Roman" w:eastAsia="Times New Roman" w:hAnsi="Times New Roman" w:cs="Times New Roman"/>
          <w:i/>
          <w:iCs/>
          <w:sz w:val="16"/>
          <w:szCs w:val="16"/>
        </w:rPr>
        <w:t>E. coli</w:t>
      </w:r>
      <w:r>
        <w:t xml:space="preserve"> de la flora intestinal. Las excepciones serían </w:t>
      </w:r>
      <w:r>
        <w:rPr>
          <w:rFonts w:ascii="Times New Roman" w:eastAsia="Times New Roman" w:hAnsi="Times New Roman" w:cs="Times New Roman"/>
          <w:i/>
          <w:iCs/>
          <w:sz w:val="16"/>
          <w:szCs w:val="16"/>
        </w:rPr>
        <w:t>E. coli</w:t>
      </w:r>
      <w:r>
        <w:t xml:space="preserve"> O157:H7 y EIEC, que es posible identificar de manera presuncional o específica. Para la identificación definitiva, habrá que enviar los gérmenes aislados de los que se sospecha algún vínculo causal con la diarrea, a laboratorios especializados en la investigación.</w:t>
      </w:r>
    </w:p>
    <w:p w14:paraId="4065EE72" w14:textId="77777777" w:rsidR="00093A32" w:rsidRDefault="00093A32">
      <w:pPr>
        <w:pStyle w:val="BodyText"/>
        <w:ind w:firstLine="360"/>
      </w:pPr>
      <w:r>
        <w:t xml:space="preserve">Los laboratorios clínicos pueden buscar </w:t>
      </w:r>
      <w:r>
        <w:rPr>
          <w:rFonts w:ascii="Times New Roman" w:eastAsia="Times New Roman" w:hAnsi="Times New Roman" w:cs="Times New Roman"/>
          <w:i/>
          <w:iCs/>
          <w:sz w:val="16"/>
          <w:szCs w:val="16"/>
        </w:rPr>
        <w:t>E. coli</w:t>
      </w:r>
      <w:r>
        <w:t xml:space="preserve"> O157:H7 por medio de una base de agar MacConkey en la cual se haya sustituido la lactosa por sorbitol. En promedio, 90% de las cepas de </w:t>
      </w:r>
      <w:r>
        <w:rPr>
          <w:rFonts w:ascii="Times New Roman" w:eastAsia="Times New Roman" w:hAnsi="Times New Roman" w:cs="Times New Roman"/>
          <w:i/>
          <w:iCs/>
          <w:sz w:val="16"/>
          <w:szCs w:val="16"/>
        </w:rPr>
        <w:t>E. coli</w:t>
      </w:r>
      <w:r>
        <w:t xml:space="preserve"> en el intestino de seres humanos fermentan rápidamente el sorbitol, cosa que no hacen las cepas de </w:t>
      </w:r>
      <w:r>
        <w:rPr>
          <w:rFonts w:ascii="Times New Roman" w:eastAsia="Times New Roman" w:hAnsi="Times New Roman" w:cs="Times New Roman"/>
          <w:i/>
          <w:iCs/>
          <w:sz w:val="16"/>
          <w:szCs w:val="16"/>
        </w:rPr>
        <w:t>E. coli</w:t>
      </w:r>
      <w:r>
        <w:t xml:space="preserve"> O157:H7. Es posible definir el serotipo de </w:t>
      </w:r>
      <w:r>
        <w:rPr>
          <w:rFonts w:ascii="Times New Roman" w:eastAsia="Times New Roman" w:hAnsi="Times New Roman" w:cs="Times New Roman"/>
          <w:i/>
          <w:iCs/>
          <w:sz w:val="16"/>
          <w:szCs w:val="16"/>
        </w:rPr>
        <w:t>E. coli</w:t>
      </w:r>
      <w:r>
        <w:t xml:space="preserve"> negativa al sorbitol mediante antisueros comerciales para saber si corresponden a O157:H7. Si se sospecha que un paciente o un brote pudieron surgir del ataque de </w:t>
      </w:r>
      <w:r>
        <w:rPr>
          <w:rFonts w:ascii="Times New Roman" w:eastAsia="Times New Roman" w:hAnsi="Times New Roman" w:cs="Times New Roman"/>
          <w:i/>
          <w:iCs/>
          <w:sz w:val="16"/>
          <w:szCs w:val="16"/>
        </w:rPr>
        <w:t>E. coli</w:t>
      </w:r>
      <w:r>
        <w:t xml:space="preserve"> diarreógeno diferente de O157:H7, habrá que enviar </w:t>
      </w:r>
      <w:r>
        <w:rPr>
          <w:rFonts w:ascii="Times New Roman" w:eastAsia="Times New Roman" w:hAnsi="Times New Roman" w:cs="Times New Roman"/>
          <w:i/>
          <w:iCs/>
          <w:sz w:val="16"/>
          <w:szCs w:val="16"/>
        </w:rPr>
        <w:t>E. coli</w:t>
      </w:r>
      <w:r>
        <w:t xml:space="preserve"> aislado a los laboratorios sanitarios estatales u otro laboratorio de especialidades para definir el serotipo e identificar los tipos patológicos. En el comercio se cuenta con métodos inmunológicos rápidos, específicos y sensibles para detectar la toxina shiga.</w:t>
      </w:r>
    </w:p>
    <w:p w14:paraId="21795E10" w14:textId="77777777" w:rsidR="00093A32" w:rsidRDefault="00093A32">
      <w:pPr>
        <w:pStyle w:val="BodyText"/>
        <w:ind w:firstLine="360"/>
      </w:pPr>
      <w:r>
        <w:t xml:space="preserve">Es importante buscar cepas de STEC en todo paciente de diarrea sanguinolenta (situación indicada por datos de la anamnesis, la revisión de los excrementos o la prueba del guayaco), HUS o TTP posdiarreica, y también en contactos de individuos con HUS que muestran cualquier tipo de diarrea. Los pacientes con los diagnósticos presuncionales de invaginación, enteropatía inflamatoria o colitis isquémica a veces tienen un ataque por </w:t>
      </w:r>
      <w:r>
        <w:rPr>
          <w:rFonts w:ascii="Times New Roman" w:eastAsia="Times New Roman" w:hAnsi="Times New Roman" w:cs="Times New Roman"/>
          <w:i/>
          <w:iCs/>
          <w:sz w:val="16"/>
          <w:szCs w:val="16"/>
        </w:rPr>
        <w:t>E. coli</w:t>
      </w:r>
      <w:r>
        <w:t xml:space="preserve"> O157:H7. Entre los métodos para identificación definitiva de STEC utilizados en los laboratorios especializados o de investigación están las sondas de DNA, la reacción en cadena de polimerasa, los inmunoanálisis enzimáticos y la prueba fenotípica de cepas o muestras de excrementos en busca de la toxina shiga. En laboratorios especializados se practica el diagnóstico serológico por medio de inmunoanálisis enzimàtico para detectar anticuerpos séricos contra el lipopolisacárido de </w:t>
      </w:r>
      <w:r>
        <w:rPr>
          <w:rFonts w:ascii="Times New Roman" w:eastAsia="Times New Roman" w:hAnsi="Times New Roman" w:cs="Times New Roman"/>
          <w:i/>
          <w:iCs/>
          <w:sz w:val="16"/>
          <w:szCs w:val="16"/>
        </w:rPr>
        <w:t>E. coli</w:t>
      </w:r>
      <w:r>
        <w:t xml:space="preserve"> O157:H7.</w:t>
      </w:r>
    </w:p>
    <w:p w14:paraId="481A4CB3" w14:textId="77777777" w:rsidR="00093A32" w:rsidRDefault="00093A32">
      <w:pPr>
        <w:pStyle w:val="BodyText"/>
        <w:spacing w:line="276" w:lineRule="auto"/>
        <w:ind w:firstLine="360"/>
      </w:pPr>
      <w:r>
        <w:rPr>
          <w:rFonts w:ascii="Arial" w:eastAsia="Arial" w:hAnsi="Arial" w:cs="Arial"/>
          <w:b/>
          <w:bCs/>
          <w:i/>
          <w:iCs/>
          <w:sz w:val="15"/>
          <w:szCs w:val="15"/>
        </w:rPr>
        <w:t>Síndrome hemolítico-urémico (HUS).</w:t>
      </w:r>
      <w:r>
        <w:t xml:space="preserve"> En el caso de los pacientes con dicho síndrome habrá que hacer cultivos de muestras de excrementos en busca de </w:t>
      </w:r>
      <w:r>
        <w:rPr>
          <w:rFonts w:ascii="Times New Roman" w:eastAsia="Times New Roman" w:hAnsi="Times New Roman" w:cs="Times New Roman"/>
          <w:i/>
          <w:iCs/>
          <w:sz w:val="16"/>
          <w:szCs w:val="16"/>
        </w:rPr>
        <w:t>E. coli</w:t>
      </w:r>
      <w:r>
        <w:t xml:space="preserve"> O157:H7; si los resultados son negativos, habrá que buscar otros serotipos de STEC. Sin embargo, no detectar STEC en excrementos no excluye la posibilidad de que exista HUS por STEC porque en forma típica el síndrome hemolítico-urémico se diagnostica una semana o más después de comenzar la diarrea en que ya no se detecta el germen causal. Si se piensa en la posibilidad de infección por STEC, habrá que practicar cultivo de heces lo antes posible en el inicio de la enfermedad.</w:t>
      </w:r>
    </w:p>
    <w:p w14:paraId="33FD5468" w14:textId="77777777" w:rsidR="00093A32" w:rsidRDefault="00093A32">
      <w:pPr>
        <w:pStyle w:val="BodyText"/>
        <w:ind w:firstLine="0"/>
      </w:pPr>
      <w:r>
        <w:rPr>
          <w:b/>
          <w:bCs/>
        </w:rPr>
        <w:t>T</w:t>
      </w:r>
      <w:r>
        <w:rPr>
          <w:b/>
          <w:bCs/>
          <w:sz w:val="13"/>
          <w:szCs w:val="13"/>
        </w:rPr>
        <w:t>RATAMIENTO</w:t>
      </w:r>
      <w:r>
        <w:rPr>
          <w:b/>
          <w:bCs/>
        </w:rPr>
        <w:t xml:space="preserve">: </w:t>
      </w:r>
      <w:r>
        <w:t>Es importante corregir la deshidratación y las anormalidades de electrólitos. Por lo común son adecuadas las soluciones orales.</w:t>
      </w:r>
      <w:r>
        <w:footnoteReference w:id="9"/>
      </w:r>
      <w:r>
        <w:t xml:space="preserve"> No se administrarán los agentes antimotilidad a niños con diarrea de origen inflamatorio o sanguinolenta. Se recomienda la vigilancia cuidadosa de niños con colitis hemorrágica (para tal fin se practicarán hematimetrías completas con frotis de sangre, medición de nitrógeno ureico en sangre y la concentración de creatinina), para así detectar los cambios que sugieran HUS. Si no se cuenta con pruebas de laboratorio que señalen hemólisis, trombocitopenia o nefropatìa tres días después que desapareció la diarrea, es pequeño el peligro de que surja el síndrome hemolítico-urémico.</w:t>
      </w:r>
    </w:p>
    <w:p w14:paraId="189BEA68" w14:textId="77777777" w:rsidR="00093A32" w:rsidRDefault="00093A32">
      <w:pPr>
        <w:pStyle w:val="BodyText"/>
        <w:spacing w:line="276" w:lineRule="auto"/>
        <w:ind w:firstLine="360"/>
      </w:pPr>
      <w:r>
        <w:rPr>
          <w:rFonts w:ascii="Arial" w:eastAsia="Arial" w:hAnsi="Arial" w:cs="Arial"/>
          <w:b/>
          <w:bCs/>
          <w:i/>
          <w:iCs/>
          <w:sz w:val="15"/>
          <w:szCs w:val="15"/>
        </w:rPr>
        <w:t>Antimicrobianos.</w:t>
      </w:r>
      <w:r>
        <w:t xml:space="preserve"> Algunos estudios han sugerido que los niños con colitis hemorrágica causada por STEC están expuestos a un mayor peligro de sufrir HUS si reciben antimicrobianos, en comparación con menores que no los reciben; sin embargo, un metaanálisis no confirmó que existiera un mayor riesgo o beneficio. Se necesita una investigación con asignación aleatoria y potencia adecuada para conocer los riesgos y beneficios de los antimicrobianos en niños con enteritis por </w:t>
      </w:r>
      <w:r>
        <w:rPr>
          <w:rFonts w:ascii="Times New Roman" w:eastAsia="Times New Roman" w:hAnsi="Times New Roman" w:cs="Times New Roman"/>
          <w:i/>
          <w:iCs/>
          <w:sz w:val="16"/>
          <w:szCs w:val="16"/>
        </w:rPr>
        <w:t>E. coli</w:t>
      </w:r>
      <w:r>
        <w:t xml:space="preserve"> O157:H7. Sin embargo, mientras no se tengan los resultados de tal investigación, muchos expertos prefieren no tratar con un antimicrobiano a los menores con enteritis por el microorganismo mencionado. Si se sospecha diarrea acuosa intensa con ETEC en un viajero que acudió a un país de escasos recursos, puede emprenderse el tratamiento. No se ha definido la terapia óptima contra ETEC, y es frecuente que surja resistencia a los antimicrobianos. En Estados Unidos no se ha aprobado el uso de trimetoprim- sulfametoxazol, azitromicina dihidratada o ciprofloxacina, en personas menores de 18 años, pero debe analizarse su uso si la diarrea es grave o rebelde o si el microorganismo es susceptible a ellos. Si se sospecha que la diarrea es causada por una infección sistémica, también habrá que administrar un antimicrobiano parenteral. En el caso de disentería causada por cepas de EIEC, se pueden administrar preparados ingeribles de antimicrobianos, como trimetoprim-sulfametoxazol, azitromicina o ciprofloxacina. En la medida de lo posible, la selección del antimicrobiano se basará en los antibioticogramas de los gérmenes aislados.</w:t>
      </w:r>
    </w:p>
    <w:p w14:paraId="307C5C58" w14:textId="77777777" w:rsidR="00093A32" w:rsidRDefault="00093A32">
      <w:pPr>
        <w:pStyle w:val="BodyText"/>
        <w:spacing w:after="220"/>
        <w:ind w:firstLine="0"/>
        <w:sectPr w:rsidR="00093A32" w:rsidSect="00093A32">
          <w:headerReference w:type="even" r:id="rId264"/>
          <w:headerReference w:type="default" r:id="rId265"/>
          <w:footerReference w:type="even" r:id="rId266"/>
          <w:footerReference w:type="default" r:id="rId267"/>
          <w:footnotePr>
            <w:numFmt w:val="chicago"/>
          </w:footnotePr>
          <w:type w:val="continuous"/>
          <w:pgSz w:w="8501" w:h="13022"/>
          <w:pgMar w:top="708" w:right="805" w:bottom="440" w:left="770" w:header="0" w:footer="3" w:gutter="0"/>
          <w:cols w:space="720"/>
          <w:noEndnote/>
          <w:docGrid w:linePitch="360"/>
          <w15:footnoteColumns w:val="1"/>
        </w:sectPr>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Además de las precauciones estándar, conviene cumplir con precauciones para evitar la transmisión por contacto en sujetos con todos los tipos de diarrea por </w:t>
      </w:r>
      <w:r>
        <w:rPr>
          <w:rFonts w:ascii="Times New Roman" w:eastAsia="Times New Roman" w:hAnsi="Times New Roman" w:cs="Times New Roman"/>
          <w:i/>
          <w:iCs/>
          <w:sz w:val="16"/>
          <w:szCs w:val="16"/>
        </w:rPr>
        <w:t>E. coli</w:t>
      </w:r>
      <w:r>
        <w:t xml:space="preserve"> durante el lapso que dure la enfermedad. En los brotes, hay que seguir las precauciones para evitar la transmisión por contacto en pequeños con diarrea causada por cepas de EPEC hasta que no se identifique la cepa infectante en los cultivos de </w:t>
      </w:r>
    </w:p>
    <w:p w14:paraId="2DEF572A" w14:textId="77777777" w:rsidR="00093A32" w:rsidRDefault="00093A32">
      <w:pPr>
        <w:pStyle w:val="BodyText"/>
        <w:spacing w:after="220"/>
        <w:ind w:firstLine="0"/>
      </w:pPr>
      <w:r>
        <w:t xml:space="preserve">excrementos obtenidos después de interrumpir el uso de antimicrobianos. En personas con HUS o colitis hemorrágica atribuible a STEC, habrá que continuar las precauciones para evitar la transmisión por contacto hasta que desaparezca la diarrea, y los resultados de dos cultivos consecutivos de excrementos no indiquen la presencia de </w:t>
      </w:r>
      <w:r>
        <w:rPr>
          <w:rFonts w:ascii="Times New Roman" w:eastAsia="Times New Roman" w:hAnsi="Times New Roman" w:cs="Times New Roman"/>
          <w:i/>
          <w:iCs/>
          <w:sz w:val="16"/>
          <w:szCs w:val="16"/>
        </w:rPr>
        <w:t>E. coli</w:t>
      </w:r>
      <w:r>
        <w:t xml:space="preserve"> O157:H7.</w:t>
      </w:r>
    </w:p>
    <w:p w14:paraId="51EFACC4" w14:textId="77777777" w:rsidR="00093A32" w:rsidRDefault="00093A32">
      <w:pPr>
        <w:pStyle w:val="Other0"/>
        <w:spacing w:line="257" w:lineRule="auto"/>
        <w:ind w:firstLine="0"/>
        <w:rPr>
          <w:sz w:val="16"/>
          <w:szCs w:val="16"/>
        </w:rPr>
      </w:pPr>
      <w:r>
        <w:rPr>
          <w:b/>
          <w:bCs/>
          <w:smallCaps/>
          <w:sz w:val="20"/>
          <w:szCs w:val="20"/>
        </w:rPr>
        <w:t>M</w:t>
      </w:r>
      <w:r>
        <w:rPr>
          <w:b/>
          <w:bCs/>
          <w:smallCaps/>
          <w:sz w:val="16"/>
          <w:szCs w:val="16"/>
        </w:rPr>
        <w:t>edidas preventivas</w:t>
      </w:r>
    </w:p>
    <w:p w14:paraId="72C3B21E" w14:textId="77777777" w:rsidR="00093A32" w:rsidRDefault="00093A32">
      <w:pPr>
        <w:pStyle w:val="BodyText"/>
        <w:spacing w:line="288" w:lineRule="auto"/>
        <w:ind w:firstLine="0"/>
      </w:pPr>
      <w:r>
        <w:rPr>
          <w:rFonts w:ascii="Arial" w:eastAsia="Arial" w:hAnsi="Arial" w:cs="Arial"/>
          <w:b/>
          <w:bCs/>
          <w:i/>
          <w:iCs/>
          <w:sz w:val="15"/>
          <w:szCs w:val="15"/>
        </w:rPr>
        <w:t>Infección por</w:t>
      </w:r>
      <w:r>
        <w:rPr>
          <w:rFonts w:ascii="Arial" w:eastAsia="Arial" w:hAnsi="Arial" w:cs="Arial"/>
          <w:b/>
          <w:bCs/>
          <w:w w:val="70"/>
          <w:sz w:val="20"/>
          <w:szCs w:val="20"/>
        </w:rPr>
        <w:t xml:space="preserve"> E. coli </w:t>
      </w:r>
      <w:r>
        <w:rPr>
          <w:rFonts w:ascii="Arial" w:eastAsia="Arial" w:hAnsi="Arial" w:cs="Arial"/>
          <w:b/>
          <w:bCs/>
          <w:i/>
          <w:iCs/>
          <w:sz w:val="15"/>
          <w:szCs w:val="15"/>
        </w:rPr>
        <w:t>O157:H7.</w:t>
      </w:r>
      <w:r>
        <w:t xml:space="preserve"> La carne molida de res debe ser cocida perfectamente hasta que no quede ningún fragmento de color rosa y el jugo sea transparente. Tampoco se ingerirá leche cruda y se consumirá sólo jugos de manzana pasteurizados.</w:t>
      </w:r>
    </w:p>
    <w:p w14:paraId="58951DB6" w14:textId="77777777" w:rsidR="00093A32" w:rsidRDefault="00093A32">
      <w:pPr>
        <w:pStyle w:val="BodyText"/>
        <w:spacing w:line="276" w:lineRule="auto"/>
        <w:ind w:firstLine="360"/>
      </w:pPr>
      <w:r>
        <w:rPr>
          <w:rFonts w:ascii="Arial" w:eastAsia="Arial" w:hAnsi="Arial" w:cs="Arial"/>
          <w:b/>
          <w:bCs/>
          <w:i/>
          <w:iCs/>
          <w:sz w:val="15"/>
          <w:szCs w:val="15"/>
        </w:rPr>
        <w:t>Brotes en centros de atención pediátrica.</w:t>
      </w:r>
      <w:r>
        <w:t xml:space="preserve"> Si en uno de estos centros se detecta un brote de HUS o diarrea atribuible a </w:t>
      </w:r>
      <w:r>
        <w:rPr>
          <w:rFonts w:ascii="Times New Roman" w:eastAsia="Times New Roman" w:hAnsi="Times New Roman" w:cs="Times New Roman"/>
          <w:i/>
          <w:iCs/>
          <w:sz w:val="16"/>
          <w:szCs w:val="16"/>
        </w:rPr>
        <w:t>E. coli</w:t>
      </w:r>
      <w:r>
        <w:t xml:space="preserve"> O157:H7, es crucial la participación inmediata de las autoridades sanitarias públicas. La infección causada por dicha cepa es notificable, por lo que informar con rapidez los casos puede permitir la intervención médica para evitar que se propague la enfermedad. No se permitirá la reincorporación de los niños enfermos al centro de atención hasta que haya desaparecido la diarrea y en dos cultivos de excrementos no se detecte </w:t>
      </w:r>
      <w:r>
        <w:rPr>
          <w:rFonts w:ascii="Times New Roman" w:eastAsia="Times New Roman" w:hAnsi="Times New Roman" w:cs="Times New Roman"/>
          <w:i/>
          <w:iCs/>
          <w:sz w:val="16"/>
          <w:szCs w:val="16"/>
        </w:rPr>
        <w:t>E. coli</w:t>
      </w:r>
      <w:r>
        <w:t xml:space="preserve"> O157:H7. La atención estricta que se preste a la higiene de las manos es importante, pero tal vez no baste para evitar la transmisión ininterrumpida. El centro de atención pediátrica debe ser cerrado a nuevas admisiones, y se tendrá mucho cuidado para evitar la transferencia de los niños expuestos, a otros centros.</w:t>
      </w:r>
    </w:p>
    <w:p w14:paraId="6BA1AFD9" w14:textId="77777777" w:rsidR="00093A32" w:rsidRDefault="00093A32">
      <w:pPr>
        <w:pStyle w:val="BodyText"/>
        <w:spacing w:line="276" w:lineRule="auto"/>
        <w:ind w:firstLine="360"/>
      </w:pPr>
      <w:r>
        <w:rPr>
          <w:rFonts w:ascii="Arial" w:eastAsia="Arial" w:hAnsi="Arial" w:cs="Arial"/>
          <w:b/>
          <w:bCs/>
          <w:i/>
          <w:iCs/>
          <w:sz w:val="15"/>
          <w:szCs w:val="15"/>
        </w:rPr>
        <w:t>Brotes en zonas de cuna y otras instituciones.</w:t>
      </w:r>
      <w:r>
        <w:t xml:space="preserve"> La atención estricta a la higiene manual es esencial para frenar la transmisión. Es necesario observar con gran detenimiento a los pacientes expuestos; se harán cultivos de sus excrementos en busca del microorganismo causal y se les separará de los lactantes no expuestos. En la sala de neonatos se considera que la infección por EPEC constituye un peligro grave, y hay que practicar de manera ininterrumpida y rigurosa las precauciones de tipo entérico.</w:t>
      </w:r>
    </w:p>
    <w:p w14:paraId="34E404C7" w14:textId="77777777" w:rsidR="00093A32" w:rsidRDefault="00093A32">
      <w:pPr>
        <w:pStyle w:val="BodyText"/>
        <w:spacing w:after="100" w:line="276" w:lineRule="auto"/>
        <w:ind w:firstLine="360"/>
      </w:pPr>
      <w:r>
        <w:rPr>
          <w:rFonts w:ascii="Arial" w:eastAsia="Arial" w:hAnsi="Arial" w:cs="Arial"/>
          <w:b/>
          <w:bCs/>
          <w:i/>
          <w:iCs/>
          <w:sz w:val="15"/>
          <w:szCs w:val="15"/>
        </w:rPr>
        <w:t>Diarrea de los viajeros.</w:t>
      </w:r>
      <w:r>
        <w:t xml:space="preserve"> La enfermedad mencionada se ha relacionado con innumerables enteropatógenes como gérmenes causales (incluidos ETEC, EAEC y EIEC); por lo común se transmiten por ingestión de alimento o agua contaminados y constituye un problema significativo para personas que viajan a países de escasos recursos. La diarrea atribuible a STEC es rara en los viajeros. Es importante recomendar a la persona que viaja que consuma sólo bebidas embotelladas o enlatadas y agua hervida o en botellas; no consumirá hielo, ensaladas y frutas que no haya pelado él mismo. Los alimentos deben consumirse calientes. Por lo regular no se recomienda usar antimicrobianos para evitar en los niños la diarrea de los viajeros. Algunos de ellos, como trimetoprim-sulfametoxazol, doxiciclina y ciprofloxacina, disminuyen la incidencia de la diarrea mencionada, pero a menudo los riesgos posibles rebasan a los beneficios, y entre los primeros están reacciones alérgicas a fármacos, colitis por antimicrobianos y la presión selectiva del uso amplio de tales agentes que culmina en la aparición de resistencia a los fármacos. En caso de diarrea, pueden distribuirse sobres con sales de rehidratación oral que se ingerirán para conservar el equilibrio hídrico. Si la diarrea en el viajero es moderada o intensa o se acompaña de fiebre o heces sanguinolentas, quizá convenga administrar antimicrobianos sobre bases empíricas hasta que los síntomas muestren resolución; la terapia empírica se continuará sólo durante tres días.</w:t>
      </w:r>
    </w:p>
    <w:p w14:paraId="2A982454" w14:textId="77777777" w:rsidR="00093A32" w:rsidRDefault="00093A32">
      <w:pPr>
        <w:pStyle w:val="Bodytext70"/>
        <w:spacing w:after="0"/>
      </w:pPr>
      <w:r>
        <w:t>Esporotricosis</w:t>
      </w:r>
    </w:p>
    <w:p w14:paraId="29B682C8" w14:textId="77777777" w:rsidR="00093A32" w:rsidRDefault="00093A32">
      <w:pPr>
        <w:pStyle w:val="BodyText"/>
        <w:ind w:firstLine="0"/>
      </w:pPr>
      <w:r>
        <w:rPr>
          <w:b/>
          <w:bCs/>
        </w:rPr>
        <w:t>M</w:t>
      </w:r>
      <w:r>
        <w:rPr>
          <w:b/>
          <w:bCs/>
          <w:sz w:val="13"/>
          <w:szCs w:val="13"/>
        </w:rPr>
        <w:t>ANIFESTACIONES CLÍNICAS</w:t>
      </w:r>
      <w:r>
        <w:rPr>
          <w:b/>
          <w:bCs/>
        </w:rPr>
        <w:t xml:space="preserve">: </w:t>
      </w:r>
      <w:r>
        <w:t>La esporotricosis suele aparecer más bien en la forma de infección cutánea, aunque también se sabe de formas pulmonar y diseminada. El episodio por MAC, habrá que analizar la posibilidad de profilaxia con azitromicina o claritromicina en niños de seis años de edad y mayores, y adolescentes y adultos infectados por VIH cuyo recuento de linfocitos T CD4+ sea menor de 50 células x 10</w:t>
      </w:r>
      <w:r>
        <w:rPr>
          <w:rFonts w:ascii="Times New Roman" w:eastAsia="Times New Roman" w:hAnsi="Times New Roman" w:cs="Times New Roman"/>
          <w:sz w:val="11"/>
          <w:szCs w:val="11"/>
        </w:rPr>
        <w:t>6</w:t>
      </w:r>
      <w:r>
        <w:t>/L (50 células/pl). Otro fármaco al que cabe recurrir es la rifabutina, pero no debe administrarse hasta después de descartar la presencia de tuberculosis activa. Se debe descartar la presencia de MAC diseminada por un cultivo negativo de sangre antes de emprender la profilaxia.</w:t>
      </w:r>
    </w:p>
    <w:p w14:paraId="59C40B72" w14:textId="77777777" w:rsidR="00093A32" w:rsidRDefault="00093A32">
      <w:pPr>
        <w:pStyle w:val="BodyText"/>
        <w:ind w:firstLine="360"/>
      </w:pPr>
      <w:r>
        <w:t>A todo niño infectado por VIH que tenga menos de 13 años se ofrecerá la posibilidad de profilaxia para evitar la primera infección por MAC, si tiene los recuentos de linfocitos T CD4+ siguientes: niños de seis años de vida o mayores, menos de 50 células x 10</w:t>
      </w:r>
      <w:r>
        <w:rPr>
          <w:rFonts w:ascii="Times New Roman" w:eastAsia="Times New Roman" w:hAnsi="Times New Roman" w:cs="Times New Roman"/>
          <w:sz w:val="11"/>
          <w:szCs w:val="11"/>
        </w:rPr>
        <w:t>6</w:t>
      </w:r>
      <w:r>
        <w:t>/L (&lt;50/pl); niños de dos a seis años de vida, menos de 75 células x 10</w:t>
      </w:r>
      <w:r>
        <w:rPr>
          <w:rFonts w:ascii="Times New Roman" w:eastAsia="Times New Roman" w:hAnsi="Times New Roman" w:cs="Times New Roman"/>
          <w:sz w:val="11"/>
          <w:szCs w:val="11"/>
        </w:rPr>
        <w:t>6</w:t>
      </w:r>
      <w:r>
        <w:t>/L (&lt;75/pl); niños de uno a dos años, menos de 500 células x 10</w:t>
      </w:r>
      <w:r>
        <w:rPr>
          <w:rFonts w:ascii="Times New Roman" w:eastAsia="Times New Roman" w:hAnsi="Times New Roman" w:cs="Times New Roman"/>
          <w:sz w:val="11"/>
          <w:szCs w:val="11"/>
        </w:rPr>
        <w:t>6</w:t>
      </w:r>
      <w:r>
        <w:t>/L (&lt;500/pl), y niños menores de 12 meses, menos de 750 células x 10</w:t>
      </w:r>
      <w:r>
        <w:rPr>
          <w:rFonts w:ascii="Times New Roman" w:eastAsia="Times New Roman" w:hAnsi="Times New Roman" w:cs="Times New Roman"/>
          <w:sz w:val="11"/>
          <w:szCs w:val="11"/>
        </w:rPr>
        <w:t>6</w:t>
      </w:r>
      <w:r>
        <w:t>/L (&lt;750/pl).</w:t>
      </w:r>
    </w:p>
    <w:p w14:paraId="50F7F79E" w14:textId="77777777" w:rsidR="00093A32" w:rsidRDefault="00093A32">
      <w:pPr>
        <w:pStyle w:val="BodyText"/>
        <w:ind w:firstLine="360"/>
      </w:pPr>
      <w:r>
        <w:t>En Estados Unidos se cuenta con suspensiones ingeribles de claritromicina y azitromicina. No se dispone de una presentación de rifabutina para niños, pero al parecer es adecuada una dosis de 5 mg/kg de peso al día. La rifabutina se utilizará sólo en niños mayores de seis años. Los menores con el antecedente de MAC diseminada deben recibir profilaxia permanentemente para evitar recidivas.</w:t>
      </w:r>
    </w:p>
    <w:p w14:paraId="53E3551E"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53454F3E"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medidas de esta índole incluyen quimioprofilaxia en algunos niños con infección por VIH (véase “Tratamiento”, páginas anteriores en este resumen) y el uso de equipo estéril para instrumentación en el oído medio, que incluye equipo de otoscopia para evitar la otitis media por </w:t>
      </w:r>
      <w:r>
        <w:rPr>
          <w:rFonts w:ascii="Times New Roman" w:eastAsia="Times New Roman" w:hAnsi="Times New Roman" w:cs="Times New Roman"/>
          <w:i/>
          <w:iCs/>
          <w:sz w:val="16"/>
          <w:szCs w:val="16"/>
        </w:rPr>
        <w:t>M. abscessus.</w:t>
      </w:r>
      <w:r>
        <w:t xml:space="preserve"> Los MAC son frecuentes en el entorno, como el caso de los alimentos y el agua, por lo que la información disponible no refuerza las recomendaciones específicas en cuanto a evitar exposición de personas infectadas por virus de inmunodeficiencia humana.</w:t>
      </w:r>
    </w:p>
    <w:p w14:paraId="24FDD438" w14:textId="77777777" w:rsidR="00093A32" w:rsidRDefault="00093A32">
      <w:pPr>
        <w:pStyle w:val="Bodytext70"/>
        <w:spacing w:after="0"/>
      </w:pPr>
      <w:r>
        <w:t>Micosis</w:t>
      </w:r>
    </w:p>
    <w:p w14:paraId="38C321E4" w14:textId="77777777" w:rsidR="00093A32" w:rsidRDefault="00093A32">
      <w:pPr>
        <w:pStyle w:val="BodyText"/>
        <w:spacing w:after="840"/>
        <w:ind w:firstLine="0"/>
      </w:pPr>
      <w:r>
        <w:t>Además de las micosis resumidas en la sección 3 según los agentes individuales, los lactantes y los niños pueden tener infecciones ocasionadas por hongos de aparición más bien rara. Las infecciones causadas por estos otros agentes afectan por lo general a menores con inmunosupresión u otros cuadros primarios que los predisponen a las micosis invasoras. Los niños inmunocompetentes adquieren la infección por tales hongos cuando inhalan por las vías respiratorias el germen o por inoculación directa después de la disolución traumática de las barreras cutáneas. En el cuadro 3-46 se incluye una lista de los hongos y las afecciones pertinentes primarias del hospedador, el reservorio o la vía de entrada, las manifestaciones clínicas, los métodos diagnósticos de laboratorio y el tratamiento de cada entidad. Como grupo, son escasos los datos de susceptibilidad de hongos sobre los cuales basar las recomendaciones terapéuticas contra estas infecciones, especialmente en niños. Hay que pensar en la consulta con un infectólogo pediatra cuando se atienda a un menor infectado con algunas de las micosis comentadas.</w:t>
      </w:r>
    </w:p>
    <w:p w14:paraId="30F7EE7D" w14:textId="77777777" w:rsidR="00093A32" w:rsidRDefault="00093A32">
      <w:pPr>
        <w:pStyle w:val="Bodytext20"/>
        <w:spacing w:line="266" w:lineRule="auto"/>
        <w:rPr>
          <w:sz w:val="15"/>
          <w:szCs w:val="15"/>
        </w:rPr>
        <w:sectPr w:rsidR="00093A32" w:rsidSect="00093A32">
          <w:headerReference w:type="even" r:id="rId268"/>
          <w:headerReference w:type="default" r:id="rId269"/>
          <w:footerReference w:type="even" r:id="rId270"/>
          <w:footerReference w:type="default" r:id="rId271"/>
          <w:headerReference w:type="first" r:id="rId272"/>
          <w:footerReference w:type="first" r:id="rId273"/>
          <w:footnotePr>
            <w:numFmt w:val="chicago"/>
          </w:footnotePr>
          <w:pgSz w:w="8501" w:h="13022"/>
          <w:pgMar w:top="708" w:right="805" w:bottom="440" w:left="770" w:header="0" w:footer="3" w:gutter="0"/>
          <w:cols w:space="720"/>
          <w:noEndnote/>
          <w:titlePg/>
          <w:docGrid w:linePitch="360"/>
          <w15:footnoteColumns w:val="1"/>
        </w:sectPr>
      </w:pPr>
      <w:r>
        <w:rPr>
          <w:sz w:val="15"/>
          <w:szCs w:val="15"/>
        </w:rPr>
        <w:t xml:space="preserve">* Centers for Disease Control and Prevention. Guidelines for preventing opportunistic infections among HIV-infected persons—2002. Recommendations of the US Public Health Service and the Infectious Diseases Society of America. </w:t>
      </w:r>
      <w:r>
        <w:rPr>
          <w:i/>
          <w:iCs/>
          <w:sz w:val="15"/>
          <w:szCs w:val="15"/>
        </w:rPr>
        <w:t>MMWR Recomm Rep.</w:t>
      </w:r>
      <w:r>
        <w:rPr>
          <w:sz w:val="15"/>
          <w:szCs w:val="15"/>
        </w:rPr>
        <w:t xml:space="preserve"> 2002;51(RR-8):1-46.</w:t>
      </w:r>
    </w:p>
    <w:p w14:paraId="3284EFE7" w14:textId="77777777" w:rsidR="00093A32" w:rsidRDefault="00093A32">
      <w:pPr>
        <w:pStyle w:val="Heading31"/>
        <w:keepNext/>
        <w:keepLines/>
        <w:framePr w:w="2477" w:h="317" w:wrap="none" w:hAnchor="page" w:x="5113" w:y="1"/>
        <w:jc w:val="center"/>
      </w:pPr>
      <w:bookmarkStart w:id="98" w:name="bookmark704"/>
      <w:bookmarkStart w:id="99" w:name="bookmark705"/>
      <w:bookmarkStart w:id="100" w:name="bookmark706"/>
      <w:r>
        <w:rPr>
          <w:b w:val="0"/>
          <w:bCs w:val="0"/>
        </w:rPr>
        <w:t xml:space="preserve">Cuadro 3-46. </w:t>
      </w:r>
      <w:r>
        <w:t>Otras micosis</w:t>
      </w:r>
      <w:bookmarkEnd w:id="98"/>
      <w:bookmarkEnd w:id="99"/>
      <w:bookmarkEnd w:id="100"/>
    </w:p>
    <w:tbl>
      <w:tblPr>
        <w:tblOverlap w:val="never"/>
        <w:tblW w:w="0" w:type="auto"/>
        <w:tblLayout w:type="fixed"/>
        <w:tblCellMar>
          <w:left w:w="10" w:type="dxa"/>
          <w:right w:w="10" w:type="dxa"/>
        </w:tblCellMar>
        <w:tblLook w:val="04A0" w:firstRow="1" w:lastRow="0" w:firstColumn="1" w:lastColumn="0" w:noHBand="0" w:noVBand="1"/>
      </w:tblPr>
      <w:tblGrid>
        <w:gridCol w:w="1925"/>
        <w:gridCol w:w="3955"/>
        <w:gridCol w:w="2002"/>
        <w:gridCol w:w="1373"/>
        <w:gridCol w:w="2170"/>
      </w:tblGrid>
      <w:tr w:rsidR="00093A32" w14:paraId="0F9F2932" w14:textId="77777777">
        <w:tblPrEx>
          <w:tblCellMar>
            <w:top w:w="0" w:type="dxa"/>
            <w:bottom w:w="0" w:type="dxa"/>
          </w:tblCellMar>
        </w:tblPrEx>
        <w:trPr>
          <w:trHeight w:hRule="exact" w:val="840"/>
        </w:trPr>
        <w:tc>
          <w:tcPr>
            <w:tcW w:w="1925" w:type="dxa"/>
            <w:shd w:val="clear" w:color="auto" w:fill="231F20"/>
          </w:tcPr>
          <w:p w14:paraId="30F43721" w14:textId="77777777" w:rsidR="00093A32" w:rsidRDefault="00093A32">
            <w:pPr>
              <w:pStyle w:val="Other0"/>
              <w:framePr w:w="11424" w:h="6101" w:wrap="none" w:hAnchor="page" w:x="635" w:y="361"/>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Enfermedad y agente</w:t>
            </w:r>
          </w:p>
        </w:tc>
        <w:tc>
          <w:tcPr>
            <w:tcW w:w="3955" w:type="dxa"/>
            <w:shd w:val="clear" w:color="auto" w:fill="231F20"/>
          </w:tcPr>
          <w:p w14:paraId="23F3A809" w14:textId="77777777" w:rsidR="00093A32" w:rsidRDefault="00093A32">
            <w:pPr>
              <w:pStyle w:val="Other0"/>
              <w:framePr w:w="11424" w:h="6101" w:wrap="none" w:hAnchor="page" w:x="635" w:y="361"/>
              <w:pBdr>
                <w:top w:val="single" w:sz="0" w:space="0" w:color="231F20"/>
                <w:left w:val="single" w:sz="0" w:space="0" w:color="231F20"/>
                <w:bottom w:val="single" w:sz="0" w:space="0" w:color="231F20"/>
                <w:right w:val="single" w:sz="0" w:space="0" w:color="231F20"/>
              </w:pBdr>
              <w:shd w:val="clear" w:color="auto" w:fill="231F20"/>
              <w:tabs>
                <w:tab w:val="left" w:pos="1987"/>
              </w:tabs>
              <w:spacing w:line="204" w:lineRule="auto"/>
              <w:ind w:firstLine="0"/>
              <w:rPr>
                <w:sz w:val="24"/>
                <w:szCs w:val="24"/>
              </w:rPr>
            </w:pPr>
            <w:r>
              <w:rPr>
                <w:rFonts w:ascii="Arial" w:eastAsia="Arial" w:hAnsi="Arial" w:cs="Arial"/>
                <w:b/>
                <w:bCs/>
                <w:color w:val="FFFFFF"/>
                <w:w w:val="70"/>
                <w:sz w:val="24"/>
                <w:szCs w:val="24"/>
              </w:rPr>
              <w:t>Trastornos primarios Reservorios o vías del hospedador</w:t>
            </w:r>
            <w:r>
              <w:rPr>
                <w:rFonts w:ascii="Arial" w:eastAsia="Arial" w:hAnsi="Arial" w:cs="Arial"/>
                <w:b/>
                <w:bCs/>
                <w:color w:val="FFFFFF"/>
                <w:w w:val="70"/>
                <w:sz w:val="24"/>
                <w:szCs w:val="24"/>
              </w:rPr>
              <w:tab/>
              <w:t>de penetración</w:t>
            </w:r>
          </w:p>
        </w:tc>
        <w:tc>
          <w:tcPr>
            <w:tcW w:w="2002" w:type="dxa"/>
            <w:shd w:val="clear" w:color="auto" w:fill="231F20"/>
          </w:tcPr>
          <w:p w14:paraId="558219D7" w14:textId="77777777" w:rsidR="00093A32" w:rsidRDefault="00093A32">
            <w:pPr>
              <w:pStyle w:val="Other0"/>
              <w:framePr w:w="11424" w:h="6101" w:wrap="none" w:hAnchor="page" w:x="635" w:y="361"/>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Manifestaciones clínicas comunes</w:t>
            </w:r>
          </w:p>
        </w:tc>
        <w:tc>
          <w:tcPr>
            <w:tcW w:w="1373" w:type="dxa"/>
            <w:shd w:val="clear" w:color="auto" w:fill="231F20"/>
          </w:tcPr>
          <w:p w14:paraId="7B262C43" w14:textId="77777777" w:rsidR="00093A32" w:rsidRDefault="00093A32">
            <w:pPr>
              <w:pStyle w:val="Other0"/>
              <w:framePr w:w="11424" w:h="6101" w:wrap="none" w:hAnchor="page" w:x="635" w:y="361"/>
              <w:pBdr>
                <w:top w:val="single" w:sz="0" w:space="0" w:color="231F20"/>
                <w:left w:val="single" w:sz="0" w:space="0" w:color="231F20"/>
                <w:bottom w:val="single" w:sz="0" w:space="0" w:color="231F20"/>
                <w:right w:val="single" w:sz="0" w:space="0" w:color="231F20"/>
              </w:pBdr>
              <w:shd w:val="clear" w:color="auto" w:fill="231F20"/>
              <w:spacing w:line="206" w:lineRule="auto"/>
              <w:ind w:firstLine="0"/>
              <w:rPr>
                <w:sz w:val="24"/>
                <w:szCs w:val="24"/>
              </w:rPr>
            </w:pPr>
            <w:r>
              <w:rPr>
                <w:rFonts w:ascii="Arial" w:eastAsia="Arial" w:hAnsi="Arial" w:cs="Arial"/>
                <w:b/>
                <w:bCs/>
                <w:color w:val="FFFFFF"/>
                <w:w w:val="70"/>
                <w:sz w:val="24"/>
                <w:szCs w:val="24"/>
              </w:rPr>
              <w:t>Métodos diagnósticos de laboratorio</w:t>
            </w:r>
          </w:p>
        </w:tc>
        <w:tc>
          <w:tcPr>
            <w:tcW w:w="2170" w:type="dxa"/>
            <w:shd w:val="clear" w:color="auto" w:fill="231F20"/>
          </w:tcPr>
          <w:p w14:paraId="027CFA68" w14:textId="77777777" w:rsidR="00093A32" w:rsidRDefault="00093A32">
            <w:pPr>
              <w:pStyle w:val="Other0"/>
              <w:framePr w:w="11424" w:h="6101"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Tratamiento</w:t>
            </w:r>
          </w:p>
        </w:tc>
      </w:tr>
      <w:tr w:rsidR="00093A32" w14:paraId="69DF11E6" w14:textId="77777777">
        <w:tblPrEx>
          <w:tblCellMar>
            <w:top w:w="0" w:type="dxa"/>
            <w:bottom w:w="0" w:type="dxa"/>
          </w:tblCellMar>
        </w:tblPrEx>
        <w:trPr>
          <w:trHeight w:hRule="exact" w:val="298"/>
        </w:trPr>
        <w:tc>
          <w:tcPr>
            <w:tcW w:w="1925" w:type="dxa"/>
            <w:shd w:val="clear" w:color="auto" w:fill="FFFFFF"/>
            <w:vAlign w:val="bottom"/>
          </w:tcPr>
          <w:p w14:paraId="67FC2C98"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b/>
                <w:bCs/>
                <w:sz w:val="16"/>
                <w:szCs w:val="16"/>
              </w:rPr>
              <w:t>Cigomicosis</w:t>
            </w:r>
          </w:p>
        </w:tc>
        <w:tc>
          <w:tcPr>
            <w:tcW w:w="9500" w:type="dxa"/>
            <w:gridSpan w:val="4"/>
            <w:shd w:val="clear" w:color="auto" w:fill="FFFFFF"/>
          </w:tcPr>
          <w:p w14:paraId="5047B45C" w14:textId="77777777" w:rsidR="00093A32" w:rsidRDefault="00093A32">
            <w:pPr>
              <w:framePr w:w="11424" w:h="6101" w:wrap="none" w:hAnchor="page" w:x="635" w:y="361"/>
              <w:rPr>
                <w:sz w:val="10"/>
                <w:szCs w:val="10"/>
              </w:rPr>
            </w:pPr>
          </w:p>
        </w:tc>
      </w:tr>
      <w:tr w:rsidR="00093A32" w14:paraId="27D2C3B9" w14:textId="77777777">
        <w:tblPrEx>
          <w:tblCellMar>
            <w:top w:w="0" w:type="dxa"/>
            <w:bottom w:w="0" w:type="dxa"/>
          </w:tblCellMar>
        </w:tblPrEx>
        <w:trPr>
          <w:trHeight w:hRule="exact" w:val="211"/>
        </w:trPr>
        <w:tc>
          <w:tcPr>
            <w:tcW w:w="1925" w:type="dxa"/>
            <w:shd w:val="clear" w:color="auto" w:fill="FFFFFF"/>
          </w:tcPr>
          <w:p w14:paraId="2DBE94A6"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Rhizopus;</w:t>
            </w:r>
          </w:p>
        </w:tc>
        <w:tc>
          <w:tcPr>
            <w:tcW w:w="3955" w:type="dxa"/>
            <w:shd w:val="clear" w:color="auto" w:fill="FFFFFF"/>
          </w:tcPr>
          <w:p w14:paraId="035973F5"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Inmunosupresión; cáncer Aparato respiratorio; piel</w:t>
            </w:r>
          </w:p>
        </w:tc>
        <w:tc>
          <w:tcPr>
            <w:tcW w:w="2002" w:type="dxa"/>
            <w:shd w:val="clear" w:color="auto" w:fill="FFFFFF"/>
          </w:tcPr>
          <w:p w14:paraId="19C234B4"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Infección rinocerebral;</w:t>
            </w:r>
          </w:p>
        </w:tc>
        <w:tc>
          <w:tcPr>
            <w:tcW w:w="1373" w:type="dxa"/>
            <w:shd w:val="clear" w:color="auto" w:fill="FFFFFF"/>
          </w:tcPr>
          <w:p w14:paraId="4A6CA7CB"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Cultivo y estudio</w:t>
            </w:r>
          </w:p>
        </w:tc>
        <w:tc>
          <w:tcPr>
            <w:tcW w:w="2170" w:type="dxa"/>
            <w:shd w:val="clear" w:color="auto" w:fill="FFFFFF"/>
          </w:tcPr>
          <w:p w14:paraId="456DFEBF"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Dosis altas de AmB</w:t>
            </w:r>
          </w:p>
        </w:tc>
      </w:tr>
      <w:tr w:rsidR="00093A32" w14:paraId="34C5DE54" w14:textId="77777777">
        <w:tblPrEx>
          <w:tblCellMar>
            <w:top w:w="0" w:type="dxa"/>
            <w:bottom w:w="0" w:type="dxa"/>
          </w:tblCellMar>
        </w:tblPrEx>
        <w:trPr>
          <w:trHeight w:hRule="exact" w:val="221"/>
        </w:trPr>
        <w:tc>
          <w:tcPr>
            <w:tcW w:w="1925" w:type="dxa"/>
            <w:shd w:val="clear" w:color="auto" w:fill="FFFFFF"/>
            <w:vAlign w:val="bottom"/>
          </w:tcPr>
          <w:p w14:paraId="5BAB5DFB"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i/>
                <w:iCs/>
                <w:sz w:val="16"/>
                <w:szCs w:val="16"/>
              </w:rPr>
              <w:t>Mucor; Absidia;</w:t>
            </w:r>
          </w:p>
        </w:tc>
        <w:tc>
          <w:tcPr>
            <w:tcW w:w="3955" w:type="dxa"/>
            <w:shd w:val="clear" w:color="auto" w:fill="FFFFFF"/>
            <w:vAlign w:val="bottom"/>
          </w:tcPr>
          <w:p w14:paraId="584154DA" w14:textId="77777777" w:rsidR="00093A32" w:rsidRDefault="00093A32">
            <w:pPr>
              <w:pStyle w:val="Other0"/>
              <w:framePr w:w="11424" w:h="6101" w:wrap="none" w:hAnchor="page" w:x="635" w:y="361"/>
              <w:spacing w:line="240" w:lineRule="auto"/>
              <w:ind w:firstLine="220"/>
              <w:rPr>
                <w:sz w:val="16"/>
                <w:szCs w:val="16"/>
              </w:rPr>
            </w:pPr>
            <w:r>
              <w:rPr>
                <w:rFonts w:ascii="Times New Roman" w:eastAsia="Times New Roman" w:hAnsi="Times New Roman" w:cs="Times New Roman"/>
                <w:sz w:val="16"/>
                <w:szCs w:val="16"/>
              </w:rPr>
              <w:t>hematológico; insuficiencia</w:t>
            </w:r>
          </w:p>
        </w:tc>
        <w:tc>
          <w:tcPr>
            <w:tcW w:w="2002" w:type="dxa"/>
            <w:shd w:val="clear" w:color="auto" w:fill="FFFFFF"/>
            <w:vAlign w:val="bottom"/>
          </w:tcPr>
          <w:p w14:paraId="5D6113E6" w14:textId="77777777" w:rsidR="00093A32" w:rsidRDefault="00093A32">
            <w:pPr>
              <w:pStyle w:val="Other0"/>
              <w:framePr w:w="11424" w:h="6101" w:wrap="none" w:hAnchor="page" w:x="635" w:y="361"/>
              <w:spacing w:line="240" w:lineRule="auto"/>
              <w:ind w:firstLine="200"/>
              <w:rPr>
                <w:sz w:val="16"/>
                <w:szCs w:val="16"/>
              </w:rPr>
            </w:pPr>
            <w:r>
              <w:rPr>
                <w:rFonts w:ascii="Times New Roman" w:eastAsia="Times New Roman" w:hAnsi="Times New Roman" w:cs="Times New Roman"/>
                <w:sz w:val="16"/>
                <w:szCs w:val="16"/>
              </w:rPr>
              <w:t>infección pulmonar;</w:t>
            </w:r>
          </w:p>
        </w:tc>
        <w:tc>
          <w:tcPr>
            <w:tcW w:w="1373" w:type="dxa"/>
            <w:shd w:val="clear" w:color="auto" w:fill="FFFFFF"/>
            <w:vAlign w:val="bottom"/>
          </w:tcPr>
          <w:p w14:paraId="70453D30" w14:textId="77777777" w:rsidR="00093A32" w:rsidRDefault="00093A32">
            <w:pPr>
              <w:pStyle w:val="Other0"/>
              <w:framePr w:w="11424" w:h="6101" w:wrap="none" w:hAnchor="page" w:x="635" w:y="361"/>
              <w:spacing w:line="240" w:lineRule="auto"/>
              <w:ind w:firstLine="140"/>
              <w:rPr>
                <w:sz w:val="16"/>
                <w:szCs w:val="16"/>
              </w:rPr>
            </w:pPr>
            <w:r>
              <w:rPr>
                <w:rFonts w:ascii="Times New Roman" w:eastAsia="Times New Roman" w:hAnsi="Times New Roman" w:cs="Times New Roman"/>
                <w:sz w:val="16"/>
                <w:szCs w:val="16"/>
              </w:rPr>
              <w:t>histopatológico</w:t>
            </w:r>
          </w:p>
        </w:tc>
        <w:tc>
          <w:tcPr>
            <w:tcW w:w="2170" w:type="dxa"/>
            <w:shd w:val="clear" w:color="auto" w:fill="FFFFFF"/>
            <w:vAlign w:val="bottom"/>
          </w:tcPr>
          <w:p w14:paraId="2B494417"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(1.5 mg/kg de peso al día)</w:t>
            </w: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y</w:t>
            </w:r>
          </w:p>
        </w:tc>
      </w:tr>
      <w:tr w:rsidR="00093A32" w14:paraId="54A86776" w14:textId="77777777">
        <w:tblPrEx>
          <w:tblCellMar>
            <w:top w:w="0" w:type="dxa"/>
            <w:bottom w:w="0" w:type="dxa"/>
          </w:tblCellMar>
        </w:tblPrEx>
        <w:trPr>
          <w:trHeight w:hRule="exact" w:val="864"/>
        </w:trPr>
        <w:tc>
          <w:tcPr>
            <w:tcW w:w="1925" w:type="dxa"/>
            <w:shd w:val="clear" w:color="auto" w:fill="FFFFFF"/>
          </w:tcPr>
          <w:p w14:paraId="25EF0A4B"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i/>
                <w:iCs/>
                <w:sz w:val="16"/>
                <w:szCs w:val="16"/>
              </w:rPr>
              <w:t>Rhizomucor</w:t>
            </w:r>
          </w:p>
        </w:tc>
        <w:tc>
          <w:tcPr>
            <w:tcW w:w="3955" w:type="dxa"/>
            <w:shd w:val="clear" w:color="auto" w:fill="FFFFFF"/>
          </w:tcPr>
          <w:p w14:paraId="5E6AA78D" w14:textId="77777777" w:rsidR="00093A32" w:rsidRDefault="00093A32">
            <w:pPr>
              <w:pStyle w:val="Other0"/>
              <w:framePr w:w="11424" w:h="6101" w:wrap="none" w:hAnchor="page" w:x="635" w:y="361"/>
              <w:spacing w:line="283" w:lineRule="auto"/>
              <w:ind w:left="220" w:firstLine="0"/>
              <w:rPr>
                <w:sz w:val="16"/>
                <w:szCs w:val="16"/>
              </w:rPr>
            </w:pPr>
            <w:r>
              <w:rPr>
                <w:rFonts w:ascii="Times New Roman" w:eastAsia="Times New Roman" w:hAnsi="Times New Roman" w:cs="Times New Roman"/>
                <w:sz w:val="16"/>
                <w:szCs w:val="16"/>
              </w:rPr>
              <w:t>renal; diabetes mellitus; uso de apósitos adhesivos no estériles</w:t>
            </w:r>
          </w:p>
        </w:tc>
        <w:tc>
          <w:tcPr>
            <w:tcW w:w="2002" w:type="dxa"/>
            <w:shd w:val="clear" w:color="auto" w:fill="FFFFFF"/>
            <w:vAlign w:val="bottom"/>
          </w:tcPr>
          <w:p w14:paraId="3CAAB0ED" w14:textId="77777777" w:rsidR="00093A32" w:rsidRDefault="00093A32">
            <w:pPr>
              <w:pStyle w:val="Other0"/>
              <w:framePr w:w="11424" w:h="6101" w:wrap="none" w:hAnchor="page" w:x="635" w:y="361"/>
              <w:spacing w:line="283" w:lineRule="auto"/>
              <w:ind w:left="200" w:firstLine="0"/>
              <w:rPr>
                <w:sz w:val="16"/>
                <w:szCs w:val="16"/>
              </w:rPr>
            </w:pPr>
            <w:r>
              <w:rPr>
                <w:rFonts w:ascii="Times New Roman" w:eastAsia="Times New Roman" w:hAnsi="Times New Roman" w:cs="Times New Roman"/>
                <w:sz w:val="16"/>
                <w:szCs w:val="16"/>
              </w:rPr>
              <w:t>infección diseminada; con menor frecuencia hay ataque de piel y vías gastrointestinales</w:t>
            </w:r>
          </w:p>
        </w:tc>
        <w:tc>
          <w:tcPr>
            <w:tcW w:w="1373" w:type="dxa"/>
            <w:shd w:val="clear" w:color="auto" w:fill="FFFFFF"/>
          </w:tcPr>
          <w:p w14:paraId="7B5252BB" w14:textId="77777777" w:rsidR="00093A32" w:rsidRDefault="00093A32">
            <w:pPr>
              <w:pStyle w:val="Other0"/>
              <w:framePr w:w="11424" w:h="6101" w:wrap="none" w:hAnchor="page" w:x="635" w:y="361"/>
              <w:spacing w:line="240" w:lineRule="auto"/>
              <w:ind w:firstLine="140"/>
              <w:rPr>
                <w:sz w:val="16"/>
                <w:szCs w:val="16"/>
              </w:rPr>
            </w:pPr>
            <w:r>
              <w:rPr>
                <w:rFonts w:ascii="Times New Roman" w:eastAsia="Times New Roman" w:hAnsi="Times New Roman" w:cs="Times New Roman"/>
                <w:sz w:val="16"/>
                <w:szCs w:val="16"/>
              </w:rPr>
              <w:t>de tejido</w:t>
            </w:r>
          </w:p>
        </w:tc>
        <w:tc>
          <w:tcPr>
            <w:tcW w:w="2170" w:type="dxa"/>
            <w:shd w:val="clear" w:color="auto" w:fill="FFFFFF"/>
          </w:tcPr>
          <w:p w14:paraId="203CB996" w14:textId="77777777" w:rsidR="00093A32" w:rsidRDefault="00093A32">
            <w:pPr>
              <w:pStyle w:val="Other0"/>
              <w:framePr w:w="11424" w:h="6101" w:wrap="none" w:hAnchor="page" w:x="635" w:y="361"/>
              <w:spacing w:line="283" w:lineRule="auto"/>
              <w:ind w:left="220" w:firstLine="0"/>
              <w:rPr>
                <w:sz w:val="16"/>
                <w:szCs w:val="16"/>
              </w:rPr>
            </w:pPr>
            <w:r>
              <w:rPr>
                <w:rFonts w:ascii="Times New Roman" w:eastAsia="Times New Roman" w:hAnsi="Times New Roman" w:cs="Times New Roman"/>
                <w:sz w:val="16"/>
                <w:szCs w:val="16"/>
              </w:rPr>
              <w:t>extirpación quirúrgica si es factible</w:t>
            </w:r>
          </w:p>
        </w:tc>
      </w:tr>
      <w:tr w:rsidR="00093A32" w14:paraId="0313B69D" w14:textId="77777777">
        <w:tblPrEx>
          <w:tblCellMar>
            <w:top w:w="0" w:type="dxa"/>
            <w:bottom w:w="0" w:type="dxa"/>
          </w:tblCellMar>
        </w:tblPrEx>
        <w:trPr>
          <w:trHeight w:hRule="exact" w:val="197"/>
        </w:trPr>
        <w:tc>
          <w:tcPr>
            <w:tcW w:w="1925" w:type="dxa"/>
            <w:shd w:val="clear" w:color="auto" w:fill="FFFFFF"/>
          </w:tcPr>
          <w:p w14:paraId="5B960E01"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b/>
                <w:bCs/>
                <w:sz w:val="16"/>
                <w:szCs w:val="16"/>
              </w:rPr>
              <w:t>Faehifomicosis</w:t>
            </w:r>
          </w:p>
        </w:tc>
        <w:tc>
          <w:tcPr>
            <w:tcW w:w="9500" w:type="dxa"/>
            <w:gridSpan w:val="4"/>
            <w:shd w:val="clear" w:color="auto" w:fill="FFFFFF"/>
          </w:tcPr>
          <w:p w14:paraId="26A42B09" w14:textId="77777777" w:rsidR="00093A32" w:rsidRDefault="00093A32">
            <w:pPr>
              <w:framePr w:w="11424" w:h="6101" w:wrap="none" w:hAnchor="page" w:x="635" w:y="361"/>
              <w:rPr>
                <w:sz w:val="10"/>
                <w:szCs w:val="10"/>
              </w:rPr>
            </w:pPr>
          </w:p>
        </w:tc>
      </w:tr>
      <w:tr w:rsidR="00093A32" w14:paraId="0DCA028C" w14:textId="77777777">
        <w:tblPrEx>
          <w:tblCellMar>
            <w:top w:w="0" w:type="dxa"/>
            <w:bottom w:w="0" w:type="dxa"/>
          </w:tblCellMar>
        </w:tblPrEx>
        <w:trPr>
          <w:trHeight w:hRule="exact" w:val="672"/>
        </w:trPr>
        <w:tc>
          <w:tcPr>
            <w:tcW w:w="1925" w:type="dxa"/>
            <w:shd w:val="clear" w:color="auto" w:fill="FFFFFF"/>
          </w:tcPr>
          <w:p w14:paraId="26515D4F"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Bipolaris</w:t>
            </w:r>
          </w:p>
        </w:tc>
        <w:tc>
          <w:tcPr>
            <w:tcW w:w="3955" w:type="dxa"/>
            <w:shd w:val="clear" w:color="auto" w:fill="FFFFFF"/>
          </w:tcPr>
          <w:p w14:paraId="1A7562FD"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Ninguna o inmunosupresión Entorno</w:t>
            </w:r>
          </w:p>
        </w:tc>
        <w:tc>
          <w:tcPr>
            <w:tcW w:w="2002" w:type="dxa"/>
            <w:shd w:val="clear" w:color="auto" w:fill="FFFFFF"/>
          </w:tcPr>
          <w:p w14:paraId="246352BD" w14:textId="77777777" w:rsidR="00093A32" w:rsidRDefault="00093A32">
            <w:pPr>
              <w:pStyle w:val="Other0"/>
              <w:framePr w:w="11424" w:h="6101" w:wrap="none" w:hAnchor="page" w:x="635" w:y="361"/>
              <w:spacing w:line="283" w:lineRule="auto"/>
              <w:ind w:left="200" w:hanging="200"/>
              <w:rPr>
                <w:sz w:val="16"/>
                <w:szCs w:val="16"/>
              </w:rPr>
            </w:pPr>
            <w:r>
              <w:rPr>
                <w:rFonts w:ascii="Times New Roman" w:eastAsia="Times New Roman" w:hAnsi="Times New Roman" w:cs="Times New Roman"/>
                <w:sz w:val="16"/>
                <w:szCs w:val="16"/>
              </w:rPr>
              <w:t>Sinusitis; infección diseminada</w:t>
            </w:r>
          </w:p>
        </w:tc>
        <w:tc>
          <w:tcPr>
            <w:tcW w:w="1373" w:type="dxa"/>
            <w:shd w:val="clear" w:color="auto" w:fill="FFFFFF"/>
            <w:vAlign w:val="bottom"/>
          </w:tcPr>
          <w:p w14:paraId="1169D370" w14:textId="77777777" w:rsidR="00093A32" w:rsidRDefault="00093A32">
            <w:pPr>
              <w:pStyle w:val="Other0"/>
              <w:framePr w:w="11424" w:h="6101" w:wrap="none" w:hAnchor="page" w:x="635" w:y="361"/>
              <w:spacing w:line="283" w:lineRule="auto"/>
              <w:ind w:left="140" w:hanging="140"/>
              <w:rPr>
                <w:sz w:val="16"/>
                <w:szCs w:val="16"/>
              </w:rPr>
            </w:pPr>
            <w:r>
              <w:rPr>
                <w:rFonts w:ascii="Times New Roman" w:eastAsia="Times New Roman" w:hAnsi="Times New Roman" w:cs="Times New Roman"/>
                <w:sz w:val="16"/>
                <w:szCs w:val="16"/>
              </w:rPr>
              <w:t>Cultivo y estudio histopatológico de tejido</w:t>
            </w:r>
          </w:p>
        </w:tc>
        <w:tc>
          <w:tcPr>
            <w:tcW w:w="2170" w:type="dxa"/>
            <w:shd w:val="clear" w:color="auto" w:fill="FFFFFF"/>
          </w:tcPr>
          <w:p w14:paraId="23E11AB3" w14:textId="77777777" w:rsidR="00093A32" w:rsidRDefault="00093A32">
            <w:pPr>
              <w:pStyle w:val="Other0"/>
              <w:framePr w:w="11424" w:h="6101" w:wrap="none" w:hAnchor="page" w:x="635" w:y="361"/>
              <w:spacing w:line="283" w:lineRule="auto"/>
              <w:ind w:left="220" w:hanging="220"/>
              <w:rPr>
                <w:sz w:val="16"/>
                <w:szCs w:val="16"/>
              </w:rPr>
            </w:pPr>
            <w:r>
              <w:rPr>
                <w:rFonts w:ascii="Times New Roman" w:eastAsia="Times New Roman" w:hAnsi="Times New Roman" w:cs="Times New Roman"/>
                <w:sz w:val="16"/>
                <w:szCs w:val="16"/>
              </w:rPr>
              <w:t>Itraconazol o AmB; extirpación quirúrgica</w:t>
            </w:r>
          </w:p>
        </w:tc>
      </w:tr>
      <w:tr w:rsidR="00093A32" w14:paraId="00D8E118" w14:textId="77777777">
        <w:tblPrEx>
          <w:tblCellMar>
            <w:top w:w="0" w:type="dxa"/>
            <w:bottom w:w="0" w:type="dxa"/>
          </w:tblCellMar>
        </w:tblPrEx>
        <w:trPr>
          <w:trHeight w:hRule="exact" w:val="1070"/>
        </w:trPr>
        <w:tc>
          <w:tcPr>
            <w:tcW w:w="1925" w:type="dxa"/>
            <w:shd w:val="clear" w:color="auto" w:fill="FFFFFF"/>
          </w:tcPr>
          <w:p w14:paraId="19D06D35"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Curvularia</w:t>
            </w:r>
          </w:p>
        </w:tc>
        <w:tc>
          <w:tcPr>
            <w:tcW w:w="3955" w:type="dxa"/>
            <w:shd w:val="clear" w:color="auto" w:fill="FFFFFF"/>
          </w:tcPr>
          <w:p w14:paraId="6BFA5481" w14:textId="77777777" w:rsidR="00093A32" w:rsidRDefault="00093A32">
            <w:pPr>
              <w:pStyle w:val="Other0"/>
              <w:framePr w:w="11424" w:h="6101" w:wrap="none" w:hAnchor="page" w:x="635" w:y="361"/>
              <w:tabs>
                <w:tab w:val="left" w:pos="1997"/>
              </w:tabs>
              <w:spacing w:line="283" w:lineRule="auto"/>
              <w:ind w:firstLine="0"/>
              <w:rPr>
                <w:sz w:val="16"/>
                <w:szCs w:val="16"/>
              </w:rPr>
            </w:pPr>
            <w:r>
              <w:rPr>
                <w:rFonts w:ascii="Times New Roman" w:eastAsia="Times New Roman" w:hAnsi="Times New Roman" w:cs="Times New Roman"/>
                <w:sz w:val="16"/>
                <w:szCs w:val="16"/>
              </w:rPr>
              <w:t>Inmunosupresión;</w:t>
            </w:r>
            <w:r>
              <w:rPr>
                <w:rFonts w:ascii="Times New Roman" w:eastAsia="Times New Roman" w:hAnsi="Times New Roman" w:cs="Times New Roman"/>
                <w:sz w:val="16"/>
                <w:szCs w:val="16"/>
              </w:rPr>
              <w:tab/>
              <w:t>Entorno</w:t>
            </w:r>
          </w:p>
          <w:p w14:paraId="7D88D949" w14:textId="77777777" w:rsidR="00093A32" w:rsidRDefault="00093A32">
            <w:pPr>
              <w:pStyle w:val="Other0"/>
              <w:framePr w:w="11424" w:h="6101" w:wrap="none" w:hAnchor="page" w:x="635" w:y="361"/>
              <w:spacing w:line="283" w:lineRule="auto"/>
              <w:ind w:left="220" w:firstLine="0"/>
              <w:rPr>
                <w:sz w:val="16"/>
                <w:szCs w:val="16"/>
              </w:rPr>
            </w:pPr>
            <w:r>
              <w:rPr>
                <w:rFonts w:ascii="Times New Roman" w:eastAsia="Times New Roman" w:hAnsi="Times New Roman" w:cs="Times New Roman"/>
                <w:sz w:val="16"/>
                <w:szCs w:val="16"/>
              </w:rPr>
              <w:t>alteración de la integridad cutánea; asma o pólipos nasales; sinusitis crónica</w:t>
            </w:r>
          </w:p>
        </w:tc>
        <w:tc>
          <w:tcPr>
            <w:tcW w:w="2002" w:type="dxa"/>
            <w:shd w:val="clear" w:color="auto" w:fill="FFFFFF"/>
          </w:tcPr>
          <w:p w14:paraId="0604D29D" w14:textId="77777777" w:rsidR="00093A32" w:rsidRDefault="00093A32">
            <w:pPr>
              <w:pStyle w:val="Other0"/>
              <w:framePr w:w="11424" w:h="6101" w:wrap="none" w:hAnchor="page" w:x="635" w:y="361"/>
              <w:spacing w:line="283" w:lineRule="auto"/>
              <w:ind w:left="200" w:hanging="200"/>
              <w:rPr>
                <w:sz w:val="16"/>
                <w:szCs w:val="16"/>
              </w:rPr>
            </w:pPr>
            <w:r>
              <w:rPr>
                <w:rFonts w:ascii="Times New Roman" w:eastAsia="Times New Roman" w:hAnsi="Times New Roman" w:cs="Times New Roman"/>
                <w:sz w:val="16"/>
                <w:szCs w:val="16"/>
              </w:rPr>
              <w:t>Sinusitis micótica alérgica; dermatitis invasora;</w:t>
            </w:r>
          </w:p>
          <w:p w14:paraId="021085B7" w14:textId="77777777" w:rsidR="00093A32" w:rsidRDefault="00093A32">
            <w:pPr>
              <w:pStyle w:val="Other0"/>
              <w:framePr w:w="11424" w:h="6101" w:wrap="none" w:hAnchor="page" w:x="635" w:y="361"/>
              <w:spacing w:line="283" w:lineRule="auto"/>
              <w:ind w:firstLine="200"/>
              <w:rPr>
                <w:sz w:val="16"/>
                <w:szCs w:val="16"/>
              </w:rPr>
            </w:pPr>
            <w:r>
              <w:rPr>
                <w:rFonts w:ascii="Times New Roman" w:eastAsia="Times New Roman" w:hAnsi="Times New Roman" w:cs="Times New Roman"/>
                <w:sz w:val="16"/>
                <w:szCs w:val="16"/>
              </w:rPr>
              <w:t>infección diseminada</w:t>
            </w:r>
          </w:p>
        </w:tc>
        <w:tc>
          <w:tcPr>
            <w:tcW w:w="1373" w:type="dxa"/>
            <w:shd w:val="clear" w:color="auto" w:fill="FFFFFF"/>
          </w:tcPr>
          <w:p w14:paraId="4EE66531" w14:textId="77777777" w:rsidR="00093A32" w:rsidRDefault="00093A32">
            <w:pPr>
              <w:pStyle w:val="Other0"/>
              <w:framePr w:w="11424" w:h="6101" w:wrap="none" w:hAnchor="page" w:x="635" w:y="361"/>
              <w:spacing w:line="283" w:lineRule="auto"/>
              <w:ind w:left="140" w:hanging="140"/>
              <w:rPr>
                <w:sz w:val="16"/>
                <w:szCs w:val="16"/>
              </w:rPr>
            </w:pPr>
            <w:r>
              <w:rPr>
                <w:rFonts w:ascii="Times New Roman" w:eastAsia="Times New Roman" w:hAnsi="Times New Roman" w:cs="Times New Roman"/>
                <w:sz w:val="16"/>
                <w:szCs w:val="16"/>
              </w:rPr>
              <w:t>Cultivo y estudio histopatológico de tejido</w:t>
            </w:r>
          </w:p>
        </w:tc>
        <w:tc>
          <w:tcPr>
            <w:tcW w:w="2170" w:type="dxa"/>
            <w:shd w:val="clear" w:color="auto" w:fill="FFFFFF"/>
          </w:tcPr>
          <w:p w14:paraId="77C4ECFB" w14:textId="77777777" w:rsidR="00093A32" w:rsidRDefault="00093A32">
            <w:pPr>
              <w:pStyle w:val="Other0"/>
              <w:framePr w:w="11424" w:h="6101" w:wrap="none" w:hAnchor="page" w:x="635" w:y="361"/>
              <w:spacing w:line="283" w:lineRule="auto"/>
              <w:ind w:left="220" w:hanging="220"/>
              <w:rPr>
                <w:sz w:val="16"/>
                <w:szCs w:val="16"/>
              </w:rPr>
            </w:pPr>
            <w:r>
              <w:rPr>
                <w:rFonts w:ascii="Times New Roman" w:eastAsia="Times New Roman" w:hAnsi="Times New Roman" w:cs="Times New Roman"/>
                <w:sz w:val="16"/>
                <w:szCs w:val="16"/>
              </w:rPr>
              <w:t>Sinusitis micótica alérgica; operaciones y corticosteroides</w:t>
            </w:r>
          </w:p>
          <w:p w14:paraId="58C44468" w14:textId="77777777" w:rsidR="00093A32" w:rsidRDefault="00093A32">
            <w:pPr>
              <w:pStyle w:val="Other0"/>
              <w:framePr w:w="11424" w:h="6101" w:wrap="none" w:hAnchor="page" w:x="635" w:y="361"/>
              <w:spacing w:line="283" w:lineRule="auto"/>
              <w:ind w:firstLine="0"/>
              <w:rPr>
                <w:sz w:val="16"/>
                <w:szCs w:val="16"/>
              </w:rPr>
            </w:pPr>
            <w:r>
              <w:rPr>
                <w:rFonts w:ascii="Times New Roman" w:eastAsia="Times New Roman" w:hAnsi="Times New Roman" w:cs="Times New Roman"/>
                <w:sz w:val="16"/>
                <w:szCs w:val="16"/>
              </w:rPr>
              <w:t>Enfermedad invasora:</w:t>
            </w:r>
          </w:p>
          <w:p w14:paraId="7C8120EB" w14:textId="77777777" w:rsidR="00093A32" w:rsidRDefault="00093A32">
            <w:pPr>
              <w:pStyle w:val="Other0"/>
              <w:framePr w:w="11424" w:h="6101" w:wrap="none" w:hAnchor="page" w:x="635" w:y="361"/>
              <w:spacing w:line="283" w:lineRule="auto"/>
              <w:ind w:firstLine="220"/>
              <w:rPr>
                <w:sz w:val="16"/>
                <w:szCs w:val="16"/>
              </w:rPr>
            </w:pPr>
            <w:r>
              <w:rPr>
                <w:rFonts w:ascii="Times New Roman" w:eastAsia="Times New Roman" w:hAnsi="Times New Roman" w:cs="Times New Roman"/>
                <w:sz w:val="16"/>
                <w:szCs w:val="16"/>
              </w:rPr>
              <w:t>Itraconazol</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AmB</w:t>
            </w:r>
          </w:p>
        </w:tc>
      </w:tr>
      <w:tr w:rsidR="00093A32" w14:paraId="71517E83" w14:textId="77777777">
        <w:tblPrEx>
          <w:tblCellMar>
            <w:top w:w="0" w:type="dxa"/>
            <w:bottom w:w="0" w:type="dxa"/>
          </w:tblCellMar>
        </w:tblPrEx>
        <w:trPr>
          <w:trHeight w:hRule="exact" w:val="677"/>
        </w:trPr>
        <w:tc>
          <w:tcPr>
            <w:tcW w:w="1925" w:type="dxa"/>
            <w:shd w:val="clear" w:color="auto" w:fill="FFFFFF"/>
          </w:tcPr>
          <w:p w14:paraId="1B4003CD"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Exserohilum</w:t>
            </w:r>
          </w:p>
        </w:tc>
        <w:tc>
          <w:tcPr>
            <w:tcW w:w="3955" w:type="dxa"/>
            <w:shd w:val="clear" w:color="auto" w:fill="FFFFFF"/>
          </w:tcPr>
          <w:p w14:paraId="01DE9E27"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Ninguna o inmunosupresión Entorno</w:t>
            </w:r>
          </w:p>
        </w:tc>
        <w:tc>
          <w:tcPr>
            <w:tcW w:w="2002" w:type="dxa"/>
            <w:shd w:val="clear" w:color="auto" w:fill="FFFFFF"/>
            <w:vAlign w:val="bottom"/>
          </w:tcPr>
          <w:p w14:paraId="5465F281" w14:textId="77777777" w:rsidR="00093A32" w:rsidRDefault="00093A32">
            <w:pPr>
              <w:pStyle w:val="Other0"/>
              <w:framePr w:w="11424" w:h="6101" w:wrap="none" w:hAnchor="page" w:x="635" w:y="361"/>
              <w:spacing w:line="283" w:lineRule="auto"/>
              <w:ind w:left="200" w:hanging="200"/>
              <w:rPr>
                <w:sz w:val="16"/>
                <w:szCs w:val="16"/>
              </w:rPr>
            </w:pPr>
            <w:r>
              <w:rPr>
                <w:rFonts w:ascii="Times New Roman" w:eastAsia="Times New Roman" w:hAnsi="Times New Roman" w:cs="Times New Roman"/>
                <w:sz w:val="16"/>
                <w:szCs w:val="16"/>
              </w:rPr>
              <w:t>Sinusitis; lesiones cutáneas; infección diseminada de tejido</w:t>
            </w:r>
          </w:p>
        </w:tc>
        <w:tc>
          <w:tcPr>
            <w:tcW w:w="1373" w:type="dxa"/>
            <w:shd w:val="clear" w:color="auto" w:fill="FFFFFF"/>
          </w:tcPr>
          <w:p w14:paraId="66152720" w14:textId="77777777" w:rsidR="00093A32" w:rsidRDefault="00093A32">
            <w:pPr>
              <w:pStyle w:val="Other0"/>
              <w:framePr w:w="11424" w:h="6101" w:wrap="none" w:hAnchor="page" w:x="635" w:y="361"/>
              <w:spacing w:line="283" w:lineRule="auto"/>
              <w:ind w:left="140" w:hanging="140"/>
              <w:rPr>
                <w:sz w:val="16"/>
                <w:szCs w:val="16"/>
              </w:rPr>
            </w:pPr>
            <w:r>
              <w:rPr>
                <w:rFonts w:ascii="Times New Roman" w:eastAsia="Times New Roman" w:hAnsi="Times New Roman" w:cs="Times New Roman"/>
                <w:sz w:val="16"/>
                <w:szCs w:val="16"/>
              </w:rPr>
              <w:t>Cultivo y estudio histopatológico</w:t>
            </w:r>
          </w:p>
        </w:tc>
        <w:tc>
          <w:tcPr>
            <w:tcW w:w="2170" w:type="dxa"/>
            <w:shd w:val="clear" w:color="auto" w:fill="FFFFFF"/>
          </w:tcPr>
          <w:p w14:paraId="548AF122" w14:textId="77777777" w:rsidR="00093A32" w:rsidRDefault="00093A32">
            <w:pPr>
              <w:pStyle w:val="Other0"/>
              <w:framePr w:w="11424" w:h="6101" w:wrap="none" w:hAnchor="page" w:x="635" w:y="361"/>
              <w:spacing w:line="283" w:lineRule="auto"/>
              <w:ind w:left="220" w:hanging="220"/>
              <w:rPr>
                <w:sz w:val="16"/>
                <w:szCs w:val="16"/>
              </w:rPr>
            </w:pPr>
            <w:r>
              <w:rPr>
                <w:rFonts w:ascii="Times New Roman" w:eastAsia="Times New Roman" w:hAnsi="Times New Roman" w:cs="Times New Roman"/>
                <w:sz w:val="16"/>
                <w:szCs w:val="16"/>
              </w:rPr>
              <w:t>Itraconazol</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AmB; extirpación quirúrgica</w:t>
            </w:r>
          </w:p>
        </w:tc>
      </w:tr>
      <w:tr w:rsidR="00093A32" w14:paraId="477B5A02" w14:textId="77777777">
        <w:tblPrEx>
          <w:tblCellMar>
            <w:top w:w="0" w:type="dxa"/>
            <w:bottom w:w="0" w:type="dxa"/>
          </w:tblCellMar>
        </w:tblPrEx>
        <w:trPr>
          <w:trHeight w:hRule="exact" w:val="1051"/>
        </w:trPr>
        <w:tc>
          <w:tcPr>
            <w:tcW w:w="1925" w:type="dxa"/>
            <w:shd w:val="clear" w:color="auto" w:fill="FFFFFF"/>
          </w:tcPr>
          <w:p w14:paraId="5E6F6DA3" w14:textId="77777777" w:rsidR="00093A32" w:rsidRDefault="00093A32">
            <w:pPr>
              <w:pStyle w:val="Other0"/>
              <w:framePr w:w="11424" w:h="6101" w:wrap="none" w:hAnchor="page" w:x="635" w:y="361"/>
              <w:spacing w:line="240" w:lineRule="auto"/>
              <w:ind w:firstLine="160"/>
              <w:rPr>
                <w:sz w:val="16"/>
                <w:szCs w:val="16"/>
              </w:rPr>
            </w:pPr>
            <w:r>
              <w:rPr>
                <w:rFonts w:ascii="Times New Roman" w:eastAsia="Times New Roman" w:hAnsi="Times New Roman" w:cs="Times New Roman"/>
                <w:i/>
                <w:iCs/>
                <w:sz w:val="16"/>
                <w:szCs w:val="16"/>
              </w:rPr>
              <w:t>Pseudallescheria boydii</w:t>
            </w:r>
          </w:p>
        </w:tc>
        <w:tc>
          <w:tcPr>
            <w:tcW w:w="3955" w:type="dxa"/>
            <w:shd w:val="clear" w:color="auto" w:fill="FFFFFF"/>
          </w:tcPr>
          <w:p w14:paraId="73CDDE67" w14:textId="77777777" w:rsidR="00093A32" w:rsidRDefault="00093A32">
            <w:pPr>
              <w:pStyle w:val="Other0"/>
              <w:framePr w:w="11424" w:h="6101" w:wrap="none" w:hAnchor="page" w:x="635" w:y="361"/>
              <w:spacing w:line="240" w:lineRule="auto"/>
              <w:ind w:firstLine="0"/>
              <w:rPr>
                <w:sz w:val="16"/>
                <w:szCs w:val="16"/>
              </w:rPr>
            </w:pPr>
            <w:r>
              <w:rPr>
                <w:rFonts w:ascii="Times New Roman" w:eastAsia="Times New Roman" w:hAnsi="Times New Roman" w:cs="Times New Roman"/>
                <w:sz w:val="16"/>
                <w:szCs w:val="16"/>
              </w:rPr>
              <w:t>Ninguna o inmunosupresión Entorno</w:t>
            </w:r>
          </w:p>
        </w:tc>
        <w:tc>
          <w:tcPr>
            <w:tcW w:w="2002" w:type="dxa"/>
            <w:shd w:val="clear" w:color="auto" w:fill="FFFFFF"/>
          </w:tcPr>
          <w:p w14:paraId="3BDA0D9B" w14:textId="77777777" w:rsidR="00093A32" w:rsidRDefault="00093A32">
            <w:pPr>
              <w:pStyle w:val="Other0"/>
              <w:framePr w:w="11424" w:h="6101" w:wrap="none" w:hAnchor="page" w:x="635" w:y="361"/>
              <w:spacing w:line="283" w:lineRule="auto"/>
              <w:ind w:left="200" w:hanging="200"/>
              <w:rPr>
                <w:sz w:val="16"/>
                <w:szCs w:val="16"/>
              </w:rPr>
            </w:pPr>
            <w:r>
              <w:rPr>
                <w:rFonts w:ascii="Times New Roman" w:eastAsia="Times New Roman" w:hAnsi="Times New Roman" w:cs="Times New Roman"/>
                <w:sz w:val="16"/>
                <w:szCs w:val="16"/>
              </w:rPr>
              <w:t>Neumonía; infección diseminada; micetoma (pacientes inmunocompetentes); endocarditis</w:t>
            </w:r>
          </w:p>
        </w:tc>
        <w:tc>
          <w:tcPr>
            <w:tcW w:w="1373" w:type="dxa"/>
            <w:shd w:val="clear" w:color="auto" w:fill="FFFFFF"/>
          </w:tcPr>
          <w:p w14:paraId="3748B446" w14:textId="77777777" w:rsidR="00093A32" w:rsidRDefault="00093A32">
            <w:pPr>
              <w:pStyle w:val="Other0"/>
              <w:framePr w:w="11424" w:h="6101" w:wrap="none" w:hAnchor="page" w:x="635" w:y="361"/>
              <w:spacing w:line="283" w:lineRule="auto"/>
              <w:ind w:left="140" w:hanging="140"/>
              <w:jc w:val="both"/>
              <w:rPr>
                <w:sz w:val="16"/>
                <w:szCs w:val="16"/>
              </w:rPr>
            </w:pPr>
            <w:r>
              <w:rPr>
                <w:rFonts w:ascii="Times New Roman" w:eastAsia="Times New Roman" w:hAnsi="Times New Roman" w:cs="Times New Roman"/>
                <w:sz w:val="16"/>
                <w:szCs w:val="16"/>
              </w:rPr>
              <w:t>Cultivo y estudio histopatológico de tejido</w:t>
            </w:r>
          </w:p>
        </w:tc>
        <w:tc>
          <w:tcPr>
            <w:tcW w:w="2170" w:type="dxa"/>
            <w:shd w:val="clear" w:color="auto" w:fill="FFFFFF"/>
          </w:tcPr>
          <w:p w14:paraId="7B38A769" w14:textId="77777777" w:rsidR="00093A32" w:rsidRDefault="00093A32">
            <w:pPr>
              <w:pStyle w:val="Other0"/>
              <w:framePr w:w="11424" w:h="6101" w:wrap="none" w:hAnchor="page" w:x="635" w:y="361"/>
              <w:spacing w:line="283" w:lineRule="auto"/>
              <w:ind w:left="220" w:hanging="220"/>
              <w:rPr>
                <w:sz w:val="16"/>
                <w:szCs w:val="16"/>
              </w:rPr>
            </w:pPr>
            <w:r>
              <w:rPr>
                <w:rFonts w:ascii="Times New Roman" w:eastAsia="Times New Roman" w:hAnsi="Times New Roman" w:cs="Times New Roman"/>
                <w:sz w:val="16"/>
                <w:szCs w:val="16"/>
              </w:rPr>
              <w:t>Itraconazol</w:t>
            </w:r>
            <w:r>
              <w:rPr>
                <w:rFonts w:ascii="Times New Roman" w:eastAsia="Times New Roman" w:hAnsi="Times New Roman" w:cs="Times New Roman"/>
                <w:sz w:val="16"/>
                <w:szCs w:val="16"/>
                <w:vertAlign w:val="superscript"/>
              </w:rPr>
              <w:t>4</w:t>
            </w:r>
            <w:r>
              <w:rPr>
                <w:rFonts w:ascii="Times New Roman" w:eastAsia="Times New Roman" w:hAnsi="Times New Roman" w:cs="Times New Roman"/>
                <w:sz w:val="16"/>
                <w:szCs w:val="16"/>
              </w:rPr>
              <w:t>; extirpación quirúrgica contra infección pulmonar, en la medida de lo posible</w:t>
            </w:r>
          </w:p>
        </w:tc>
      </w:tr>
    </w:tbl>
    <w:p w14:paraId="6238EA19" w14:textId="77777777" w:rsidR="00093A32" w:rsidRDefault="00093A32">
      <w:pPr>
        <w:framePr w:w="11424" w:h="6101" w:wrap="none" w:hAnchor="page" w:x="635" w:y="361"/>
        <w:spacing w:line="1" w:lineRule="exact"/>
      </w:pPr>
    </w:p>
    <w:p w14:paraId="3C79A616" w14:textId="77777777" w:rsidR="00093A32" w:rsidRDefault="00093A32">
      <w:pPr>
        <w:pStyle w:val="Bodytext80"/>
        <w:framePr w:w="168" w:h="3744" w:hRule="exact" w:wrap="none" w:hAnchor="page" w:x="12390" w:y="3155"/>
        <w:tabs>
          <w:tab w:val="left" w:pos="3427"/>
        </w:tabs>
        <w:textDirection w:val="tbRl"/>
        <w:rPr>
          <w:sz w:val="16"/>
          <w:szCs w:val="16"/>
        </w:rPr>
      </w:pPr>
      <w:r>
        <w:t>MICOSIS</w:t>
      </w:r>
      <w:r>
        <w:tab/>
      </w:r>
      <w:r>
        <w:rPr>
          <w:sz w:val="16"/>
          <w:szCs w:val="16"/>
        </w:rPr>
        <w:t>495</w:t>
      </w:r>
    </w:p>
    <w:p w14:paraId="21E56E24" w14:textId="77777777" w:rsidR="00093A32" w:rsidRDefault="00093A32">
      <w:pPr>
        <w:spacing w:line="360" w:lineRule="exact"/>
      </w:pPr>
    </w:p>
    <w:p w14:paraId="79BF0DE0" w14:textId="77777777" w:rsidR="00093A32" w:rsidRDefault="00093A32">
      <w:pPr>
        <w:spacing w:line="360" w:lineRule="exact"/>
      </w:pPr>
    </w:p>
    <w:p w14:paraId="3184506C" w14:textId="77777777" w:rsidR="00093A32" w:rsidRDefault="00093A32">
      <w:pPr>
        <w:spacing w:line="360" w:lineRule="exact"/>
      </w:pPr>
    </w:p>
    <w:p w14:paraId="3C0E176D" w14:textId="77777777" w:rsidR="00093A32" w:rsidRDefault="00093A32">
      <w:pPr>
        <w:spacing w:line="360" w:lineRule="exact"/>
      </w:pPr>
    </w:p>
    <w:p w14:paraId="03A5826C" w14:textId="77777777" w:rsidR="00093A32" w:rsidRDefault="00093A32">
      <w:pPr>
        <w:spacing w:line="360" w:lineRule="exact"/>
      </w:pPr>
    </w:p>
    <w:p w14:paraId="7F892A32" w14:textId="77777777" w:rsidR="00093A32" w:rsidRDefault="00093A32">
      <w:pPr>
        <w:spacing w:line="360" w:lineRule="exact"/>
      </w:pPr>
    </w:p>
    <w:p w14:paraId="4C24AC83" w14:textId="77777777" w:rsidR="00093A32" w:rsidRDefault="00093A32">
      <w:pPr>
        <w:spacing w:line="360" w:lineRule="exact"/>
      </w:pPr>
    </w:p>
    <w:p w14:paraId="35FAEA3E" w14:textId="77777777" w:rsidR="00093A32" w:rsidRDefault="00093A32">
      <w:pPr>
        <w:spacing w:line="360" w:lineRule="exact"/>
      </w:pPr>
    </w:p>
    <w:p w14:paraId="75F91F64" w14:textId="77777777" w:rsidR="00093A32" w:rsidRDefault="00093A32">
      <w:pPr>
        <w:spacing w:line="360" w:lineRule="exact"/>
      </w:pPr>
    </w:p>
    <w:p w14:paraId="71363B7B" w14:textId="77777777" w:rsidR="00093A32" w:rsidRDefault="00093A32">
      <w:pPr>
        <w:spacing w:line="360" w:lineRule="exact"/>
      </w:pPr>
    </w:p>
    <w:p w14:paraId="4894DD23" w14:textId="77777777" w:rsidR="00093A32" w:rsidRDefault="00093A32">
      <w:pPr>
        <w:spacing w:line="360" w:lineRule="exact"/>
      </w:pPr>
    </w:p>
    <w:p w14:paraId="11F46082" w14:textId="77777777" w:rsidR="00093A32" w:rsidRDefault="00093A32">
      <w:pPr>
        <w:spacing w:line="360" w:lineRule="exact"/>
      </w:pPr>
    </w:p>
    <w:p w14:paraId="67271811" w14:textId="77777777" w:rsidR="00093A32" w:rsidRDefault="00093A32">
      <w:pPr>
        <w:spacing w:line="360" w:lineRule="exact"/>
      </w:pPr>
    </w:p>
    <w:p w14:paraId="61D330E5" w14:textId="77777777" w:rsidR="00093A32" w:rsidRDefault="00093A32">
      <w:pPr>
        <w:spacing w:line="360" w:lineRule="exact"/>
      </w:pPr>
    </w:p>
    <w:p w14:paraId="7E07B088" w14:textId="77777777" w:rsidR="00093A32" w:rsidRDefault="00093A32">
      <w:pPr>
        <w:spacing w:line="360" w:lineRule="exact"/>
      </w:pPr>
    </w:p>
    <w:p w14:paraId="080C4E77" w14:textId="77777777" w:rsidR="00093A32" w:rsidRDefault="00093A32">
      <w:pPr>
        <w:spacing w:line="360" w:lineRule="exact"/>
      </w:pPr>
    </w:p>
    <w:p w14:paraId="5B2AE4D9" w14:textId="77777777" w:rsidR="00093A32" w:rsidRDefault="00093A32">
      <w:pPr>
        <w:spacing w:line="360" w:lineRule="exact"/>
      </w:pPr>
    </w:p>
    <w:p w14:paraId="179A4CD3" w14:textId="77777777" w:rsidR="00093A32" w:rsidRDefault="00093A32">
      <w:pPr>
        <w:spacing w:line="360" w:lineRule="exact"/>
      </w:pPr>
    </w:p>
    <w:p w14:paraId="1581F506" w14:textId="77777777" w:rsidR="00093A32" w:rsidRDefault="00093A32">
      <w:pPr>
        <w:spacing w:after="382" w:line="1" w:lineRule="exact"/>
      </w:pPr>
    </w:p>
    <w:p w14:paraId="35A1ADC3" w14:textId="77777777" w:rsidR="00093A32" w:rsidRDefault="00093A32">
      <w:pPr>
        <w:spacing w:line="1" w:lineRule="exact"/>
        <w:sectPr w:rsidR="00093A32" w:rsidSect="00093A32">
          <w:headerReference w:type="even" r:id="rId274"/>
          <w:headerReference w:type="default" r:id="rId275"/>
          <w:footerReference w:type="even" r:id="rId276"/>
          <w:footerReference w:type="default" r:id="rId277"/>
          <w:footnotePr>
            <w:numFmt w:val="chicago"/>
          </w:footnotePr>
          <w:pgSz w:w="13022" w:h="8501" w:orient="landscape"/>
          <w:pgMar w:top="1099" w:right="466" w:bottom="538" w:left="634" w:header="671" w:footer="3" w:gutter="0"/>
          <w:cols w:space="720"/>
          <w:noEndnote/>
          <w:docGrid w:linePitch="360"/>
          <w15:footnoteColumns w:val="1"/>
        </w:sectPr>
      </w:pPr>
    </w:p>
    <w:p w14:paraId="1693EFBA" w14:textId="77777777" w:rsidR="00093A32" w:rsidRDefault="00093A32">
      <w:pPr>
        <w:pStyle w:val="Heading31"/>
        <w:keepNext/>
        <w:keepLines/>
        <w:framePr w:w="3758" w:h="317" w:wrap="none" w:hAnchor="page" w:x="4475" w:y="1"/>
      </w:pPr>
      <w:bookmarkStart w:id="101" w:name="bookmark707"/>
      <w:bookmarkStart w:id="102" w:name="bookmark708"/>
      <w:bookmarkStart w:id="103" w:name="bookmark709"/>
      <w:r>
        <w:rPr>
          <w:b w:val="0"/>
          <w:bCs w:val="0"/>
        </w:rPr>
        <w:t xml:space="preserve">Cuadro 3-46. </w:t>
      </w:r>
      <w:r>
        <w:t>Otras micosis, continuación</w:t>
      </w:r>
      <w:bookmarkEnd w:id="101"/>
      <w:bookmarkEnd w:id="102"/>
      <w:bookmarkEnd w:id="103"/>
    </w:p>
    <w:tbl>
      <w:tblPr>
        <w:tblOverlap w:val="never"/>
        <w:tblW w:w="0" w:type="auto"/>
        <w:tblLayout w:type="fixed"/>
        <w:tblCellMar>
          <w:left w:w="10" w:type="dxa"/>
          <w:right w:w="10" w:type="dxa"/>
        </w:tblCellMar>
        <w:tblLook w:val="04A0" w:firstRow="1" w:lastRow="0" w:firstColumn="1" w:lastColumn="0" w:noHBand="0" w:noVBand="1"/>
      </w:tblPr>
      <w:tblGrid>
        <w:gridCol w:w="1853"/>
        <w:gridCol w:w="2112"/>
        <w:gridCol w:w="1939"/>
        <w:gridCol w:w="1968"/>
        <w:gridCol w:w="1445"/>
        <w:gridCol w:w="2107"/>
      </w:tblGrid>
      <w:tr w:rsidR="00093A32" w14:paraId="5262186B" w14:textId="77777777">
        <w:tblPrEx>
          <w:tblCellMar>
            <w:top w:w="0" w:type="dxa"/>
            <w:bottom w:w="0" w:type="dxa"/>
          </w:tblCellMar>
        </w:tblPrEx>
        <w:trPr>
          <w:trHeight w:hRule="exact" w:val="840"/>
        </w:trPr>
        <w:tc>
          <w:tcPr>
            <w:tcW w:w="1853" w:type="dxa"/>
            <w:shd w:val="clear" w:color="auto" w:fill="231F20"/>
          </w:tcPr>
          <w:p w14:paraId="44607CE6" w14:textId="77777777" w:rsidR="00093A32" w:rsidRDefault="00093A32">
            <w:pPr>
              <w:pStyle w:val="Other0"/>
              <w:framePr w:w="11424" w:h="5947" w:vSpace="917" w:wrap="none" w:hAnchor="page" w:x="635" w:y="385"/>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Enfermedad y agente</w:t>
            </w:r>
          </w:p>
        </w:tc>
        <w:tc>
          <w:tcPr>
            <w:tcW w:w="2112" w:type="dxa"/>
            <w:shd w:val="clear" w:color="auto" w:fill="231F20"/>
          </w:tcPr>
          <w:p w14:paraId="44A46496" w14:textId="77777777" w:rsidR="00093A32" w:rsidRDefault="00093A32">
            <w:pPr>
              <w:pStyle w:val="Other0"/>
              <w:framePr w:w="11424" w:h="5947" w:vSpace="917" w:wrap="none" w:hAnchor="page" w:x="635" w:y="385"/>
              <w:pBdr>
                <w:top w:val="single" w:sz="0" w:space="0" w:color="231F20"/>
                <w:left w:val="single" w:sz="0" w:space="0" w:color="231F20"/>
                <w:bottom w:val="single" w:sz="0" w:space="0" w:color="231F20"/>
                <w:right w:val="single" w:sz="0" w:space="0" w:color="231F20"/>
              </w:pBdr>
              <w:shd w:val="clear" w:color="auto" w:fill="231F20"/>
              <w:spacing w:line="204" w:lineRule="auto"/>
              <w:ind w:left="140" w:firstLine="0"/>
              <w:rPr>
                <w:sz w:val="24"/>
                <w:szCs w:val="24"/>
              </w:rPr>
            </w:pPr>
            <w:r>
              <w:rPr>
                <w:rFonts w:ascii="Arial" w:eastAsia="Arial" w:hAnsi="Arial" w:cs="Arial"/>
                <w:b/>
                <w:bCs/>
                <w:color w:val="FFFFFF"/>
                <w:w w:val="70"/>
                <w:sz w:val="24"/>
                <w:szCs w:val="24"/>
              </w:rPr>
              <w:t>Trastornos primarios del hospedador</w:t>
            </w:r>
          </w:p>
        </w:tc>
        <w:tc>
          <w:tcPr>
            <w:tcW w:w="1939" w:type="dxa"/>
            <w:shd w:val="clear" w:color="auto" w:fill="231F20"/>
          </w:tcPr>
          <w:p w14:paraId="71B3B0F2" w14:textId="77777777" w:rsidR="00093A32" w:rsidRDefault="00093A32">
            <w:pPr>
              <w:pStyle w:val="Other0"/>
              <w:framePr w:w="11424" w:h="5947" w:vSpace="917" w:wrap="none" w:hAnchor="page" w:x="635" w:y="385"/>
              <w:pBdr>
                <w:top w:val="single" w:sz="0" w:space="0" w:color="231F20"/>
                <w:left w:val="single" w:sz="0" w:space="0" w:color="231F20"/>
                <w:bottom w:val="single" w:sz="0" w:space="0" w:color="231F20"/>
                <w:right w:val="single" w:sz="0" w:space="0" w:color="231F20"/>
              </w:pBdr>
              <w:shd w:val="clear" w:color="auto" w:fill="231F20"/>
              <w:spacing w:line="204" w:lineRule="auto"/>
              <w:ind w:firstLine="0"/>
              <w:rPr>
                <w:sz w:val="24"/>
                <w:szCs w:val="24"/>
              </w:rPr>
            </w:pPr>
            <w:r>
              <w:rPr>
                <w:rFonts w:ascii="Arial" w:eastAsia="Arial" w:hAnsi="Arial" w:cs="Arial"/>
                <w:b/>
                <w:bCs/>
                <w:color w:val="FFFFFF"/>
                <w:w w:val="70"/>
                <w:sz w:val="24"/>
                <w:szCs w:val="24"/>
              </w:rPr>
              <w:t>Reservorios o vías de penetración</w:t>
            </w:r>
          </w:p>
        </w:tc>
        <w:tc>
          <w:tcPr>
            <w:tcW w:w="1968" w:type="dxa"/>
            <w:shd w:val="clear" w:color="auto" w:fill="231F20"/>
          </w:tcPr>
          <w:p w14:paraId="159827AE" w14:textId="77777777" w:rsidR="00093A32" w:rsidRDefault="00093A32">
            <w:pPr>
              <w:pStyle w:val="Other0"/>
              <w:framePr w:w="11424" w:h="5947" w:vSpace="917" w:wrap="none" w:hAnchor="page" w:x="635" w:y="385"/>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Manifestaciones clínicas comunes</w:t>
            </w:r>
          </w:p>
        </w:tc>
        <w:tc>
          <w:tcPr>
            <w:tcW w:w="1445" w:type="dxa"/>
            <w:shd w:val="clear" w:color="auto" w:fill="231F20"/>
          </w:tcPr>
          <w:p w14:paraId="09370A1E" w14:textId="77777777" w:rsidR="00093A32" w:rsidRDefault="00093A32">
            <w:pPr>
              <w:pStyle w:val="Other0"/>
              <w:framePr w:w="11424" w:h="5947" w:vSpace="917" w:wrap="none" w:hAnchor="page" w:x="635" w:y="385"/>
              <w:pBdr>
                <w:top w:val="single" w:sz="0" w:space="0" w:color="231F20"/>
                <w:left w:val="single" w:sz="0" w:space="0" w:color="231F20"/>
                <w:bottom w:val="single" w:sz="0" w:space="0" w:color="231F20"/>
                <w:right w:val="single" w:sz="0" w:space="0" w:color="231F20"/>
              </w:pBdr>
              <w:shd w:val="clear" w:color="auto" w:fill="231F20"/>
              <w:spacing w:line="206" w:lineRule="auto"/>
              <w:ind w:firstLine="0"/>
              <w:rPr>
                <w:sz w:val="24"/>
                <w:szCs w:val="24"/>
              </w:rPr>
            </w:pPr>
            <w:r>
              <w:rPr>
                <w:rFonts w:ascii="Arial" w:eastAsia="Arial" w:hAnsi="Arial" w:cs="Arial"/>
                <w:b/>
                <w:bCs/>
                <w:color w:val="FFFFFF"/>
                <w:w w:val="70"/>
                <w:sz w:val="24"/>
                <w:szCs w:val="24"/>
              </w:rPr>
              <w:t>Métodos diagnósticos de laboratorio</w:t>
            </w:r>
          </w:p>
        </w:tc>
        <w:tc>
          <w:tcPr>
            <w:tcW w:w="2107" w:type="dxa"/>
            <w:shd w:val="clear" w:color="auto" w:fill="231F20"/>
          </w:tcPr>
          <w:p w14:paraId="1F8BD474" w14:textId="77777777" w:rsidR="00093A32" w:rsidRDefault="00093A32">
            <w:pPr>
              <w:pStyle w:val="Other0"/>
              <w:framePr w:w="11424" w:h="5947" w:vSpace="917" w:wrap="none" w:hAnchor="page" w:x="635" w:y="38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Tratamiento</w:t>
            </w:r>
          </w:p>
        </w:tc>
      </w:tr>
      <w:tr w:rsidR="00093A32" w14:paraId="4DE93A99" w14:textId="77777777">
        <w:tblPrEx>
          <w:tblCellMar>
            <w:top w:w="0" w:type="dxa"/>
            <w:bottom w:w="0" w:type="dxa"/>
          </w:tblCellMar>
        </w:tblPrEx>
        <w:trPr>
          <w:trHeight w:hRule="exact" w:val="1109"/>
        </w:trPr>
        <w:tc>
          <w:tcPr>
            <w:tcW w:w="3965" w:type="dxa"/>
            <w:gridSpan w:val="2"/>
            <w:shd w:val="clear" w:color="auto" w:fill="FFFFFF"/>
          </w:tcPr>
          <w:p w14:paraId="184F9624" w14:textId="77777777" w:rsidR="00093A32" w:rsidRDefault="00093A32">
            <w:pPr>
              <w:pStyle w:val="Other0"/>
              <w:framePr w:w="11424" w:h="5947" w:vSpace="917" w:wrap="none" w:hAnchor="page" w:x="635" w:y="385"/>
              <w:spacing w:line="240" w:lineRule="auto"/>
              <w:ind w:firstLine="16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Scedosporium</w:t>
            </w:r>
            <w:r>
              <w:rPr>
                <w:rFonts w:ascii="Times New Roman" w:eastAsia="Times New Roman" w:hAnsi="Times New Roman" w:cs="Times New Roman"/>
                <w:sz w:val="16"/>
                <w:szCs w:val="16"/>
              </w:rPr>
              <w:t xml:space="preserve"> Ninguna o inmunosupresión</w:t>
            </w:r>
          </w:p>
        </w:tc>
        <w:tc>
          <w:tcPr>
            <w:tcW w:w="1939" w:type="dxa"/>
            <w:shd w:val="clear" w:color="auto" w:fill="FFFFFF"/>
          </w:tcPr>
          <w:p w14:paraId="403FB1AE"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sz w:val="16"/>
                <w:szCs w:val="16"/>
              </w:rPr>
              <w:t>Entorno</w:t>
            </w:r>
          </w:p>
        </w:tc>
        <w:tc>
          <w:tcPr>
            <w:tcW w:w="1968" w:type="dxa"/>
            <w:shd w:val="clear" w:color="auto" w:fill="FFFFFF"/>
            <w:vAlign w:val="center"/>
          </w:tcPr>
          <w:p w14:paraId="66902871" w14:textId="77777777" w:rsidR="00093A32" w:rsidRDefault="00093A32">
            <w:pPr>
              <w:pStyle w:val="Other0"/>
              <w:framePr w:w="11424" w:h="5947" w:vSpace="917" w:wrap="none" w:hAnchor="page" w:x="635" w:y="385"/>
              <w:spacing w:line="240" w:lineRule="auto"/>
              <w:ind w:left="140" w:hanging="140"/>
              <w:rPr>
                <w:sz w:val="16"/>
                <w:szCs w:val="16"/>
              </w:rPr>
            </w:pPr>
            <w:r>
              <w:rPr>
                <w:rFonts w:ascii="Times New Roman" w:eastAsia="Times New Roman" w:hAnsi="Times New Roman" w:cs="Times New Roman"/>
                <w:sz w:val="16"/>
                <w:szCs w:val="16"/>
              </w:rPr>
              <w:t>Neumonía; infección diseminada; osteomielitis o artritis séptica (pacientes inmunocompetentes)</w:t>
            </w:r>
          </w:p>
        </w:tc>
        <w:tc>
          <w:tcPr>
            <w:tcW w:w="1445" w:type="dxa"/>
            <w:shd w:val="clear" w:color="auto" w:fill="FFFFFF"/>
          </w:tcPr>
          <w:p w14:paraId="436C54C9" w14:textId="77777777" w:rsidR="00093A32" w:rsidRDefault="00093A32">
            <w:pPr>
              <w:pStyle w:val="Other0"/>
              <w:framePr w:w="11424" w:h="5947" w:vSpace="917" w:wrap="none" w:hAnchor="page" w:x="635" w:y="385"/>
              <w:spacing w:line="240" w:lineRule="auto"/>
              <w:ind w:left="160" w:hanging="160"/>
              <w:rPr>
                <w:sz w:val="16"/>
                <w:szCs w:val="16"/>
              </w:rPr>
            </w:pPr>
            <w:r>
              <w:rPr>
                <w:rFonts w:ascii="Times New Roman" w:eastAsia="Times New Roman" w:hAnsi="Times New Roman" w:cs="Times New Roman"/>
                <w:sz w:val="16"/>
                <w:szCs w:val="16"/>
              </w:rPr>
              <w:t>Cultivo y estudio histopatológico de tejido</w:t>
            </w:r>
          </w:p>
        </w:tc>
        <w:tc>
          <w:tcPr>
            <w:tcW w:w="2107" w:type="dxa"/>
            <w:shd w:val="clear" w:color="auto" w:fill="FFFFFF"/>
          </w:tcPr>
          <w:p w14:paraId="2DFD85C7"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sz w:val="16"/>
                <w:szCs w:val="16"/>
              </w:rPr>
              <w:t>Cultivo</w:t>
            </w:r>
          </w:p>
          <w:p w14:paraId="7201E634" w14:textId="77777777" w:rsidR="00093A32" w:rsidRDefault="00093A32">
            <w:pPr>
              <w:pStyle w:val="Other0"/>
              <w:framePr w:w="11424" w:h="5947" w:vSpace="917" w:wrap="none" w:hAnchor="page" w:x="635" w:y="385"/>
              <w:spacing w:line="240" w:lineRule="auto"/>
              <w:ind w:firstLine="140"/>
              <w:rPr>
                <w:sz w:val="16"/>
                <w:szCs w:val="16"/>
              </w:rPr>
            </w:pPr>
            <w:r>
              <w:rPr>
                <w:rFonts w:ascii="Times New Roman" w:eastAsia="Times New Roman" w:hAnsi="Times New Roman" w:cs="Times New Roman"/>
                <w:sz w:val="16"/>
                <w:szCs w:val="16"/>
              </w:rPr>
              <w:t>Itraconazol</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AmB</w:t>
            </w:r>
          </w:p>
        </w:tc>
      </w:tr>
      <w:tr w:rsidR="00093A32" w14:paraId="79CB368A" w14:textId="77777777">
        <w:tblPrEx>
          <w:tblCellMar>
            <w:top w:w="0" w:type="dxa"/>
            <w:bottom w:w="0" w:type="dxa"/>
          </w:tblCellMar>
        </w:tblPrEx>
        <w:trPr>
          <w:trHeight w:hRule="exact" w:val="264"/>
        </w:trPr>
        <w:tc>
          <w:tcPr>
            <w:tcW w:w="1853" w:type="dxa"/>
            <w:shd w:val="clear" w:color="auto" w:fill="FFFFFF"/>
            <w:vAlign w:val="bottom"/>
          </w:tcPr>
          <w:p w14:paraId="0779D408"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b/>
                <w:bCs/>
                <w:sz w:val="16"/>
                <w:szCs w:val="16"/>
              </w:rPr>
              <w:t>Hialohifomicosis</w:t>
            </w:r>
          </w:p>
        </w:tc>
        <w:tc>
          <w:tcPr>
            <w:tcW w:w="9571" w:type="dxa"/>
            <w:gridSpan w:val="5"/>
            <w:shd w:val="clear" w:color="auto" w:fill="FFFFFF"/>
          </w:tcPr>
          <w:p w14:paraId="67C7DF37" w14:textId="77777777" w:rsidR="00093A32" w:rsidRDefault="00093A32">
            <w:pPr>
              <w:framePr w:w="11424" w:h="5947" w:vSpace="917" w:wrap="none" w:hAnchor="page" w:x="635" w:y="385"/>
              <w:rPr>
                <w:sz w:val="10"/>
                <w:szCs w:val="10"/>
              </w:rPr>
            </w:pPr>
          </w:p>
        </w:tc>
      </w:tr>
      <w:tr w:rsidR="00093A32" w14:paraId="0C881C42" w14:textId="77777777">
        <w:tblPrEx>
          <w:tblCellMar>
            <w:top w:w="0" w:type="dxa"/>
            <w:bottom w:w="0" w:type="dxa"/>
          </w:tblCellMar>
        </w:tblPrEx>
        <w:trPr>
          <w:trHeight w:hRule="exact" w:val="581"/>
        </w:trPr>
        <w:tc>
          <w:tcPr>
            <w:tcW w:w="1853" w:type="dxa"/>
            <w:shd w:val="clear" w:color="auto" w:fill="FFFFFF"/>
          </w:tcPr>
          <w:p w14:paraId="03F84C1D" w14:textId="77777777" w:rsidR="00093A32" w:rsidRDefault="00093A32">
            <w:pPr>
              <w:pStyle w:val="Other0"/>
              <w:framePr w:w="11424" w:h="5947" w:vSpace="917" w:wrap="none" w:hAnchor="page" w:x="635" w:y="385"/>
              <w:spacing w:line="240" w:lineRule="auto"/>
              <w:ind w:firstLine="14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Fusarium</w:t>
            </w:r>
          </w:p>
        </w:tc>
        <w:tc>
          <w:tcPr>
            <w:tcW w:w="2112" w:type="dxa"/>
            <w:shd w:val="clear" w:color="auto" w:fill="FFFFFF"/>
          </w:tcPr>
          <w:p w14:paraId="678CB14D" w14:textId="77777777" w:rsidR="00093A32" w:rsidRDefault="00093A32">
            <w:pPr>
              <w:pStyle w:val="Other0"/>
              <w:framePr w:w="11424" w:h="5947" w:vSpace="917" w:wrap="none" w:hAnchor="page" w:x="635" w:y="385"/>
              <w:spacing w:line="240" w:lineRule="auto"/>
              <w:ind w:left="240" w:hanging="100"/>
              <w:rPr>
                <w:sz w:val="16"/>
                <w:szCs w:val="16"/>
              </w:rPr>
            </w:pPr>
            <w:r>
              <w:rPr>
                <w:rFonts w:ascii="Times New Roman" w:eastAsia="Times New Roman" w:hAnsi="Times New Roman" w:cs="Times New Roman"/>
                <w:sz w:val="16"/>
                <w:szCs w:val="16"/>
              </w:rPr>
              <w:t>Granulocitopenia; trasplante de médula ósea</w:t>
            </w:r>
          </w:p>
        </w:tc>
        <w:tc>
          <w:tcPr>
            <w:tcW w:w="1939" w:type="dxa"/>
            <w:shd w:val="clear" w:color="auto" w:fill="FFFFFF"/>
          </w:tcPr>
          <w:p w14:paraId="1B7ABCBA" w14:textId="77777777" w:rsidR="00093A32" w:rsidRDefault="00093A32">
            <w:pPr>
              <w:pStyle w:val="Other0"/>
              <w:framePr w:w="11424" w:h="5947" w:vSpace="917" w:wrap="none" w:hAnchor="page" w:x="635" w:y="385"/>
              <w:spacing w:line="240" w:lineRule="auto"/>
              <w:ind w:left="160" w:hanging="160"/>
              <w:rPr>
                <w:sz w:val="16"/>
                <w:szCs w:val="16"/>
              </w:rPr>
            </w:pPr>
            <w:r>
              <w:rPr>
                <w:rFonts w:ascii="Times New Roman" w:eastAsia="Times New Roman" w:hAnsi="Times New Roman" w:cs="Times New Roman"/>
                <w:sz w:val="16"/>
                <w:szCs w:val="16"/>
              </w:rPr>
              <w:t>Aparato respiratorio; senos paranasales; piel</w:t>
            </w:r>
          </w:p>
        </w:tc>
        <w:tc>
          <w:tcPr>
            <w:tcW w:w="1968" w:type="dxa"/>
            <w:shd w:val="clear" w:color="auto" w:fill="FFFFFF"/>
            <w:vAlign w:val="bottom"/>
          </w:tcPr>
          <w:p w14:paraId="4EA6F8AC" w14:textId="77777777" w:rsidR="00093A32" w:rsidRDefault="00093A32">
            <w:pPr>
              <w:pStyle w:val="Other0"/>
              <w:framePr w:w="11424" w:h="5947" w:vSpace="917" w:wrap="none" w:hAnchor="page" w:x="635" w:y="385"/>
              <w:spacing w:line="240" w:lineRule="auto"/>
              <w:ind w:left="140" w:hanging="140"/>
              <w:rPr>
                <w:sz w:val="16"/>
                <w:szCs w:val="16"/>
              </w:rPr>
            </w:pPr>
            <w:r>
              <w:rPr>
                <w:rFonts w:ascii="Times New Roman" w:eastAsia="Times New Roman" w:hAnsi="Times New Roman" w:cs="Times New Roman"/>
                <w:sz w:val="16"/>
                <w:szCs w:val="16"/>
              </w:rPr>
              <w:t>Infiltrados pulmonares; lesiones cutáneas, sinusitis; infección diseminada</w:t>
            </w:r>
          </w:p>
        </w:tc>
        <w:tc>
          <w:tcPr>
            <w:tcW w:w="1445" w:type="dxa"/>
            <w:shd w:val="clear" w:color="auto" w:fill="FFFFFF"/>
          </w:tcPr>
          <w:p w14:paraId="769EB4CC" w14:textId="77777777" w:rsidR="00093A32" w:rsidRDefault="00093A32">
            <w:pPr>
              <w:pStyle w:val="Other0"/>
              <w:framePr w:w="11424" w:h="5947" w:vSpace="917" w:wrap="none" w:hAnchor="page" w:x="635" w:y="385"/>
              <w:spacing w:line="240" w:lineRule="auto"/>
              <w:ind w:left="160" w:hanging="160"/>
              <w:rPr>
                <w:sz w:val="16"/>
                <w:szCs w:val="16"/>
              </w:rPr>
            </w:pPr>
            <w:r>
              <w:rPr>
                <w:rFonts w:ascii="Times New Roman" w:eastAsia="Times New Roman" w:hAnsi="Times New Roman" w:cs="Times New Roman"/>
                <w:sz w:val="16"/>
                <w:szCs w:val="16"/>
              </w:rPr>
              <w:t>Cultivo de sangre o muestra de tejido</w:t>
            </w:r>
          </w:p>
        </w:tc>
        <w:tc>
          <w:tcPr>
            <w:tcW w:w="2107" w:type="dxa"/>
            <w:shd w:val="clear" w:color="auto" w:fill="FFFFFF"/>
            <w:vAlign w:val="bottom"/>
          </w:tcPr>
          <w:p w14:paraId="418AFFE7" w14:textId="77777777" w:rsidR="00093A32" w:rsidRDefault="00093A32">
            <w:pPr>
              <w:pStyle w:val="Other0"/>
              <w:framePr w:w="11424" w:h="5947" w:vSpace="917" w:wrap="none" w:hAnchor="page" w:x="635" w:y="385"/>
              <w:spacing w:line="240" w:lineRule="auto"/>
              <w:ind w:left="140" w:hanging="140"/>
              <w:rPr>
                <w:sz w:val="16"/>
                <w:szCs w:val="16"/>
              </w:rPr>
            </w:pPr>
            <w:r>
              <w:rPr>
                <w:rFonts w:ascii="Times New Roman" w:eastAsia="Times New Roman" w:hAnsi="Times New Roman" w:cs="Times New Roman"/>
                <w:sz w:val="16"/>
                <w:szCs w:val="16"/>
              </w:rPr>
              <w:t>Dosis altas de desoxicolato de anfotericina B (AmB) (1-1.5 mg/kg al día)</w:t>
            </w:r>
            <w:r>
              <w:rPr>
                <w:rFonts w:ascii="Times New Roman" w:eastAsia="Times New Roman" w:hAnsi="Times New Roman" w:cs="Times New Roman"/>
                <w:sz w:val="16"/>
                <w:szCs w:val="16"/>
                <w:vertAlign w:val="superscript"/>
              </w:rPr>
              <w:t>1,2</w:t>
            </w:r>
          </w:p>
        </w:tc>
      </w:tr>
      <w:tr w:rsidR="00093A32" w14:paraId="3195BFC8" w14:textId="77777777">
        <w:tblPrEx>
          <w:tblCellMar>
            <w:top w:w="0" w:type="dxa"/>
            <w:bottom w:w="0" w:type="dxa"/>
          </w:tblCellMar>
        </w:tblPrEx>
        <w:trPr>
          <w:trHeight w:hRule="exact" w:val="960"/>
        </w:trPr>
        <w:tc>
          <w:tcPr>
            <w:tcW w:w="1853" w:type="dxa"/>
            <w:shd w:val="clear" w:color="auto" w:fill="FFFFFF"/>
          </w:tcPr>
          <w:p w14:paraId="5CB0D38F" w14:textId="77777777" w:rsidR="00093A32" w:rsidRDefault="00093A32">
            <w:pPr>
              <w:pStyle w:val="Other0"/>
              <w:framePr w:w="11424" w:h="5947" w:vSpace="917" w:wrap="none" w:hAnchor="page" w:x="635" w:y="385"/>
              <w:spacing w:line="240" w:lineRule="auto"/>
              <w:ind w:firstLine="14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Malassezia</w:t>
            </w:r>
          </w:p>
        </w:tc>
        <w:tc>
          <w:tcPr>
            <w:tcW w:w="2112" w:type="dxa"/>
            <w:shd w:val="clear" w:color="auto" w:fill="FFFFFF"/>
          </w:tcPr>
          <w:p w14:paraId="06B10F03" w14:textId="77777777" w:rsidR="00093A32" w:rsidRDefault="00093A32">
            <w:pPr>
              <w:pStyle w:val="Other0"/>
              <w:framePr w:w="11424" w:h="5947" w:vSpace="917" w:wrap="none" w:hAnchor="page" w:x="635" w:y="385"/>
              <w:spacing w:line="240" w:lineRule="auto"/>
              <w:ind w:left="240" w:hanging="100"/>
              <w:rPr>
                <w:sz w:val="16"/>
                <w:szCs w:val="16"/>
              </w:rPr>
            </w:pPr>
            <w:r>
              <w:rPr>
                <w:rFonts w:ascii="Times New Roman" w:eastAsia="Times New Roman" w:hAnsi="Times New Roman" w:cs="Times New Roman"/>
                <w:sz w:val="16"/>
                <w:szCs w:val="16"/>
              </w:rPr>
              <w:t>Inmunosupresión; premadurez; exposición a nutrición parenteral que incluye emulsiones grasas</w:t>
            </w:r>
          </w:p>
        </w:tc>
        <w:tc>
          <w:tcPr>
            <w:tcW w:w="1939" w:type="dxa"/>
            <w:shd w:val="clear" w:color="auto" w:fill="FFFFFF"/>
          </w:tcPr>
          <w:p w14:paraId="51999572"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sz w:val="16"/>
                <w:szCs w:val="16"/>
              </w:rPr>
              <w:t>Piel</w:t>
            </w:r>
          </w:p>
        </w:tc>
        <w:tc>
          <w:tcPr>
            <w:tcW w:w="1968" w:type="dxa"/>
            <w:shd w:val="clear" w:color="auto" w:fill="FFFFFF"/>
          </w:tcPr>
          <w:p w14:paraId="0C070877" w14:textId="77777777" w:rsidR="00093A32" w:rsidRDefault="00093A32">
            <w:pPr>
              <w:pStyle w:val="Other0"/>
              <w:framePr w:w="11424" w:h="5947" w:vSpace="917" w:wrap="none" w:hAnchor="page" w:x="635" w:y="385"/>
              <w:spacing w:line="240" w:lineRule="auto"/>
              <w:ind w:left="140" w:hanging="140"/>
              <w:rPr>
                <w:sz w:val="16"/>
                <w:szCs w:val="16"/>
              </w:rPr>
            </w:pPr>
            <w:r>
              <w:rPr>
                <w:rFonts w:ascii="Times New Roman" w:eastAsia="Times New Roman" w:hAnsi="Times New Roman" w:cs="Times New Roman"/>
                <w:sz w:val="16"/>
                <w:szCs w:val="16"/>
              </w:rPr>
              <w:t>Infección hematógena por presencia de un catéter; neumonitis intersticial; infección de vías urinarias; meningitis</w:t>
            </w:r>
          </w:p>
        </w:tc>
        <w:tc>
          <w:tcPr>
            <w:tcW w:w="3552" w:type="dxa"/>
            <w:gridSpan w:val="2"/>
            <w:shd w:val="clear" w:color="auto" w:fill="FFFFFF"/>
          </w:tcPr>
          <w:p w14:paraId="04DC6CBD" w14:textId="77777777" w:rsidR="00093A32" w:rsidRDefault="00093A32">
            <w:pPr>
              <w:pStyle w:val="Other0"/>
              <w:framePr w:w="11424" w:h="5947" w:vSpace="917" w:wrap="none" w:hAnchor="page" w:x="635" w:y="385"/>
              <w:tabs>
                <w:tab w:val="left" w:pos="1502"/>
              </w:tabs>
              <w:spacing w:line="240" w:lineRule="auto"/>
              <w:ind w:left="160" w:hanging="160"/>
              <w:rPr>
                <w:sz w:val="16"/>
                <w:szCs w:val="16"/>
              </w:rPr>
            </w:pPr>
            <w:r>
              <w:rPr>
                <w:rFonts w:ascii="Times New Roman" w:eastAsia="Times New Roman" w:hAnsi="Times New Roman" w:cs="Times New Roman"/>
                <w:sz w:val="16"/>
                <w:szCs w:val="16"/>
              </w:rPr>
              <w:t>Cultivo de sangre, Extracción de catéteres material de la punta e interrupción temporal de del catéter o</w:t>
            </w:r>
            <w:r>
              <w:rPr>
                <w:rFonts w:ascii="Times New Roman" w:eastAsia="Times New Roman" w:hAnsi="Times New Roman" w:cs="Times New Roman"/>
                <w:sz w:val="16"/>
                <w:szCs w:val="16"/>
              </w:rPr>
              <w:tab/>
              <w:t>goteo de soluciones</w:t>
            </w:r>
          </w:p>
          <w:p w14:paraId="17444848" w14:textId="77777777" w:rsidR="00093A32" w:rsidRDefault="00093A32">
            <w:pPr>
              <w:pStyle w:val="Other0"/>
              <w:framePr w:w="11424" w:h="5947" w:vSpace="917" w:wrap="none" w:hAnchor="page" w:x="635" w:y="385"/>
              <w:spacing w:line="240" w:lineRule="auto"/>
              <w:ind w:left="1580" w:hanging="1420"/>
              <w:rPr>
                <w:sz w:val="16"/>
                <w:szCs w:val="16"/>
              </w:rPr>
            </w:pPr>
            <w:r>
              <w:rPr>
                <w:rFonts w:ascii="Times New Roman" w:eastAsia="Times New Roman" w:hAnsi="Times New Roman" w:cs="Times New Roman"/>
                <w:sz w:val="16"/>
                <w:szCs w:val="16"/>
              </w:rPr>
              <w:t>muestra de tejido lípidas; fluconazol o AmB</w:t>
            </w:r>
          </w:p>
        </w:tc>
      </w:tr>
      <w:tr w:rsidR="00093A32" w14:paraId="530F5E87" w14:textId="77777777">
        <w:tblPrEx>
          <w:tblCellMar>
            <w:top w:w="0" w:type="dxa"/>
            <w:bottom w:w="0" w:type="dxa"/>
          </w:tblCellMar>
        </w:tblPrEx>
        <w:trPr>
          <w:trHeight w:hRule="exact" w:val="173"/>
        </w:trPr>
        <w:tc>
          <w:tcPr>
            <w:tcW w:w="1853" w:type="dxa"/>
            <w:shd w:val="clear" w:color="auto" w:fill="FFFFFF"/>
          </w:tcPr>
          <w:p w14:paraId="58EB3C63"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b/>
                <w:bCs/>
                <w:sz w:val="16"/>
                <w:szCs w:val="16"/>
              </w:rPr>
              <w:t>Penicilios</w:t>
            </w:r>
          </w:p>
        </w:tc>
        <w:tc>
          <w:tcPr>
            <w:tcW w:w="9571" w:type="dxa"/>
            <w:gridSpan w:val="5"/>
            <w:shd w:val="clear" w:color="auto" w:fill="FFFFFF"/>
          </w:tcPr>
          <w:p w14:paraId="53788EE9" w14:textId="77777777" w:rsidR="00093A32" w:rsidRDefault="00093A32">
            <w:pPr>
              <w:framePr w:w="11424" w:h="5947" w:vSpace="917" w:wrap="none" w:hAnchor="page" w:x="635" w:y="385"/>
              <w:rPr>
                <w:sz w:val="10"/>
                <w:szCs w:val="10"/>
              </w:rPr>
            </w:pPr>
          </w:p>
        </w:tc>
      </w:tr>
      <w:tr w:rsidR="00093A32" w14:paraId="566D576D" w14:textId="77777777">
        <w:tblPrEx>
          <w:tblCellMar>
            <w:top w:w="0" w:type="dxa"/>
            <w:bottom w:w="0" w:type="dxa"/>
          </w:tblCellMar>
        </w:tblPrEx>
        <w:trPr>
          <w:trHeight w:hRule="exact" w:val="974"/>
        </w:trPr>
        <w:tc>
          <w:tcPr>
            <w:tcW w:w="1853" w:type="dxa"/>
            <w:shd w:val="clear" w:color="auto" w:fill="FFFFFF"/>
          </w:tcPr>
          <w:p w14:paraId="0FAA51BD" w14:textId="77777777" w:rsidR="00093A32" w:rsidRDefault="00093A32">
            <w:pPr>
              <w:pStyle w:val="Other0"/>
              <w:framePr w:w="11424" w:h="5947" w:vSpace="917" w:wrap="none" w:hAnchor="page" w:x="635" w:y="385"/>
              <w:spacing w:line="240" w:lineRule="auto"/>
              <w:ind w:firstLine="140"/>
              <w:rPr>
                <w:sz w:val="16"/>
                <w:szCs w:val="16"/>
              </w:rPr>
            </w:pPr>
            <w:r>
              <w:rPr>
                <w:rFonts w:ascii="Times New Roman" w:eastAsia="Times New Roman" w:hAnsi="Times New Roman" w:cs="Times New Roman"/>
                <w:i/>
                <w:iCs/>
                <w:sz w:val="16"/>
                <w:szCs w:val="16"/>
              </w:rPr>
              <w:t>Pénicillium marneffei</w:t>
            </w:r>
          </w:p>
        </w:tc>
        <w:tc>
          <w:tcPr>
            <w:tcW w:w="2112" w:type="dxa"/>
            <w:shd w:val="clear" w:color="auto" w:fill="FFFFFF"/>
          </w:tcPr>
          <w:p w14:paraId="140E7A55" w14:textId="77777777" w:rsidR="00093A32" w:rsidRDefault="00093A32">
            <w:pPr>
              <w:pStyle w:val="Other0"/>
              <w:framePr w:w="11424" w:h="5947" w:vSpace="917" w:wrap="none" w:hAnchor="page" w:x="635" w:y="385"/>
              <w:spacing w:line="240" w:lineRule="auto"/>
              <w:ind w:left="240" w:hanging="100"/>
              <w:rPr>
                <w:sz w:val="16"/>
                <w:szCs w:val="16"/>
              </w:rPr>
            </w:pPr>
            <w:r>
              <w:rPr>
                <w:rFonts w:ascii="Times New Roman" w:eastAsia="Times New Roman" w:hAnsi="Times New Roman" w:cs="Times New Roman"/>
                <w:sz w:val="16"/>
                <w:szCs w:val="16"/>
              </w:rPr>
              <w:t>Virus de inmunodeficiencia humana</w:t>
            </w:r>
          </w:p>
        </w:tc>
        <w:tc>
          <w:tcPr>
            <w:tcW w:w="1939" w:type="dxa"/>
            <w:shd w:val="clear" w:color="auto" w:fill="FFFFFF"/>
          </w:tcPr>
          <w:p w14:paraId="0A77CAFA"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sz w:val="16"/>
                <w:szCs w:val="16"/>
              </w:rPr>
              <w:t>Aparato respiratorio</w:t>
            </w:r>
          </w:p>
        </w:tc>
        <w:tc>
          <w:tcPr>
            <w:tcW w:w="1968" w:type="dxa"/>
            <w:shd w:val="clear" w:color="auto" w:fill="FFFFFF"/>
          </w:tcPr>
          <w:p w14:paraId="30B27FDC" w14:textId="77777777" w:rsidR="00093A32" w:rsidRDefault="00093A32">
            <w:pPr>
              <w:pStyle w:val="Other0"/>
              <w:framePr w:w="11424" w:h="5947" w:vSpace="917" w:wrap="none" w:hAnchor="page" w:x="635" w:y="385"/>
              <w:spacing w:line="240" w:lineRule="auto"/>
              <w:ind w:left="140" w:hanging="140"/>
              <w:rPr>
                <w:sz w:val="16"/>
                <w:szCs w:val="16"/>
              </w:rPr>
            </w:pPr>
            <w:r>
              <w:rPr>
                <w:rFonts w:ascii="Times New Roman" w:eastAsia="Times New Roman" w:hAnsi="Times New Roman" w:cs="Times New Roman"/>
                <w:sz w:val="16"/>
                <w:szCs w:val="16"/>
              </w:rPr>
              <w:t>Neumonitis; dermatitis invasora; infección diseminada</w:t>
            </w:r>
          </w:p>
        </w:tc>
        <w:tc>
          <w:tcPr>
            <w:tcW w:w="1445" w:type="dxa"/>
            <w:shd w:val="clear" w:color="auto" w:fill="FFFFFF"/>
            <w:vAlign w:val="bottom"/>
          </w:tcPr>
          <w:p w14:paraId="4ADFE6C0" w14:textId="77777777" w:rsidR="00093A32" w:rsidRDefault="00093A32">
            <w:pPr>
              <w:pStyle w:val="Other0"/>
              <w:framePr w:w="11424" w:h="5947" w:vSpace="917" w:wrap="none" w:hAnchor="page" w:x="635" w:y="385"/>
              <w:spacing w:line="240" w:lineRule="auto"/>
              <w:ind w:left="160" w:hanging="160"/>
              <w:rPr>
                <w:sz w:val="16"/>
                <w:szCs w:val="16"/>
              </w:rPr>
            </w:pPr>
            <w:r>
              <w:rPr>
                <w:rFonts w:ascii="Times New Roman" w:eastAsia="Times New Roman" w:hAnsi="Times New Roman" w:cs="Times New Roman"/>
                <w:sz w:val="16"/>
                <w:szCs w:val="16"/>
              </w:rPr>
              <w:t>Cultivo de sangre, médula ósea o tejido; estudio histopatológico de tejidos</w:t>
            </w:r>
          </w:p>
        </w:tc>
        <w:tc>
          <w:tcPr>
            <w:tcW w:w="2107" w:type="dxa"/>
            <w:shd w:val="clear" w:color="auto" w:fill="FFFFFF"/>
          </w:tcPr>
          <w:p w14:paraId="0AA426B3"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sz w:val="16"/>
                <w:szCs w:val="16"/>
              </w:rPr>
              <w:t>Itraconazol o AmB</w:t>
            </w:r>
          </w:p>
        </w:tc>
      </w:tr>
      <w:tr w:rsidR="00093A32" w14:paraId="2347E208" w14:textId="77777777">
        <w:tblPrEx>
          <w:tblCellMar>
            <w:top w:w="0" w:type="dxa"/>
            <w:bottom w:w="0" w:type="dxa"/>
          </w:tblCellMar>
        </w:tblPrEx>
        <w:trPr>
          <w:trHeight w:hRule="exact" w:val="187"/>
        </w:trPr>
        <w:tc>
          <w:tcPr>
            <w:tcW w:w="1853" w:type="dxa"/>
            <w:shd w:val="clear" w:color="auto" w:fill="FFFFFF"/>
            <w:vAlign w:val="bottom"/>
          </w:tcPr>
          <w:p w14:paraId="3BBFC57E"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b/>
                <w:bCs/>
                <w:sz w:val="16"/>
                <w:szCs w:val="16"/>
              </w:rPr>
              <w:t>Tricosporonosis</w:t>
            </w:r>
          </w:p>
        </w:tc>
        <w:tc>
          <w:tcPr>
            <w:tcW w:w="9571" w:type="dxa"/>
            <w:gridSpan w:val="5"/>
            <w:shd w:val="clear" w:color="auto" w:fill="FFFFFF"/>
          </w:tcPr>
          <w:p w14:paraId="470844E5" w14:textId="77777777" w:rsidR="00093A32" w:rsidRDefault="00093A32">
            <w:pPr>
              <w:framePr w:w="11424" w:h="5947" w:vSpace="917" w:wrap="none" w:hAnchor="page" w:x="635" w:y="385"/>
              <w:rPr>
                <w:sz w:val="10"/>
                <w:szCs w:val="10"/>
              </w:rPr>
            </w:pPr>
          </w:p>
        </w:tc>
      </w:tr>
      <w:tr w:rsidR="00093A32" w14:paraId="731BF5FC" w14:textId="77777777">
        <w:tblPrEx>
          <w:tblCellMar>
            <w:top w:w="0" w:type="dxa"/>
            <w:bottom w:w="0" w:type="dxa"/>
          </w:tblCellMar>
        </w:tblPrEx>
        <w:trPr>
          <w:trHeight w:hRule="exact" w:val="859"/>
        </w:trPr>
        <w:tc>
          <w:tcPr>
            <w:tcW w:w="1853" w:type="dxa"/>
            <w:tcBorders>
              <w:bottom w:val="single" w:sz="4" w:space="0" w:color="auto"/>
            </w:tcBorders>
            <w:shd w:val="clear" w:color="auto" w:fill="FFFFFF"/>
          </w:tcPr>
          <w:p w14:paraId="17B70268" w14:textId="77777777" w:rsidR="00093A32" w:rsidRDefault="00093A32">
            <w:pPr>
              <w:pStyle w:val="Other0"/>
              <w:framePr w:w="11424" w:h="5947" w:vSpace="917" w:wrap="none" w:hAnchor="page" w:x="635" w:y="385"/>
              <w:spacing w:line="240" w:lineRule="auto"/>
              <w:ind w:firstLine="140"/>
              <w:rPr>
                <w:sz w:val="16"/>
                <w:szCs w:val="16"/>
              </w:rPr>
            </w:pPr>
            <w:r>
              <w:rPr>
                <w:rFonts w:ascii="Times New Roman" w:eastAsia="Times New Roman" w:hAnsi="Times New Roman" w:cs="Times New Roman"/>
                <w:i/>
                <w:iCs/>
                <w:sz w:val="16"/>
                <w:szCs w:val="16"/>
              </w:rPr>
              <w:t>Trichosporum beigelii</w:t>
            </w:r>
          </w:p>
        </w:tc>
        <w:tc>
          <w:tcPr>
            <w:tcW w:w="2112" w:type="dxa"/>
            <w:tcBorders>
              <w:bottom w:val="single" w:sz="4" w:space="0" w:color="auto"/>
            </w:tcBorders>
            <w:shd w:val="clear" w:color="auto" w:fill="FFFFFF"/>
          </w:tcPr>
          <w:p w14:paraId="62E41DC8" w14:textId="77777777" w:rsidR="00093A32" w:rsidRDefault="00093A32">
            <w:pPr>
              <w:pStyle w:val="Other0"/>
              <w:framePr w:w="11424" w:h="5947" w:vSpace="917" w:wrap="none" w:hAnchor="page" w:x="635" w:y="385"/>
              <w:spacing w:line="240" w:lineRule="auto"/>
              <w:ind w:firstLine="140"/>
              <w:rPr>
                <w:sz w:val="16"/>
                <w:szCs w:val="16"/>
              </w:rPr>
            </w:pPr>
            <w:r>
              <w:rPr>
                <w:rFonts w:ascii="Times New Roman" w:eastAsia="Times New Roman" w:hAnsi="Times New Roman" w:cs="Times New Roman"/>
                <w:sz w:val="16"/>
                <w:szCs w:val="16"/>
              </w:rPr>
              <w:t>Inmunosupresión</w:t>
            </w:r>
          </w:p>
        </w:tc>
        <w:tc>
          <w:tcPr>
            <w:tcW w:w="1939" w:type="dxa"/>
            <w:tcBorders>
              <w:bottom w:val="single" w:sz="4" w:space="0" w:color="auto"/>
            </w:tcBorders>
            <w:shd w:val="clear" w:color="auto" w:fill="FFFFFF"/>
          </w:tcPr>
          <w:p w14:paraId="64575EDD" w14:textId="77777777" w:rsidR="00093A32" w:rsidRDefault="00093A32">
            <w:pPr>
              <w:pStyle w:val="Other0"/>
              <w:framePr w:w="11424" w:h="5947" w:vSpace="917" w:wrap="none" w:hAnchor="page" w:x="635" w:y="385"/>
              <w:spacing w:line="240" w:lineRule="auto"/>
              <w:ind w:left="160" w:hanging="160"/>
              <w:rPr>
                <w:sz w:val="16"/>
                <w:szCs w:val="16"/>
              </w:rPr>
            </w:pPr>
            <w:r>
              <w:rPr>
                <w:rFonts w:ascii="Times New Roman" w:eastAsia="Times New Roman" w:hAnsi="Times New Roman" w:cs="Times New Roman"/>
                <w:sz w:val="16"/>
                <w:szCs w:val="16"/>
              </w:rPr>
              <w:t>Flora normal de vías gastrointestinales</w:t>
            </w:r>
          </w:p>
        </w:tc>
        <w:tc>
          <w:tcPr>
            <w:tcW w:w="1968" w:type="dxa"/>
            <w:tcBorders>
              <w:bottom w:val="single" w:sz="4" w:space="0" w:color="auto"/>
            </w:tcBorders>
            <w:shd w:val="clear" w:color="auto" w:fill="FFFFFF"/>
          </w:tcPr>
          <w:p w14:paraId="06DF42FE" w14:textId="77777777" w:rsidR="00093A32" w:rsidRDefault="00093A32">
            <w:pPr>
              <w:pStyle w:val="Other0"/>
              <w:framePr w:w="11424" w:h="5947" w:vSpace="917" w:wrap="none" w:hAnchor="page" w:x="635" w:y="385"/>
              <w:spacing w:line="240" w:lineRule="auto"/>
              <w:ind w:left="140" w:hanging="140"/>
              <w:rPr>
                <w:sz w:val="16"/>
                <w:szCs w:val="16"/>
              </w:rPr>
            </w:pPr>
            <w:r>
              <w:rPr>
                <w:rFonts w:ascii="Times New Roman" w:eastAsia="Times New Roman" w:hAnsi="Times New Roman" w:cs="Times New Roman"/>
                <w:sz w:val="16"/>
                <w:szCs w:val="16"/>
              </w:rPr>
              <w:t>Infección hematógena; endocarditis; neumonitis</w:t>
            </w:r>
          </w:p>
        </w:tc>
        <w:tc>
          <w:tcPr>
            <w:tcW w:w="1445" w:type="dxa"/>
            <w:tcBorders>
              <w:bottom w:val="single" w:sz="4" w:space="0" w:color="auto"/>
            </w:tcBorders>
            <w:shd w:val="clear" w:color="auto" w:fill="FFFFFF"/>
          </w:tcPr>
          <w:p w14:paraId="3E19C3AB" w14:textId="77777777" w:rsidR="00093A32" w:rsidRDefault="00093A32">
            <w:pPr>
              <w:pStyle w:val="Other0"/>
              <w:framePr w:w="11424" w:h="5947" w:vSpace="917" w:wrap="none" w:hAnchor="page" w:x="635" w:y="385"/>
              <w:spacing w:line="240" w:lineRule="auto"/>
              <w:ind w:left="160" w:hanging="160"/>
              <w:rPr>
                <w:sz w:val="16"/>
                <w:szCs w:val="16"/>
              </w:rPr>
            </w:pPr>
            <w:r>
              <w:rPr>
                <w:rFonts w:ascii="Times New Roman" w:eastAsia="Times New Roman" w:hAnsi="Times New Roman" w:cs="Times New Roman"/>
                <w:sz w:val="16"/>
                <w:szCs w:val="16"/>
              </w:rPr>
              <w:t>Cultivo de sangre; estudio histopatológico de tejido</w:t>
            </w:r>
          </w:p>
        </w:tc>
        <w:tc>
          <w:tcPr>
            <w:tcW w:w="2107" w:type="dxa"/>
            <w:tcBorders>
              <w:bottom w:val="single" w:sz="4" w:space="0" w:color="auto"/>
            </w:tcBorders>
            <w:shd w:val="clear" w:color="auto" w:fill="FFFFFF"/>
          </w:tcPr>
          <w:p w14:paraId="7D745634" w14:textId="77777777" w:rsidR="00093A32" w:rsidRDefault="00093A32">
            <w:pPr>
              <w:pStyle w:val="Other0"/>
              <w:framePr w:w="11424" w:h="5947" w:vSpace="917" w:wrap="none" w:hAnchor="page" w:x="635" w:y="385"/>
              <w:spacing w:line="240" w:lineRule="auto"/>
              <w:ind w:firstLine="0"/>
              <w:rPr>
                <w:sz w:val="16"/>
                <w:szCs w:val="16"/>
              </w:rPr>
            </w:pPr>
            <w:r>
              <w:rPr>
                <w:rFonts w:ascii="Times New Roman" w:eastAsia="Times New Roman" w:hAnsi="Times New Roman" w:cs="Times New Roman"/>
                <w:sz w:val="16"/>
                <w:szCs w:val="16"/>
              </w:rPr>
              <w:t>AmB o fluconazol</w:t>
            </w:r>
          </w:p>
        </w:tc>
      </w:tr>
    </w:tbl>
    <w:p w14:paraId="12B8B05F" w14:textId="77777777" w:rsidR="00093A32" w:rsidRDefault="00093A32">
      <w:pPr>
        <w:framePr w:w="11424" w:h="5947" w:vSpace="917" w:wrap="none" w:hAnchor="page" w:x="635" w:y="385"/>
        <w:spacing w:line="1" w:lineRule="exact"/>
      </w:pPr>
    </w:p>
    <w:p w14:paraId="5252EEAC" w14:textId="77777777" w:rsidR="00093A32" w:rsidRDefault="00093A32">
      <w:pPr>
        <w:pStyle w:val="Tablecaption0"/>
        <w:framePr w:w="10805" w:h="883" w:wrap="none" w:hAnchor="page" w:x="678" w:y="6366"/>
        <w:numPr>
          <w:ilvl w:val="0"/>
          <w:numId w:val="60"/>
        </w:numPr>
        <w:tabs>
          <w:tab w:val="left" w:pos="163"/>
        </w:tabs>
        <w:spacing w:line="233" w:lineRule="auto"/>
        <w:ind w:left="0"/>
      </w:pPr>
      <w:r>
        <w:t xml:space="preserve">Pensar en el uso de una presentación lípida de anfotericina B </w:t>
      </w:r>
      <w:r>
        <w:rPr>
          <w:i/>
          <w:iCs/>
        </w:rPr>
        <w:t>(amphotericin</w:t>
      </w:r>
      <w:r>
        <w:t xml:space="preserve"> B, AmB).</w:t>
      </w:r>
    </w:p>
    <w:p w14:paraId="529B253C" w14:textId="77777777" w:rsidR="00093A32" w:rsidRDefault="00093A32">
      <w:pPr>
        <w:pStyle w:val="Tablecaption0"/>
        <w:framePr w:w="10805" w:h="883" w:wrap="none" w:hAnchor="page" w:x="678" w:y="6366"/>
        <w:numPr>
          <w:ilvl w:val="0"/>
          <w:numId w:val="60"/>
        </w:numPr>
        <w:tabs>
          <w:tab w:val="left" w:pos="173"/>
        </w:tabs>
        <w:spacing w:line="233" w:lineRule="auto"/>
        <w:ind w:left="0"/>
      </w:pPr>
      <w:r>
        <w:t>La infección puede ser refractaria a AmB; a veces es necesario administrar antimicóticos en investigación.</w:t>
      </w:r>
    </w:p>
    <w:p w14:paraId="24F04617" w14:textId="77777777" w:rsidR="00093A32" w:rsidRDefault="00093A32">
      <w:pPr>
        <w:pStyle w:val="Tablecaption0"/>
        <w:framePr w:w="10805" w:h="883" w:wrap="none" w:hAnchor="page" w:x="678" w:y="6366"/>
        <w:numPr>
          <w:ilvl w:val="0"/>
          <w:numId w:val="60"/>
        </w:numPr>
        <w:tabs>
          <w:tab w:val="left" w:pos="168"/>
        </w:tabs>
        <w:spacing w:line="233" w:lineRule="auto"/>
        <w:ind w:left="0"/>
      </w:pPr>
      <w:r>
        <w:t>Itraconazol es el fármaco más indicado, pero son escasos los datos de su empleo en niños.</w:t>
      </w:r>
    </w:p>
    <w:p w14:paraId="30BDAB49" w14:textId="77777777" w:rsidR="00093A32" w:rsidRDefault="00093A32">
      <w:pPr>
        <w:pStyle w:val="Tablecaption0"/>
        <w:framePr w:w="10805" w:h="883" w:wrap="none" w:hAnchor="page" w:x="678" w:y="6366"/>
        <w:numPr>
          <w:ilvl w:val="0"/>
          <w:numId w:val="60"/>
        </w:numPr>
        <w:tabs>
          <w:tab w:val="left" w:pos="173"/>
        </w:tabs>
        <w:spacing w:line="233" w:lineRule="auto"/>
        <w:ind w:left="180" w:hanging="180"/>
      </w:pPr>
      <w:r>
        <w:t>Los pacientes inmunodeficientes tal vez no reaccionen. AmB es activo contra algunas cepas. Cabe observar una mayor actividad antimicótica cuando se combina AmB con itraconazol o fluconazol.</w:t>
      </w:r>
    </w:p>
    <w:p w14:paraId="7760DB92" w14:textId="77777777" w:rsidR="00093A32" w:rsidRDefault="00093A32">
      <w:pPr>
        <w:pStyle w:val="Bodytext80"/>
        <w:framePr w:w="168" w:h="3754" w:hRule="exact" w:wrap="none" w:hAnchor="page" w:x="12390" w:y="155"/>
        <w:tabs>
          <w:tab w:val="left" w:pos="3115"/>
        </w:tabs>
        <w:textDirection w:val="tbRl"/>
      </w:pPr>
      <w:r>
        <w:rPr>
          <w:sz w:val="16"/>
          <w:szCs w:val="16"/>
        </w:rPr>
        <w:t>496</w:t>
      </w:r>
      <w:r>
        <w:rPr>
          <w:sz w:val="16"/>
          <w:szCs w:val="16"/>
        </w:rPr>
        <w:tab/>
      </w:r>
      <w:r>
        <w:t>MICOSIS</w:t>
      </w:r>
    </w:p>
    <w:p w14:paraId="59D457E3" w14:textId="77777777" w:rsidR="00093A32" w:rsidRDefault="00093A32">
      <w:pPr>
        <w:spacing w:line="360" w:lineRule="exact"/>
      </w:pPr>
    </w:p>
    <w:p w14:paraId="423C9660" w14:textId="77777777" w:rsidR="00093A32" w:rsidRDefault="00093A32">
      <w:pPr>
        <w:spacing w:line="360" w:lineRule="exact"/>
      </w:pPr>
    </w:p>
    <w:p w14:paraId="2961C4D5" w14:textId="77777777" w:rsidR="00093A32" w:rsidRDefault="00093A32">
      <w:pPr>
        <w:spacing w:line="360" w:lineRule="exact"/>
      </w:pPr>
    </w:p>
    <w:p w14:paraId="26C8DEB2" w14:textId="77777777" w:rsidR="00093A32" w:rsidRDefault="00093A32">
      <w:pPr>
        <w:spacing w:line="360" w:lineRule="exact"/>
      </w:pPr>
    </w:p>
    <w:p w14:paraId="031418CD" w14:textId="77777777" w:rsidR="00093A32" w:rsidRDefault="00093A32">
      <w:pPr>
        <w:spacing w:line="360" w:lineRule="exact"/>
      </w:pPr>
    </w:p>
    <w:p w14:paraId="3508248C" w14:textId="77777777" w:rsidR="00093A32" w:rsidRDefault="00093A32">
      <w:pPr>
        <w:spacing w:line="360" w:lineRule="exact"/>
      </w:pPr>
    </w:p>
    <w:p w14:paraId="146EF1EB" w14:textId="77777777" w:rsidR="00093A32" w:rsidRDefault="00093A32">
      <w:pPr>
        <w:spacing w:line="360" w:lineRule="exact"/>
      </w:pPr>
    </w:p>
    <w:p w14:paraId="7F4393CB" w14:textId="77777777" w:rsidR="00093A32" w:rsidRDefault="00093A32">
      <w:pPr>
        <w:spacing w:line="360" w:lineRule="exact"/>
      </w:pPr>
    </w:p>
    <w:p w14:paraId="5E89C144" w14:textId="77777777" w:rsidR="00093A32" w:rsidRDefault="00093A32">
      <w:pPr>
        <w:spacing w:line="360" w:lineRule="exact"/>
      </w:pPr>
    </w:p>
    <w:p w14:paraId="65C8248B" w14:textId="77777777" w:rsidR="00093A32" w:rsidRDefault="00093A32">
      <w:pPr>
        <w:spacing w:line="360" w:lineRule="exact"/>
      </w:pPr>
    </w:p>
    <w:p w14:paraId="4A2ED657" w14:textId="77777777" w:rsidR="00093A32" w:rsidRDefault="00093A32">
      <w:pPr>
        <w:spacing w:line="360" w:lineRule="exact"/>
      </w:pPr>
    </w:p>
    <w:p w14:paraId="01E1AC63" w14:textId="77777777" w:rsidR="00093A32" w:rsidRDefault="00093A32">
      <w:pPr>
        <w:spacing w:line="360" w:lineRule="exact"/>
      </w:pPr>
    </w:p>
    <w:p w14:paraId="499F1134" w14:textId="77777777" w:rsidR="00093A32" w:rsidRDefault="00093A32">
      <w:pPr>
        <w:spacing w:line="360" w:lineRule="exact"/>
      </w:pPr>
    </w:p>
    <w:p w14:paraId="7663DD6B" w14:textId="77777777" w:rsidR="00093A32" w:rsidRDefault="00093A32">
      <w:pPr>
        <w:spacing w:line="360" w:lineRule="exact"/>
      </w:pPr>
    </w:p>
    <w:p w14:paraId="7032476E" w14:textId="77777777" w:rsidR="00093A32" w:rsidRDefault="00093A32">
      <w:pPr>
        <w:spacing w:line="360" w:lineRule="exact"/>
      </w:pPr>
    </w:p>
    <w:p w14:paraId="53EB4703" w14:textId="77777777" w:rsidR="00093A32" w:rsidRDefault="00093A32">
      <w:pPr>
        <w:spacing w:line="360" w:lineRule="exact"/>
      </w:pPr>
    </w:p>
    <w:p w14:paraId="04102844" w14:textId="77777777" w:rsidR="00093A32" w:rsidRDefault="00093A32">
      <w:pPr>
        <w:spacing w:line="360" w:lineRule="exact"/>
      </w:pPr>
    </w:p>
    <w:p w14:paraId="7AE57AF0" w14:textId="77777777" w:rsidR="00093A32" w:rsidRDefault="00093A32">
      <w:pPr>
        <w:spacing w:line="360" w:lineRule="exact"/>
      </w:pPr>
    </w:p>
    <w:p w14:paraId="50AA38E8" w14:textId="77777777" w:rsidR="00093A32" w:rsidRDefault="00093A32">
      <w:pPr>
        <w:spacing w:line="360" w:lineRule="exact"/>
      </w:pPr>
    </w:p>
    <w:p w14:paraId="2D55EF87" w14:textId="77777777" w:rsidR="00093A32" w:rsidRDefault="00093A32">
      <w:pPr>
        <w:spacing w:after="407" w:line="1" w:lineRule="exact"/>
      </w:pPr>
    </w:p>
    <w:p w14:paraId="54D2E050" w14:textId="77777777" w:rsidR="00093A32" w:rsidRDefault="00093A32">
      <w:pPr>
        <w:spacing w:line="1" w:lineRule="exact"/>
        <w:sectPr w:rsidR="00093A32" w:rsidSect="00093A32">
          <w:headerReference w:type="even" r:id="rId278"/>
          <w:headerReference w:type="default" r:id="rId279"/>
          <w:footerReference w:type="even" r:id="rId280"/>
          <w:footerReference w:type="default" r:id="rId281"/>
          <w:footnotePr>
            <w:numFmt w:val="chicago"/>
          </w:footnotePr>
          <w:pgSz w:w="13022" w:h="8501" w:orient="landscape"/>
          <w:pgMar w:top="350" w:right="466" w:bottom="350" w:left="634" w:header="0" w:footer="3" w:gutter="0"/>
          <w:cols w:space="720"/>
          <w:noEndnote/>
          <w:docGrid w:linePitch="360"/>
          <w15:footnoteColumns w:val="1"/>
        </w:sectPr>
      </w:pPr>
    </w:p>
    <w:p w14:paraId="38F447D6" w14:textId="77777777" w:rsidR="00093A32" w:rsidRDefault="00093A32">
      <w:pPr>
        <w:pStyle w:val="BodyText"/>
        <w:ind w:firstLine="0"/>
      </w:pPr>
      <w:r>
        <w:t>Por medio del estudio del contenido duodenal obtenido por medio de una cuerda que se adquiere en el comercio (Entero-Test [HDC Corporation, San José, CA]) o aspiración directa por endoscopio flexible se obtiene material en que se demuestra la presencia de larvas. El diagnóstico serológico es útil pero sólo lo practican unos cuantos laboratorios especializados y se sabe que a veces genera resultados negativos falsos. Los inmunoanálisis enzimáticos en busca de anticuerpos generan resultados positivos en 85% de niños infectados, aproximadamente; sin embargo, las reacciones serológicas cruzadas en casos de filariasis merman la especificidad del diagnóstico serológico. Es frecuente la eosinofilia (más de 500 eosinófilos/pl de sangre). En la estrongiloidiasis diseminada aparecen larvas en el esputo.</w:t>
      </w:r>
    </w:p>
    <w:p w14:paraId="0E74B05E" w14:textId="77777777" w:rsidR="00093A32" w:rsidRDefault="00093A32">
      <w:pPr>
        <w:pStyle w:val="BodyText"/>
        <w:ind w:firstLine="0"/>
      </w:pPr>
      <w:r>
        <w:rPr>
          <w:b/>
          <w:bCs/>
        </w:rPr>
        <w:t>T</w:t>
      </w:r>
      <w:r>
        <w:rPr>
          <w:b/>
          <w:bCs/>
          <w:sz w:val="13"/>
          <w:szCs w:val="13"/>
        </w:rPr>
        <w:t>RATAMIENTO</w:t>
      </w:r>
      <w:r>
        <w:rPr>
          <w:b/>
          <w:bCs/>
        </w:rPr>
        <w:t xml:space="preserve">: </w:t>
      </w:r>
      <w:r>
        <w:t>Administración de ivermectina o de tiabendazol cura a casi todos los pacientes pero no se recomienda su empleo en embarazadas (véase “Fármacos antiparasitarios”, sección 4). Los efectos adversos frecuentes con el tiabendazol son náuseas, vómitos y malestar general. Si se necesita tratamiento por una infección aguda durante el embarazo será mejor usar ivermectina como fármaco más indicado. La administración de esta última se acompaña de un número muy pequeño de efectos adversos. Se necesita a veces repetir o prolongar el tratamiento en el síndrome de hiperinfección o en sujetos inmunodeficientes. Surgen recaídas y pueden ser tratadas con los mismos fármacos.</w:t>
      </w:r>
    </w:p>
    <w:p w14:paraId="2D9EAE89"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recomiendan las precauciones estándar. </w:t>
      </w:r>
      <w:r>
        <w:rPr>
          <w:b/>
          <w:bCs/>
        </w:rPr>
        <w:t>M</w:t>
      </w:r>
      <w:r>
        <w:rPr>
          <w:b/>
          <w:bCs/>
          <w:sz w:val="13"/>
          <w:szCs w:val="13"/>
        </w:rPr>
        <w:t>EDIDAS PREVENTIVAS</w:t>
      </w:r>
      <w:r>
        <w:rPr>
          <w:b/>
          <w:bCs/>
        </w:rPr>
        <w:t xml:space="preserve">: </w:t>
      </w:r>
      <w:r>
        <w:t>Es importante cumplir con medidas de eliminación sanitaria de desperdicios de excreta humana. También ha sido de gran trascendencia la enseñanza sobre el peligro de infección a través de la piel desnuda o pies descalzos.</w:t>
      </w:r>
    </w:p>
    <w:p w14:paraId="3B9A93F0" w14:textId="77777777" w:rsidR="00093A32" w:rsidRDefault="00093A32">
      <w:pPr>
        <w:pStyle w:val="BodyText"/>
        <w:spacing w:after="100"/>
        <w:ind w:firstLine="360"/>
      </w:pPr>
      <w:r>
        <w:t xml:space="preserve">En el niño con algún defecto inmunológico o que necesita inmunosupresores y que proviene de una región endémica, habrá que pensar en la posibilidad de estudiar los excrementos y quizá las secreciones de vías respiratorias y el líquido duodenal en busca de </w:t>
      </w:r>
      <w:r>
        <w:rPr>
          <w:rFonts w:ascii="Times New Roman" w:eastAsia="Times New Roman" w:hAnsi="Times New Roman" w:cs="Times New Roman"/>
          <w:i/>
          <w:iCs/>
          <w:sz w:val="16"/>
          <w:szCs w:val="16"/>
        </w:rPr>
        <w:t>5. stercoralis</w:t>
      </w:r>
      <w:r>
        <w:t xml:space="preserve"> antes de emprender la terapia inmunosupresora. Los métodos serológicos al parecer son los más sensibles para el diagnóstico, pero ellos no diferencian entre infecciones pasadas y la actual, y quizá no puedan obtenerse de inmediato los resultados en un laboratorio especializado. Si el estado del paciente obliga a iniciar la administración de inmunosupresores antes de contar con los resultados de métodos diagnósticos, habrá que comparar los riesgos de la terapia empírica con antiparasitarios contra estrongiloidiasis y los peligros de la infección diseminada.</w:t>
      </w:r>
    </w:p>
    <w:p w14:paraId="342A33AF" w14:textId="77777777" w:rsidR="00093A32" w:rsidRDefault="00093A32">
      <w:pPr>
        <w:pStyle w:val="Bodytext70"/>
        <w:spacing w:after="0"/>
      </w:pPr>
      <w:r>
        <w:rPr>
          <w:i/>
          <w:iCs/>
        </w:rPr>
        <w:t>Giardia lamblia,</w:t>
      </w:r>
      <w:r>
        <w:t xml:space="preserve"> infecciones</w:t>
      </w:r>
    </w:p>
    <w:p w14:paraId="520D7DB7"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(Giardiasis)</w:t>
      </w:r>
    </w:p>
    <w:p w14:paraId="6A9CB7B6"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sintomática origina manifestaciones clínicas de muy diversa índole. Los niños en días ocasionales pueden presentar diarrea acuosa aguda con dolor abdominal o bien un cuadro tardío, intermitente y a menudo debilitante que se caracteriza por la expulsión de excrementos fétidos, acompañado de flatulencia, distensión abdominal y anorexia. Esta última, en combinación con la mala absorción, puede ocasionar notable pérdida ponderal, retraso en el crecimiento y anemia. Es frecuente que surjan infecciones asintomáticas.</w:t>
      </w:r>
    </w:p>
    <w:p w14:paraId="19409FFB" w14:textId="77777777" w:rsidR="00093A32" w:rsidRDefault="00093A32">
      <w:pPr>
        <w:pStyle w:val="BodyText"/>
        <w:ind w:firstLine="0"/>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Giardia lamblia</w:t>
      </w:r>
      <w:r>
        <w:t xml:space="preserve"> es un protozoo flagelado que está en las formas de trofozoíto y quiste; esta última es la forma infectante. La infección se circunscribe al intestino delgado y a las vías biliares.</w:t>
      </w:r>
    </w:p>
    <w:p w14:paraId="5F461202"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La giardiasis tiene distribución mundial. Los seres humanos constituyen el principal reservorio de la infección, pero los microorganismos infectan también perros, gatos, castores y otros animales. Todos ellos pueden contaminar el agua con excrementos que tengan quistes infectantes para los seres humanos. Las personas se pueden infectar de manera directa (por la transferencia mano-boca de quistes provenientes de los excrementos de una persona infectada) o de manera indirecta (por ingestión de agua o alimentos contaminados por heces). Muchas personas que adquieren la infección por </w:t>
      </w:r>
      <w:r>
        <w:rPr>
          <w:rFonts w:ascii="Times New Roman" w:eastAsia="Times New Roman" w:hAnsi="Times New Roman" w:cs="Times New Roman"/>
          <w:i/>
          <w:iCs/>
          <w:sz w:val="16"/>
          <w:szCs w:val="16"/>
        </w:rPr>
        <w:t>G. lamblia</w:t>
      </w:r>
      <w:r>
        <w:t xml:space="preserve"> no presentan síntomas. Muchas de las epidemias a nivel comunitario han sido consecuencia del abasto de agua contaminada. Las epidemias que son producto de la transmisión directa de una persona a otra se observan en centros de atención pediátrica e instituciones para personas con discapacidades del desarrollo. En ocasiones se infectan los miembros del personal y de la familia en contacto con las personas en tales situaciones y circunstancias. Las inmunodeficiencias de tipo humoral predisponen a las infecciones sintomáticas y crónicas por </w:t>
      </w:r>
      <w:r>
        <w:rPr>
          <w:rFonts w:ascii="Times New Roman" w:eastAsia="Times New Roman" w:hAnsi="Times New Roman" w:cs="Times New Roman"/>
          <w:i/>
          <w:iCs/>
          <w:sz w:val="16"/>
          <w:szCs w:val="16"/>
        </w:rPr>
        <w:t>G. lamblia.</w:t>
      </w:r>
      <w:r>
        <w:t xml:space="preserve"> Las encuestas realizadas en Estados Unidos han señalado cifras de prevalencia de </w:t>
      </w:r>
      <w:r>
        <w:rPr>
          <w:rFonts w:ascii="Times New Roman" w:eastAsia="Times New Roman" w:hAnsi="Times New Roman" w:cs="Times New Roman"/>
          <w:i/>
          <w:iCs/>
          <w:sz w:val="16"/>
          <w:szCs w:val="16"/>
        </w:rPr>
        <w:t>Giardia</w:t>
      </w:r>
      <w:r>
        <w:t xml:space="preserve"> en muestras de excrementos, que van de 1 a 20%, según el sitio geográfico y la edad de las personas. La duración de la excreción de quistes es variable y puede ser de meses. La enfermedad es transmisible durante todo el tiempo en que la persona infectada excrete quistes.</w:t>
      </w:r>
    </w:p>
    <w:p w14:paraId="1E2DCEEA" w14:textId="77777777" w:rsidR="00093A32" w:rsidRDefault="00093A32">
      <w:pPr>
        <w:pStyle w:val="BodyText"/>
        <w:ind w:firstLine="360"/>
      </w:pPr>
      <w:r>
        <w:t xml:space="preserve">El </w:t>
      </w:r>
      <w:r>
        <w:rPr>
          <w:b/>
          <w:bCs/>
        </w:rPr>
        <w:t xml:space="preserve">periodo de incubación </w:t>
      </w:r>
      <w:r>
        <w:t>suele ser de una a cuatro semanas.</w:t>
      </w:r>
    </w:p>
    <w:p w14:paraId="5E67A7F8"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se corrobora por la identificación de trofozoítos o quistes en frotis directos o mediante la búsqueda con anticuerpos inmunofluorescentes en muestras de heces o líquido duodenal. Por lo regular se reúne excremento y se conserva en formol al 10% amortiguado hasta pH neutro, pero puede recurrirse a otros conservadores, o bien estudiar el excremento recién obtenido. Un solo estudio de un frotis directo de excremento posee sensibilidad de 75 a 95%. La sensibilidad aumenta en el caso de muestras de diarrea porque contienen una mayor concentración de microorganismos. La sensibilidad mejora si se estudian tres muestras o más reunidas con diferencias de 48 h. Para mejorar la detección, poco después de obtener el material se procederá al examen microscópico de las muestras de excremento o de líquido duodenal, o bien, se colocarán las heces en fijador, se concentrarán y estudiarán en un preparado húmedo con una tinción permanente como la tricrómica. Los estuches comerciales para la obtención de excrementos contienen un frasco de formol al 10% amortiguado hasta pH neutro y otro frasco con el fijador, que es el alcohol polivinílico, en recipientes “a prueba de niños” muy cómodos para conservar las muestras reunidas en el hogar. Si se sospecha la giardiasis sobre bases clínicas, pero no se identifica el microorganismo en varias muestras de heces, se estudiará el contenido duodenal obtenido por aspiración directa o por medio de una “cuerda” que se vende en el comercio (Enterotest, HDC Corporation, San José, CA), con lo cual puede confirmarse el diagnóstico. En raras ocasiones se necesita la biopsia de duodeno para el diagnóstico. También en el comercio se pueden adquirir algunos estuches de inmunoanálisis enzimáticos, pero debido a problemas recurrentes con resultados falsos positivos y negativos, es necesario interpretar con cautela los datos obtenidos del inmunoanálisis enzimático en busca de especies de </w:t>
      </w:r>
      <w:r>
        <w:rPr>
          <w:rFonts w:ascii="Times New Roman" w:eastAsia="Times New Roman" w:hAnsi="Times New Roman" w:cs="Times New Roman"/>
          <w:i/>
          <w:iCs/>
          <w:sz w:val="16"/>
          <w:szCs w:val="16"/>
        </w:rPr>
        <w:t>Giardia</w:t>
      </w:r>
      <w:r>
        <w:rPr>
          <w:i/>
          <w:iCs/>
        </w:rPr>
        <w:t>.</w:t>
      </w:r>
      <w:r>
        <w:t xml:space="preserve"> El estuche para practicar la prueba de anticuerpos fluorescentes directos (Meridian Diagnostics, Dallas, TX) tiene la ventaja de visualizar los microorganismos, lo que ofrece un mayor nivel de confianza en el caso de un diagnóstico positivo que el inmunoanálisis enzimático.</w:t>
      </w:r>
    </w:p>
    <w:p w14:paraId="49A3C171" w14:textId="77777777" w:rsidR="00093A32" w:rsidRDefault="00093A32">
      <w:pPr>
        <w:pStyle w:val="BodyText"/>
        <w:ind w:firstLine="0"/>
        <w:sectPr w:rsidR="00093A32" w:rsidSect="00093A32">
          <w:headerReference w:type="even" r:id="rId282"/>
          <w:headerReference w:type="default" r:id="rId283"/>
          <w:footerReference w:type="even" r:id="rId284"/>
          <w:footerReference w:type="default" r:id="rId285"/>
          <w:headerReference w:type="first" r:id="rId286"/>
          <w:footerReference w:type="first" r:id="rId287"/>
          <w:footnotePr>
            <w:numFmt w:val="chicago"/>
          </w:footnotePr>
          <w:pgSz w:w="8501" w:h="13022"/>
          <w:pgMar w:top="941" w:right="898" w:bottom="509" w:left="725" w:header="0" w:footer="3" w:gutter="0"/>
          <w:cols w:space="720"/>
          <w:noEndnote/>
          <w:titlePg/>
          <w:docGrid w:linePitch="360"/>
          <w15:footnoteColumns w:val="1"/>
        </w:sectPr>
      </w:pPr>
      <w:r>
        <w:rPr>
          <w:b/>
          <w:bCs/>
        </w:rPr>
        <w:t>T</w:t>
      </w:r>
      <w:r>
        <w:rPr>
          <w:b/>
          <w:bCs/>
          <w:sz w:val="13"/>
          <w:szCs w:val="13"/>
        </w:rPr>
        <w:t>RATAMIENTO</w:t>
      </w:r>
      <w:r>
        <w:rPr>
          <w:b/>
          <w:bCs/>
        </w:rPr>
        <w:t xml:space="preserve">: </w:t>
      </w:r>
      <w:r>
        <w:t xml:space="preserve">Es necesario corregir la deshidratación y las anormalidades de electrólitos. El metronidazol es el fármaco más indicado: un ciclo de cinco a siete días tiene un índice de cura de 80 a 95%. El tinidazol, que es un nitroimidazol, posee un </w:t>
      </w:r>
    </w:p>
    <w:p w14:paraId="2A40D88E" w14:textId="77777777" w:rsidR="00093A32" w:rsidRDefault="00093A32">
      <w:pPr>
        <w:pStyle w:val="BodyText"/>
        <w:ind w:firstLine="0"/>
      </w:pPr>
      <w:r>
        <w:t xml:space="preserve">índice de cura de 90 a 100% después de una sola dosis, pero son escasos los datos de inocuidad y eficacia en niños; en Estados Unidos no se puede obtener tal fármaco. La furazolidona tiene eficacia de 72 a 100% cuando se administra durante siete a 10 días, y se distribuye en el comercio en forma líquida para niños. Se ha demostrado que el albendazol tiene la misma eficacia que el metronidazol para tratar giardiasis en niños, y tiene menos efectos adversos. En Estados Unidos la </w:t>
      </w:r>
      <w:r>
        <w:rPr>
          <w:rFonts w:ascii="Times New Roman" w:eastAsia="Times New Roman" w:hAnsi="Times New Roman" w:cs="Times New Roman"/>
          <w:i/>
          <w:iCs/>
          <w:sz w:val="16"/>
          <w:szCs w:val="16"/>
        </w:rPr>
        <w:t>Food and Drug Administración</w:t>
      </w:r>
      <w:r>
        <w:t xml:space="preserve"> ha aprobado la ingestión de suspensión de nitazoxanida durante tres días para tratar a los niños con diarrea atribuible a </w:t>
      </w:r>
      <w:r>
        <w:rPr>
          <w:rFonts w:ascii="Times New Roman" w:eastAsia="Times New Roman" w:hAnsi="Times New Roman" w:cs="Times New Roman"/>
          <w:i/>
          <w:iCs/>
          <w:sz w:val="16"/>
          <w:szCs w:val="16"/>
        </w:rPr>
        <w:t>G. lamblia</w:t>
      </w:r>
      <w:r>
        <w:t xml:space="preserve"> y </w:t>
      </w:r>
      <w:r>
        <w:rPr>
          <w:rFonts w:ascii="Times New Roman" w:eastAsia="Times New Roman" w:hAnsi="Times New Roman" w:cs="Times New Roman"/>
          <w:i/>
          <w:iCs/>
          <w:sz w:val="16"/>
          <w:szCs w:val="16"/>
        </w:rPr>
        <w:t>Cryptosporidiumparvum.</w:t>
      </w:r>
      <w:r>
        <w:t xml:space="preserve"> La paromomicina, que es un aminoglucósido no absorbible con una eficacia del 50 a 70%, es recomendable para tratar la infección sintomática en embarazadas.</w:t>
      </w:r>
    </w:p>
    <w:p w14:paraId="14C08486" w14:textId="77777777" w:rsidR="00093A32" w:rsidRDefault="00093A32">
      <w:pPr>
        <w:pStyle w:val="BodyText"/>
        <w:ind w:firstLine="360"/>
      </w:pPr>
      <w:r>
        <w:t>Si el tratamiento no da resultados, puede repetirse el ciclo con el mismo medicamento. Las recaídas son frecuentes en personas inmunodeficientes, quienes a veces necesitan un tratamiento prolongado. Algunos expertos recomiendan la terapia mixta contra giardiasis en pacientes inmunodeficientes que no mejoran con ciclos de dos fármacos utilizados de manera separada.</w:t>
      </w:r>
    </w:p>
    <w:p w14:paraId="38A8C05A" w14:textId="77777777" w:rsidR="00093A32" w:rsidRDefault="00093A32">
      <w:pPr>
        <w:pStyle w:val="BodyText"/>
        <w:ind w:firstLine="360"/>
      </w:pPr>
      <w:r>
        <w:t>No se recomienda dar tratamiento a los portadores asintomáticos. Entre las excepciones posibles para evitar la transmisión están los portadores en círculos familiares de personas con hipogammaglobulinemia o fibrosis quística y embarazadas con niños en la fase preambulatoria.</w:t>
      </w:r>
    </w:p>
    <w:p w14:paraId="3CE814F6" w14:textId="77777777" w:rsidR="00093A32" w:rsidRDefault="00093A32">
      <w:pPr>
        <w:pStyle w:val="BodyText"/>
        <w:spacing w:after="22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mientras dure la enfermedad en el caso de niños con pañales e incontinentes.</w:t>
      </w:r>
    </w:p>
    <w:p w14:paraId="2E78FA29"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221B3BC" w14:textId="77777777" w:rsidR="00093A32" w:rsidRDefault="00093A32">
      <w:pPr>
        <w:pStyle w:val="BodyText"/>
        <w:numPr>
          <w:ilvl w:val="0"/>
          <w:numId w:val="61"/>
        </w:numPr>
        <w:tabs>
          <w:tab w:val="left" w:pos="341"/>
        </w:tabs>
        <w:ind w:left="360" w:hanging="360"/>
      </w:pPr>
      <w:bookmarkStart w:id="104" w:name="bookmark710"/>
      <w:bookmarkEnd w:id="104"/>
      <w:r>
        <w:t xml:space="preserve">En centros de atención pediátrica, hay que insistir en el mejoramiento de la sanidad y de la higiene personal (véase también “Niños en el sistema asistencial extrahogareño”, sección 2). Habrá que insistir en la higiene manual del personal asistencial y los niños, especialmente después de la defecación y la micción o del manejo de pañales contaminados. Si se sospecha un brote, habrá que informar al departamento sanitario de la localidad, y se emprenderá una investigación epidemiológica para identificar y tratar a todos los niños, personal que atiende a los menores y miembros de la familia infectados por </w:t>
      </w:r>
      <w:r>
        <w:rPr>
          <w:rFonts w:ascii="Times New Roman" w:eastAsia="Times New Roman" w:hAnsi="Times New Roman" w:cs="Times New Roman"/>
          <w:i/>
          <w:iCs/>
          <w:sz w:val="16"/>
          <w:szCs w:val="16"/>
        </w:rPr>
        <w:t>G. lamblia</w:t>
      </w:r>
      <w:r>
        <w:t xml:space="preserve"> y sintomáticos. Es necesario excluir del centro asistencial pediátrico a toda persona con diarrea, hasta que no tenga síntomas. El tratamiento de los portadores asintomáticos no es eficaz para la erradicación de brotes. No se recomienda excluir la presencia de portadores en los servicios de asistencia pediátrica.</w:t>
      </w:r>
    </w:p>
    <w:p w14:paraId="11F92005" w14:textId="77777777" w:rsidR="00093A32" w:rsidRDefault="00093A32">
      <w:pPr>
        <w:pStyle w:val="BodyText"/>
        <w:numPr>
          <w:ilvl w:val="0"/>
          <w:numId w:val="61"/>
        </w:numPr>
        <w:tabs>
          <w:tab w:val="left" w:pos="341"/>
        </w:tabs>
        <w:ind w:left="360" w:hanging="360"/>
      </w:pPr>
      <w:bookmarkStart w:id="105" w:name="bookmark711"/>
      <w:bookmarkEnd w:id="105"/>
      <w:r>
        <w:t>Los brotes propagados por el consumo de agua se evitan mediante una combinación de filtración adecuada de agua de fuentes superficiales (como lagos, ríos o corrientes), su cloración y las medidas de mantenimiento de los sistemas de distribución de agua.</w:t>
      </w:r>
    </w:p>
    <w:p w14:paraId="1D4E28E0" w14:textId="77777777" w:rsidR="00093A32" w:rsidRDefault="00093A32">
      <w:pPr>
        <w:pStyle w:val="BodyText"/>
        <w:numPr>
          <w:ilvl w:val="0"/>
          <w:numId w:val="61"/>
        </w:numPr>
        <w:tabs>
          <w:tab w:val="left" w:pos="341"/>
        </w:tabs>
        <w:spacing w:after="100"/>
        <w:ind w:left="360" w:hanging="360"/>
      </w:pPr>
      <w:bookmarkStart w:id="106" w:name="bookmark712"/>
      <w:bookmarkEnd w:id="106"/>
      <w:r>
        <w:t>Personas como los “mochileros”, los que acampan y sujetos con probabilidad de estar expuestos al agua contaminada deben abstenerse de beber directamente de las corrientes. La ebullición del agua destruirá los quistes infectantes y otros patógenos presentes en tal líquido.</w:t>
      </w:r>
    </w:p>
    <w:p w14:paraId="5A82D0AC" w14:textId="77777777" w:rsidR="00093A32" w:rsidRDefault="00093A32">
      <w:pPr>
        <w:pStyle w:val="Bodytext70"/>
        <w:spacing w:after="0"/>
      </w:pPr>
      <w:r>
        <w:t>Gonococos, infecciones</w:t>
      </w:r>
    </w:p>
    <w:p w14:paraId="678C3245" w14:textId="77777777" w:rsidR="00093A32" w:rsidRDefault="00093A32">
      <w:pPr>
        <w:pStyle w:val="BodyText"/>
        <w:spacing w:after="100" w:line="262" w:lineRule="auto"/>
        <w:ind w:firstLine="0"/>
      </w:pPr>
      <w:r>
        <w:rPr>
          <w:b/>
          <w:bCs/>
          <w:smallCaps/>
          <w:sz w:val="20"/>
          <w:szCs w:val="20"/>
        </w:rPr>
        <w:t>M</w:t>
      </w:r>
      <w:r>
        <w:rPr>
          <w:b/>
          <w:bCs/>
          <w:smallCaps/>
          <w:sz w:val="16"/>
          <w:szCs w:val="16"/>
        </w:rPr>
        <w:t>anifestaciones clínicas</w:t>
      </w:r>
      <w:r>
        <w:rPr>
          <w:b/>
          <w:bCs/>
          <w:smallCaps/>
          <w:sz w:val="20"/>
          <w:szCs w:val="20"/>
        </w:rPr>
        <w:t>:</w:t>
      </w:r>
      <w:r>
        <w:t xml:space="preserve"> Las infecciones por gonococos en niños surgen en tres grupos diferentes de edad.</w:t>
      </w:r>
    </w:p>
    <w:p w14:paraId="08716E77" w14:textId="77777777" w:rsidR="00093A32" w:rsidRDefault="00093A32">
      <w:pPr>
        <w:pStyle w:val="BodyText"/>
        <w:ind w:firstLine="0"/>
      </w:pPr>
      <w:r>
        <w:t xml:space="preserve">índice de cura de 90 a 100% después de una sola dosis, pero son escasos los datos de inocuidad y eficacia en niños; en Estados Unidos no se puede obtener tal fármaco. La furazolidona tiene eficacia de 72 a 100% cuando se administra durante siete a 10 días, y se distribuye en el comercio en forma líquida para niños. Se ha demostrado que el albendazol tiene la misma eficacia que el metronidazol para tratar giardiasis en niños, y tiene menos efectos adversos. En Estados Unidos la </w:t>
      </w:r>
      <w:r>
        <w:rPr>
          <w:rFonts w:ascii="Times New Roman" w:eastAsia="Times New Roman" w:hAnsi="Times New Roman" w:cs="Times New Roman"/>
          <w:i/>
          <w:iCs/>
          <w:sz w:val="16"/>
          <w:szCs w:val="16"/>
        </w:rPr>
        <w:t>Food and Drug Administración</w:t>
      </w:r>
      <w:r>
        <w:t xml:space="preserve"> ha aprobado la ingestión de suspensión de nitazoxanida durante tres días para tratar a los niños con diarrea atribuible a </w:t>
      </w:r>
      <w:r>
        <w:rPr>
          <w:rFonts w:ascii="Times New Roman" w:eastAsia="Times New Roman" w:hAnsi="Times New Roman" w:cs="Times New Roman"/>
          <w:i/>
          <w:iCs/>
          <w:sz w:val="16"/>
          <w:szCs w:val="16"/>
        </w:rPr>
        <w:t>G. lamblia</w:t>
      </w:r>
      <w:r>
        <w:t xml:space="preserve"> y </w:t>
      </w:r>
      <w:r>
        <w:rPr>
          <w:rFonts w:ascii="Times New Roman" w:eastAsia="Times New Roman" w:hAnsi="Times New Roman" w:cs="Times New Roman"/>
          <w:i/>
          <w:iCs/>
          <w:sz w:val="16"/>
          <w:szCs w:val="16"/>
        </w:rPr>
        <w:t>Cryptosporidiumparvum.</w:t>
      </w:r>
      <w:r>
        <w:t xml:space="preserve"> La paromomicina, que es un aminoglucósido no absorbible con una eficacia del 50 a 70%, es recomendable para tratar la infección sintomática en embarazadas.</w:t>
      </w:r>
    </w:p>
    <w:p w14:paraId="02A78634" w14:textId="77777777" w:rsidR="00093A32" w:rsidRDefault="00093A32">
      <w:pPr>
        <w:pStyle w:val="BodyText"/>
        <w:ind w:firstLine="360"/>
      </w:pPr>
      <w:r>
        <w:t>Si el tratamiento no da resultados, puede repetirse el ciclo con el mismo medicamento. Las recaídas son frecuentes en personas inmunodeficientes, quienes a veces necesitan un tratamiento prolongado. Algunos expertos recomiendan la terapia mixta contra giardiasis en pacientes inmunodeficientes que no mejoran con ciclos de dos fármacos utilizados de manera separada.</w:t>
      </w:r>
    </w:p>
    <w:p w14:paraId="6FD42A7E" w14:textId="77777777" w:rsidR="00093A32" w:rsidRDefault="00093A32">
      <w:pPr>
        <w:pStyle w:val="BodyText"/>
        <w:ind w:firstLine="360"/>
      </w:pPr>
      <w:r>
        <w:t>No se recomienda dar tratamiento a los portadores asintomáticos. Entre las excepciones posibles para evitar la transmisión están los portadores en círculos familiares de personas con hipogammaglobulinemia o fibrosis quística y embarazadas con niños en la fase preambulatoria.</w:t>
      </w:r>
    </w:p>
    <w:p w14:paraId="396F070E" w14:textId="77777777" w:rsidR="00093A32" w:rsidRDefault="00093A32">
      <w:pPr>
        <w:pStyle w:val="BodyText"/>
        <w:spacing w:after="22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mientras dure la enfermedad en el caso de niños con pañales e incontinentes.</w:t>
      </w:r>
    </w:p>
    <w:p w14:paraId="736E8869"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2742CA9" w14:textId="77777777" w:rsidR="00093A32" w:rsidRDefault="00093A32">
      <w:pPr>
        <w:pStyle w:val="BodyText"/>
        <w:numPr>
          <w:ilvl w:val="0"/>
          <w:numId w:val="61"/>
        </w:numPr>
        <w:tabs>
          <w:tab w:val="left" w:pos="341"/>
        </w:tabs>
        <w:ind w:left="360" w:hanging="360"/>
      </w:pPr>
      <w:bookmarkStart w:id="107" w:name="bookmark713"/>
      <w:bookmarkEnd w:id="107"/>
      <w:r>
        <w:t xml:space="preserve">En centros de atención pediátrica, hay que insistir en el mejoramiento de la sanidad y de la higiene personal (véase también “Niños en el sistema asistencial extrahogareño”, sección 2). Habrá que insistir en la higiene manual del personal asistencial y los niños, especialmente después de la defecación y la micción o del manejo de pañales contaminados. Si se sospecha un brote, habrá que informar al departamento sanitario de la localidad, y se emprenderá una investigación epidemiológica para identificar y tratar a todos los niños, personal que atiende a los menores y miembros de la familia infectados por </w:t>
      </w:r>
      <w:r>
        <w:rPr>
          <w:rFonts w:ascii="Times New Roman" w:eastAsia="Times New Roman" w:hAnsi="Times New Roman" w:cs="Times New Roman"/>
          <w:i/>
          <w:iCs/>
          <w:sz w:val="16"/>
          <w:szCs w:val="16"/>
        </w:rPr>
        <w:t>G. lamblia</w:t>
      </w:r>
      <w:r>
        <w:t xml:space="preserve"> y sintomáticos. Es necesario excluir del centro asistencial pediátrico a toda persona con diarrea, hasta que no tenga síntomas. El tratamiento de los portadores asintomáticos no es eficaz para la erradicación de brotes. No se recomienda excluir la presencia de portadores en los servicios de asistencia pediátrica.</w:t>
      </w:r>
    </w:p>
    <w:p w14:paraId="6DE24DCC" w14:textId="77777777" w:rsidR="00093A32" w:rsidRDefault="00093A32">
      <w:pPr>
        <w:pStyle w:val="BodyText"/>
        <w:numPr>
          <w:ilvl w:val="0"/>
          <w:numId w:val="61"/>
        </w:numPr>
        <w:tabs>
          <w:tab w:val="left" w:pos="341"/>
        </w:tabs>
        <w:ind w:left="360" w:hanging="360"/>
      </w:pPr>
      <w:bookmarkStart w:id="108" w:name="bookmark714"/>
      <w:bookmarkEnd w:id="108"/>
      <w:r>
        <w:t>Los brotes propagados por el consumo de agua se evitan mediante una combinación de filtración adecuada de agua de fuentes superficiales (como lagos, ríos o corrientes), su cloración y las medidas de mantenimiento de los sistemas de distribución de agua.</w:t>
      </w:r>
    </w:p>
    <w:p w14:paraId="1DCF756F" w14:textId="77777777" w:rsidR="00093A32" w:rsidRDefault="00093A32">
      <w:pPr>
        <w:pStyle w:val="BodyText"/>
        <w:numPr>
          <w:ilvl w:val="0"/>
          <w:numId w:val="61"/>
        </w:numPr>
        <w:tabs>
          <w:tab w:val="left" w:pos="341"/>
        </w:tabs>
        <w:spacing w:after="100"/>
        <w:ind w:left="360" w:hanging="360"/>
      </w:pPr>
      <w:bookmarkStart w:id="109" w:name="bookmark715"/>
      <w:bookmarkEnd w:id="109"/>
      <w:r>
        <w:t>Personas como los “mochileros”, los que acampan y sujetos con probabilidad de estar expuestos al agua contaminada deben abstenerse de beber directamente de las corrientes. La ebullición del agua destruirá los quistes infectantes y otros patógenos presentes en tal líquido.</w:t>
      </w:r>
    </w:p>
    <w:p w14:paraId="3AD8F393" w14:textId="77777777" w:rsidR="00093A32" w:rsidRDefault="00093A32">
      <w:pPr>
        <w:pStyle w:val="Bodytext70"/>
        <w:spacing w:after="0"/>
      </w:pPr>
      <w:r>
        <w:t>Gonococos, infecciones</w:t>
      </w:r>
    </w:p>
    <w:p w14:paraId="3005167C" w14:textId="77777777" w:rsidR="00093A32" w:rsidRDefault="00093A32">
      <w:pPr>
        <w:pStyle w:val="BodyText"/>
        <w:spacing w:after="100" w:line="262" w:lineRule="auto"/>
        <w:ind w:firstLine="0"/>
        <w:sectPr w:rsidR="00093A32" w:rsidSect="00093A32">
          <w:headerReference w:type="even" r:id="rId288"/>
          <w:headerReference w:type="default" r:id="rId289"/>
          <w:footerReference w:type="even" r:id="rId290"/>
          <w:footerReference w:type="default" r:id="rId291"/>
          <w:footnotePr>
            <w:numFmt w:val="chicago"/>
          </w:footnotePr>
          <w:type w:val="continuous"/>
          <w:pgSz w:w="8501" w:h="13022"/>
          <w:pgMar w:top="941" w:right="898" w:bottom="509" w:left="725" w:header="0" w:footer="81" w:gutter="0"/>
          <w:cols w:space="720"/>
          <w:noEndnote/>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Las infecciones por gonococos en niños surgen en tres grupos diferentes de edad.</w:t>
      </w:r>
    </w:p>
    <w:p w14:paraId="4E3C62D8" w14:textId="77777777" w:rsidR="00093A32" w:rsidRDefault="00093A32">
      <w:pPr>
        <w:pStyle w:val="BodyText"/>
        <w:numPr>
          <w:ilvl w:val="0"/>
          <w:numId w:val="61"/>
        </w:numPr>
        <w:tabs>
          <w:tab w:val="left" w:pos="341"/>
        </w:tabs>
        <w:ind w:left="360" w:hanging="360"/>
      </w:pPr>
      <w:bookmarkStart w:id="110" w:name="bookmark716"/>
      <w:bookmarkEnd w:id="110"/>
      <w:r>
        <w:t>La infección en el neonato suele afectar los ojos. Otros sitios de infección comprenden los abscesos del cuero cabelludo (vinculados con la colocación de electrodos para la monitorización fetal), vaginitis y enfermedad diseminada con bacteriemia, artritis o meningitis.</w:t>
      </w:r>
    </w:p>
    <w:p w14:paraId="7DA8E377" w14:textId="77777777" w:rsidR="00093A32" w:rsidRDefault="00093A32">
      <w:pPr>
        <w:pStyle w:val="BodyText"/>
        <w:numPr>
          <w:ilvl w:val="0"/>
          <w:numId w:val="61"/>
        </w:numPr>
        <w:tabs>
          <w:tab w:val="left" w:pos="341"/>
        </w:tabs>
        <w:ind w:left="360" w:hanging="360"/>
      </w:pPr>
      <w:bookmarkStart w:id="111" w:name="bookmark717"/>
      <w:bookmarkEnd w:id="111"/>
      <w:r>
        <w:t xml:space="preserve">En los niños que han rebasado el periodo neonatal, inclusive los prepúberes, la infección gonocócica siempre se localiza en las vías genitales y casi siempre es transmitida sexualmente. En raras ocasiones se observa la transmisión no sexual, proveniente de contactos del círculo familiar. La vaginitis es la manifestación más frecuente; surgen a veces enfermedad inflamatoria pélvica </w:t>
      </w:r>
      <w:r>
        <w:rPr>
          <w:i/>
          <w:iCs/>
        </w:rPr>
        <w:t>(</w:t>
      </w:r>
      <w:r>
        <w:rPr>
          <w:rFonts w:ascii="Times New Roman" w:eastAsia="Times New Roman" w:hAnsi="Times New Roman" w:cs="Times New Roman"/>
          <w:i/>
          <w:iCs/>
          <w:sz w:val="16"/>
          <w:szCs w:val="16"/>
        </w:rPr>
        <w:t xml:space="preserve">pelvic inflammatory </w:t>
      </w:r>
      <w:r>
        <w:t>disease, PID) y perihepatitis, pero son raras. La uretritis gonocócica en el varón prepúber es poco común; también en los niños prepúberes se observan infecciones anorrectales y amigdalofaríngeas.</w:t>
      </w:r>
    </w:p>
    <w:p w14:paraId="532B34C1" w14:textId="77777777" w:rsidR="00093A32" w:rsidRDefault="00093A32">
      <w:pPr>
        <w:pStyle w:val="BodyText"/>
        <w:numPr>
          <w:ilvl w:val="0"/>
          <w:numId w:val="61"/>
        </w:numPr>
        <w:tabs>
          <w:tab w:val="left" w:pos="341"/>
        </w:tabs>
        <w:spacing w:after="220"/>
        <w:ind w:left="360" w:hanging="360"/>
      </w:pPr>
      <w:bookmarkStart w:id="112" w:name="bookmark718"/>
      <w:bookmarkEnd w:id="112"/>
      <w:r>
        <w:t>En adolescentes sexualmente activos, al igual que en los adultos, la infección gonocócica del aparato genital en las mujeres suele ser asintomática y los síndromes clínicos frecuentes son uretritis, endocervicitis y salpingitis. En los varones la infección por lo regular es sintomática y el sitio primario es la uretra. La infección del recto y la faringe surgen solas o junto con infección de vías genitourinarias en uno y otro sexos. Las infecciones de recto y faringe suelen ser asintomáticas. La extensión desde sitios primarios de la mucosa genital puede terminar en epididimitis, bartolinitis, PID y perihepatitis (síndrome de Fitz-Hugh-Curtis). Incluso la infección asintomática puede evolucionar y llegar a PID, y quedan cicatrices en las trompas que pueden ocasionar embarazos ectópicos o infecundidad. La infección que afecta otras membranas mucosas produce a veces conjuntivitis, faringitis o proctitis. La propagación hematógena puede afectar la piel y las articulaciones (síndrome de artritis-dermatitis) y aparece incluso en 3% de personas no tratadas, que tienen gonorrea de mucosas. La bacteriemia origina maculopápulas con necrosis, tenosinovitis y artritis migratoria. La artritis puede ser reactiva (estéril) o séptica. En raras ocasiones se observan meningitis y endocarditis. La diseminación es más común en mujeres infectadas en el término de una semana de la menstruación.</w:t>
      </w:r>
    </w:p>
    <w:p w14:paraId="3B93B8F0" w14:textId="77777777" w:rsidR="00093A32" w:rsidRDefault="00093A32">
      <w:pPr>
        <w:pStyle w:val="BodyText"/>
        <w:ind w:firstLine="0"/>
        <w:rPr>
          <w:sz w:val="16"/>
          <w:szCs w:val="16"/>
        </w:rPr>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Neisseria gonorrhoeae</w:t>
      </w:r>
      <w:r>
        <w:t xml:space="preserve"> es un diplococo gramnegativo oxidasa-positivo. </w:t>
      </w:r>
      <w:r>
        <w:rPr>
          <w:b/>
          <w:bCs/>
        </w:rPr>
        <w:t>A</w:t>
      </w:r>
      <w:r>
        <w:rPr>
          <w:b/>
          <w:bCs/>
          <w:sz w:val="13"/>
          <w:szCs w:val="13"/>
        </w:rPr>
        <w:t>SPECTOS EPIDEMIOLÓGICOS</w:t>
      </w:r>
      <w:r>
        <w:rPr>
          <w:b/>
          <w:bCs/>
        </w:rPr>
        <w:t xml:space="preserve">: </w:t>
      </w:r>
      <w:r>
        <w:t xml:space="preserve">Las infecciones gonocócicas afectan sólo a seres humanos. El microorganismo está en el exudado y las secreciones de superficies mucosas infectadas; </w:t>
      </w:r>
      <w:r>
        <w:rPr>
          <w:rFonts w:ascii="Times New Roman" w:eastAsia="Times New Roman" w:hAnsi="Times New Roman" w:cs="Times New Roman"/>
          <w:i/>
          <w:iCs/>
          <w:sz w:val="16"/>
          <w:szCs w:val="16"/>
        </w:rPr>
        <w:t>N. gonorrhoeae</w:t>
      </w:r>
      <w:r>
        <w:t xml:space="preserve"> es transmisible durante todo el tiempo en que la persona posea el germen. La transmisión es consecuencia de contacto íntimo, como actos sexuales, parto y, en raras ocasiones, exposición hogareña en los niños prepúberes. Hay que pensar seriamente en abuso sexual si se diagnostica colonización o infección de genitales, recto o faringe en niños que han rebasado el periodo neonatal y están en la etapa anterior a la pubertad. Se estima que cada año en Estados Unidos surgen 650 000 casos nuevos de infección gonocócica. La máxima incidencia notificada de infección corresponde a adolescentes de 15 y 19 años; le siguen en frecuencia personas de 20 a 24 años. A menudo el cuadro coexiste con la infección por </w:t>
      </w:r>
      <w:r>
        <w:rPr>
          <w:rFonts w:ascii="Times New Roman" w:eastAsia="Times New Roman" w:hAnsi="Times New Roman" w:cs="Times New Roman"/>
          <w:i/>
          <w:iCs/>
          <w:sz w:val="16"/>
          <w:szCs w:val="16"/>
        </w:rPr>
        <w:t>Chlamydia trachomatis.</w:t>
      </w:r>
    </w:p>
    <w:p w14:paraId="2D2AAD73" w14:textId="77777777" w:rsidR="00093A32" w:rsidRDefault="00093A32">
      <w:pPr>
        <w:pStyle w:val="BodyText"/>
        <w:ind w:firstLine="360"/>
      </w:pPr>
      <w:r>
        <w:t xml:space="preserve">El </w:t>
      </w:r>
      <w:r>
        <w:rPr>
          <w:b/>
          <w:bCs/>
        </w:rPr>
        <w:t xml:space="preserve">periodo de incubación </w:t>
      </w:r>
      <w:r>
        <w:t>suele ser de dos a siete días.</w:t>
      </w:r>
    </w:p>
    <w:p w14:paraId="594CDB95" w14:textId="77777777" w:rsidR="00093A32" w:rsidRDefault="00093A32">
      <w:pPr>
        <w:pStyle w:val="BodyText"/>
        <w:ind w:firstLine="0"/>
      </w:pPr>
      <w:r>
        <w:rPr>
          <w:b/>
          <w:bCs/>
        </w:rPr>
        <w:t>M</w:t>
      </w:r>
      <w:r>
        <w:rPr>
          <w:b/>
          <w:bCs/>
          <w:sz w:val="13"/>
          <w:szCs w:val="13"/>
        </w:rPr>
        <w:t>ÉTODOS DIAGNÓSTICOS</w:t>
      </w:r>
      <w:r>
        <w:rPr>
          <w:b/>
          <w:bCs/>
        </w:rPr>
        <w:t xml:space="preserve">: </w:t>
      </w:r>
      <w:r>
        <w:t xml:space="preserve">Son útiles en la valoración inicial los estudios microscópicos de frotis teñidos con técnica de Gram, del exudado de ojos, endocérvix de mujeres pospúberes, vagina de las prepúberes, uretra del varón, lesiones de piel, líquido sinovial y, si lo justifican aspectos clínicos, líquido cefalorraquídeo (LCR). La identificación de diplococos intracelulares gramnegativos en tales frotis puede ser útil, particularmente si no se identifica el microorganismo en cultivos. Las tinciones con técnica de Gram del material obtenido del endocérvix de mujeres pospúberes son menos sensibles que el cultivo para detectar la infección, pero pueden servir en el diagnóstico diferencial de una persona con dolor abdominal agudo, o cuando está indicada la terapia inmediata. Sin embargo, en las vías genitales de la mujer puede haber otras especies de </w:t>
      </w:r>
      <w:r>
        <w:rPr>
          <w:rFonts w:ascii="Times New Roman" w:eastAsia="Times New Roman" w:hAnsi="Times New Roman" w:cs="Times New Roman"/>
          <w:i/>
          <w:iCs/>
          <w:sz w:val="16"/>
          <w:szCs w:val="16"/>
        </w:rPr>
        <w:t>Neisseria</w:t>
      </w:r>
      <w:r>
        <w:t xml:space="preserve"> y cocos gramnegativos, aunque tales gérmenes rara vez se observan en el interior de leucocitos polimorfonucleares. También son convenientes los frotis del exudado anorrectal teñidos con técnica de Gram, en particular cuando se obtienen las muestras por visualización directa con un anoscopio. Para el diagnóstico de gonorrea no se recomiendan los frotis teñidos con técnica de Gram, de muestras de secreción faríngea. En niñas prepúberes son adecuadas para el diagnóstico las muestras de secreción vaginal, y no se necesitan muestras de tejido endocervical.</w:t>
      </w:r>
    </w:p>
    <w:p w14:paraId="7490D5EB" w14:textId="77777777" w:rsidR="00093A32" w:rsidRDefault="00093A32">
      <w:pPr>
        <w:pStyle w:val="BodyText"/>
        <w:spacing w:line="276" w:lineRule="auto"/>
        <w:ind w:firstLine="360"/>
      </w:pPr>
      <w:r>
        <w:rPr>
          <w:rFonts w:ascii="Times New Roman" w:eastAsia="Times New Roman" w:hAnsi="Times New Roman" w:cs="Times New Roman"/>
          <w:i/>
          <w:iCs/>
          <w:sz w:val="16"/>
          <w:szCs w:val="16"/>
        </w:rPr>
        <w:t>Neisseria gonorrhoeae</w:t>
      </w:r>
      <w:r>
        <w:t xml:space="preserve"> se cultiva en sitios normalmente estériles, como sangre, LCR o líquido sinovial; para ello se emplea agar-chocolate, que es un medio no selectivo, con incubación en una atmósfera de 5 a 10% de dióxido de carbono. Se utilizan medios selectivos que inhiben la flora normal y </w:t>
      </w:r>
      <w:r>
        <w:rPr>
          <w:rFonts w:ascii="Times New Roman" w:eastAsia="Times New Roman" w:hAnsi="Times New Roman" w:cs="Times New Roman"/>
          <w:i/>
          <w:iCs/>
          <w:sz w:val="16"/>
          <w:szCs w:val="16"/>
        </w:rPr>
        <w:t>Neisseria</w:t>
      </w:r>
      <w:r>
        <w:t xml:space="preserve"> no patógena para el cultivo de material de sitios no estériles, como el cuello uterino, la vagina, el recto, la uretra y la faringe. Es necesario inocular inmediatamente en agar apropiado o colocar en un medio para transporte las muestras para cultivo de </w:t>
      </w:r>
      <w:r>
        <w:rPr>
          <w:rFonts w:ascii="Times New Roman" w:eastAsia="Times New Roman" w:hAnsi="Times New Roman" w:cs="Times New Roman"/>
          <w:i/>
          <w:iCs/>
          <w:sz w:val="16"/>
          <w:szCs w:val="16"/>
        </w:rPr>
        <w:t>N. gonorrhoeae</w:t>
      </w:r>
      <w:r>
        <w:t xml:space="preserve"> de sitios de la mucosa, porque el diplococo es muy sensible al secamiento y a los cambios de temperatura.</w:t>
      </w:r>
    </w:p>
    <w:p w14:paraId="736B7CB3" w14:textId="77777777" w:rsidR="00093A32" w:rsidRDefault="00093A32">
      <w:pPr>
        <w:pStyle w:val="BodyText"/>
        <w:spacing w:line="276" w:lineRule="auto"/>
        <w:ind w:firstLine="360"/>
      </w:pPr>
      <w:r>
        <w:t xml:space="preserve">Se tendrá enorme cuidado cuando se interprete la importancia del aislamiento de </w:t>
      </w:r>
      <w:r>
        <w:rPr>
          <w:rFonts w:ascii="Times New Roman" w:eastAsia="Times New Roman" w:hAnsi="Times New Roman" w:cs="Times New Roman"/>
          <w:i/>
          <w:iCs/>
          <w:sz w:val="16"/>
          <w:szCs w:val="16"/>
        </w:rPr>
        <w:t>Neisseria</w:t>
      </w:r>
      <w:r>
        <w:t xml:space="preserve"> porque </w:t>
      </w:r>
      <w:r>
        <w:rPr>
          <w:rFonts w:ascii="Times New Roman" w:eastAsia="Times New Roman" w:hAnsi="Times New Roman" w:cs="Times New Roman"/>
          <w:i/>
          <w:iCs/>
          <w:sz w:val="16"/>
          <w:szCs w:val="16"/>
        </w:rPr>
        <w:t>N. gonorrhoeae</w:t>
      </w:r>
      <w:r>
        <w:t xml:space="preserve"> se puede confundir con otras especies de </w:t>
      </w:r>
      <w:r>
        <w:rPr>
          <w:rFonts w:ascii="Times New Roman" w:eastAsia="Times New Roman" w:hAnsi="Times New Roman" w:cs="Times New Roman"/>
          <w:i/>
          <w:iCs/>
          <w:sz w:val="16"/>
          <w:szCs w:val="16"/>
        </w:rPr>
        <w:t>Neisseria</w:t>
      </w:r>
      <w:r>
        <w:t xml:space="preserve"> que colonizan las vías genitourinarias o la faringe. Deberán practicarse como mínimo dos métodos bacteriológicos confirmatorios basados en principios diferentes (como serían los bioquímicos, el sustrato de enzimas o los serológicos). Hay que tener mucho cuidado al interpretar los resultados de cultivos y atribuirlos a </w:t>
      </w:r>
      <w:r>
        <w:rPr>
          <w:rFonts w:ascii="Times New Roman" w:eastAsia="Times New Roman" w:hAnsi="Times New Roman" w:cs="Times New Roman"/>
          <w:i/>
          <w:iCs/>
          <w:sz w:val="16"/>
          <w:szCs w:val="16"/>
        </w:rPr>
        <w:t>N. gonorrhoeae</w:t>
      </w:r>
      <w:r>
        <w:t xml:space="preserve"> de la faringe de niños de corta edad, porque en ellos hay una cifra alta de portador de especies de </w:t>
      </w:r>
      <w:r>
        <w:rPr>
          <w:rFonts w:ascii="Times New Roman" w:eastAsia="Times New Roman" w:hAnsi="Times New Roman" w:cs="Times New Roman"/>
          <w:i/>
          <w:iCs/>
          <w:sz w:val="16"/>
          <w:szCs w:val="16"/>
        </w:rPr>
        <w:t>Neisseria</w:t>
      </w:r>
      <w:r>
        <w:t xml:space="preserve"> no patógena.</w:t>
      </w:r>
    </w:p>
    <w:p w14:paraId="7D9BC141" w14:textId="77777777" w:rsidR="00093A32" w:rsidRDefault="00093A32">
      <w:pPr>
        <w:pStyle w:val="BodyText"/>
        <w:ind w:firstLine="360"/>
      </w:pPr>
      <w:r>
        <w:t>En los últimos años, se han podido practicar en clínica</w:t>
      </w:r>
      <w:r>
        <w:footnoteReference w:id="10"/>
      </w:r>
      <w:r>
        <w:t xml:space="preserve"> métodos de amplificación de ácido nucleico </w:t>
      </w:r>
      <w:r>
        <w:rPr>
          <w:i/>
          <w:iCs/>
        </w:rPr>
        <w:t>(</w:t>
      </w:r>
      <w:r>
        <w:rPr>
          <w:rFonts w:ascii="Times New Roman" w:eastAsia="Times New Roman" w:hAnsi="Times New Roman" w:cs="Times New Roman"/>
          <w:i/>
          <w:iCs/>
          <w:sz w:val="16"/>
          <w:szCs w:val="16"/>
        </w:rPr>
        <w:t>nucleic acid amplification tests</w:t>
      </w:r>
      <w:r>
        <w:rPr>
          <w:i/>
          <w:iCs/>
        </w:rPr>
        <w:t>,</w:t>
      </w:r>
      <w:r>
        <w:t xml:space="preserve"> NAAT) basados en la reacción en cadena de polimerasa o ligasa. Las técnicas en cuestión son muy sensibles y específicas y se utilizan en muestras de material uretral (varones) y endocervical obtenidas por aplicador. Las pruebas también son sensibles y específicas cuando se utilizan muestras de orina de “primera micción”. El empleo de muestras de orina permite cumplir con la aplicación de la prueba inicial y vigilar a las poblaciones de acceso difícil, como los adolescentes. Con estas técnicas también puede hacerse el estudio doble de la orina en busca de </w:t>
      </w:r>
      <w:r>
        <w:rPr>
          <w:rFonts w:ascii="Times New Roman" w:eastAsia="Times New Roman" w:hAnsi="Times New Roman" w:cs="Times New Roman"/>
          <w:i/>
          <w:iCs/>
          <w:sz w:val="16"/>
          <w:szCs w:val="16"/>
        </w:rPr>
        <w:t>C. trachomatis</w:t>
      </w:r>
      <w:r>
        <w:t xml:space="preserve"> y </w:t>
      </w:r>
      <w:r>
        <w:rPr>
          <w:rFonts w:ascii="Times New Roman" w:eastAsia="Times New Roman" w:hAnsi="Times New Roman" w:cs="Times New Roman"/>
          <w:i/>
          <w:iCs/>
          <w:sz w:val="16"/>
          <w:szCs w:val="16"/>
        </w:rPr>
        <w:t>N. gonorrhoeae.</w:t>
      </w:r>
      <w:r>
        <w:t xml:space="preserve"> Los métodos en cuestión no son recomendables para estudiar material vaginal, rectal o faríngeo obtenido con aplicadores. En Estados Unidos, la Food and Drug Administration ha aprobado un número escaso de métodos sin cultivo para muestras de conjuntiva.</w:t>
      </w:r>
    </w:p>
    <w:p w14:paraId="5B51DFE9" w14:textId="77777777" w:rsidR="00093A32" w:rsidRDefault="00093A32">
      <w:pPr>
        <w:pStyle w:val="BodyText"/>
        <w:spacing w:line="298" w:lineRule="auto"/>
        <w:ind w:firstLine="360"/>
      </w:pPr>
      <w:r>
        <w:rPr>
          <w:rFonts w:ascii="Arial" w:eastAsia="Arial" w:hAnsi="Arial" w:cs="Arial"/>
          <w:b/>
          <w:bCs/>
          <w:i/>
          <w:iCs/>
          <w:sz w:val="15"/>
          <w:szCs w:val="15"/>
        </w:rPr>
        <w:t>Abuso sexual.</w:t>
      </w:r>
      <w:r>
        <w:t xml:space="preserve"> En todos los niños prepúberes que han rebasado el periodo neonatal, y en adolescentes que no son activos sexualmente pero que tienen infección gonocócica, hay que pensar en abuso sexual, salvo que se corrobore lo contrario. Hay que practicar cultivos de secreción genital, rectal y faríngea en todos los pacientes antes de emprender la administración de antimicrobianos. Es importante conservar todos los gonococos aislados de tales enfermos. Es imposible confiar para el diagnóstico de infección gonocócica, para este fin, en métodos que no incluyan cultivo de gonococos, incluidos la tinción de Gram, la sonda de DNA, los inmunoanálisis enzimáticos o bien estudios de amplificación de ácidos nucleicos de muestras de bucofaringe, recto o vías genitales en niños, porque con ellos surgen a veces resultados positivos falsos. En niños prepúberes, cuando no se cuenta con cultivos, algunos expertos se inclinan por el uso de pruebas de amplificación de ácido nucleico, de material obtenido de aplicadores en vagina, si se verifica un resultado positivo con otra prueba de amplificación de ácido nucleico. Hay que obtener los cultivos pertinentes de las personas que han tenido contacto con el niño del cual se sospecha abuso sexual. Los menores en quienes se sospecha tal acto ilegal por la detección de gonorrea, deben ser valorados para identificar otras enfermedades de transmisión sexual, como infección por </w:t>
      </w:r>
      <w:r>
        <w:rPr>
          <w:rFonts w:ascii="Times New Roman" w:eastAsia="Times New Roman" w:hAnsi="Times New Roman" w:cs="Times New Roman"/>
          <w:i/>
          <w:iCs/>
          <w:sz w:val="16"/>
          <w:szCs w:val="16"/>
        </w:rPr>
        <w:t xml:space="preserve">C. trachomatis, </w:t>
      </w:r>
      <w:r>
        <w:t>sífilis, infección por virus de hepatitis B y también por el virus de inmunodeficiencia humana (VIH).</w:t>
      </w:r>
    </w:p>
    <w:p w14:paraId="6F07CCE0" w14:textId="77777777" w:rsidR="00093A32" w:rsidRDefault="00093A32">
      <w:pPr>
        <w:pStyle w:val="BodyText"/>
        <w:ind w:firstLine="0"/>
      </w:pPr>
      <w:r>
        <w:rPr>
          <w:b/>
          <w:bCs/>
        </w:rPr>
        <w:t>T</w:t>
      </w:r>
      <w:r>
        <w:rPr>
          <w:b/>
          <w:bCs/>
          <w:sz w:val="13"/>
          <w:szCs w:val="13"/>
        </w:rPr>
        <w:t>RATAMIENTO</w:t>
      </w:r>
      <w:r>
        <w:rPr>
          <w:b/>
          <w:bCs/>
        </w:rPr>
        <w:t xml:space="preserve">: </w:t>
      </w:r>
      <w:r>
        <w:t xml:space="preserve">Ante la prevalencia de </w:t>
      </w:r>
      <w:r>
        <w:rPr>
          <w:rFonts w:ascii="Times New Roman" w:eastAsia="Times New Roman" w:hAnsi="Times New Roman" w:cs="Times New Roman"/>
          <w:i/>
          <w:iCs/>
          <w:sz w:val="16"/>
          <w:szCs w:val="16"/>
        </w:rPr>
        <w:t>N. gonorrhoeae</w:t>
      </w:r>
      <w:r>
        <w:t xml:space="preserve"> resistente a penicilina y tetraciclina, es recomendable como terapia inicial en niños administrar una cefalosporina de espectro extendido (como la ceftriaxona sódica); para los adultos se recomienda una cefalosporina de espectro extendido o una fluoroquinolona (véase cuadro 4-3). En muchas partes de Estados Unidos se han aislado ocasionalmente cepas de </w:t>
      </w:r>
      <w:r>
        <w:rPr>
          <w:rFonts w:ascii="Times New Roman" w:eastAsia="Times New Roman" w:hAnsi="Times New Roman" w:cs="Times New Roman"/>
          <w:i/>
          <w:iCs/>
          <w:sz w:val="16"/>
          <w:szCs w:val="16"/>
        </w:rPr>
        <w:t>N. gonorrhoeae</w:t>
      </w:r>
      <w:r>
        <w:t xml:space="preserve"> resistentes a quinolonas. Ante tal situación, será mejor no usar las fluoroquinolonas si el sujeto contrajo la infección en Asia, islas del Pacífico, incluido Hawaii, y California. Pocas veces surge resistencia a la espectinomicina.</w:t>
      </w:r>
    </w:p>
    <w:p w14:paraId="194BA869" w14:textId="77777777" w:rsidR="00093A32" w:rsidRDefault="00093A32">
      <w:pPr>
        <w:pStyle w:val="BodyText"/>
        <w:ind w:firstLine="360"/>
      </w:pPr>
      <w:r>
        <w:t>Se recomienda administrar cefalosporinas parenterales en niños de corta edad; se ha aprobado el uso de ceftriaxona en todas las infecciones gonocócicas en niños, y también ha recibido aprobación la cefotaxima sódica sólo contra la oftalmía gonocócica. Los antimicrobianos administrados por vía oral cuya eficacia en el tratamiento de la uretritis y la cervicitis gonocócica en adultos y adolescentes de mayor edad ha sido demostrada incluyen ciprofloxacina, ofloxacina y levofloxacina. En Estados Unidos ya no se fabrica la cefixima. En términos generales no se recomienda usar fluoroquinolonas en personas menores de 18 años (véase “Antimicrobianos y fármacos similares”, sección 4), y están contraindicadas en embarazadas y mujeres que amamantan a su hijo.</w:t>
      </w:r>
    </w:p>
    <w:p w14:paraId="06888184" w14:textId="77777777" w:rsidR="00093A32" w:rsidRDefault="00093A32">
      <w:pPr>
        <w:pStyle w:val="BodyText"/>
        <w:spacing w:line="276" w:lineRule="auto"/>
        <w:ind w:firstLine="360"/>
      </w:pPr>
      <w:r>
        <w:t xml:space="preserve">Es importante valorar a todo paciente en que se supone o comprueba la presencia de gonorrea, en busca de otros cuadros coexistentes como sífilis, infecciones por virus de hepatitis B, VIH y </w:t>
      </w:r>
      <w:r>
        <w:rPr>
          <w:rFonts w:ascii="Times New Roman" w:eastAsia="Times New Roman" w:hAnsi="Times New Roman" w:cs="Times New Roman"/>
          <w:i/>
          <w:iCs/>
          <w:sz w:val="16"/>
          <w:szCs w:val="16"/>
        </w:rPr>
        <w:t>C. trachomatis</w:t>
      </w:r>
      <w:r>
        <w:rPr>
          <w:i/>
          <w:iCs/>
        </w:rPr>
        <w:t>.</w:t>
      </w:r>
      <w:r>
        <w:t xml:space="preserve"> Las personas que han rebasado el periodo neonatal deben ser tratadas en forma presuncional y como si tuvieran infección por </w:t>
      </w:r>
      <w:r>
        <w:rPr>
          <w:rFonts w:ascii="Times New Roman" w:eastAsia="Times New Roman" w:hAnsi="Times New Roman" w:cs="Times New Roman"/>
          <w:i/>
          <w:iCs/>
          <w:sz w:val="16"/>
          <w:szCs w:val="16"/>
        </w:rPr>
        <w:t>C. trachomatis</w:t>
      </w:r>
      <w:r>
        <w:t xml:space="preserve"> (véase </w:t>
      </w:r>
      <w:r>
        <w:rPr>
          <w:rFonts w:ascii="Times New Roman" w:eastAsia="Times New Roman" w:hAnsi="Times New Roman" w:cs="Times New Roman"/>
          <w:i/>
          <w:iCs/>
          <w:sz w:val="16"/>
          <w:szCs w:val="16"/>
        </w:rPr>
        <w:t>“Chlamydia trachomatis”</w:t>
      </w:r>
      <w:r>
        <w:t>en Clamidiasis en esta sección).</w:t>
      </w:r>
    </w:p>
    <w:p w14:paraId="3DDD4F5D" w14:textId="77777777" w:rsidR="00093A32" w:rsidRDefault="00093A32">
      <w:pPr>
        <w:pStyle w:val="BodyText"/>
        <w:ind w:firstLine="360"/>
      </w:pPr>
      <w:r>
        <w:t>No es necesario practicar una prueba de cura por medio de cultivo en adolescentes y adultos con gonorrea no complicada que quedan asintomáticos después de recibir uno de los regímenes antimicrobianos recomendados. Los niños tratados con ceftriaxona no necesitan cultivos de vigilancia, pero si fueron tratados con otros regímenes conviene practicar los cultivos mencionados.</w:t>
      </w:r>
    </w:p>
    <w:p w14:paraId="6E3A7547" w14:textId="77777777" w:rsidR="00093A32" w:rsidRDefault="00093A32">
      <w:pPr>
        <w:pStyle w:val="BodyText"/>
        <w:ind w:firstLine="360"/>
      </w:pPr>
      <w:r>
        <w:t>Estas son las recomendaciones específicas para el tratamiento y la terapia con antimicrobianos.</w:t>
      </w:r>
    </w:p>
    <w:p w14:paraId="53B22478" w14:textId="77777777" w:rsidR="00093A32" w:rsidRDefault="00093A32">
      <w:pPr>
        <w:pStyle w:val="BodyText"/>
        <w:spacing w:line="298" w:lineRule="auto"/>
        <w:ind w:firstLine="360"/>
        <w:rPr>
          <w:sz w:val="16"/>
          <w:szCs w:val="16"/>
        </w:rPr>
      </w:pPr>
      <w:r>
        <w:rPr>
          <w:rFonts w:ascii="Arial" w:eastAsia="Arial" w:hAnsi="Arial" w:cs="Arial"/>
          <w:b/>
          <w:bCs/>
          <w:i/>
          <w:iCs/>
          <w:sz w:val="15"/>
          <w:szCs w:val="15"/>
        </w:rPr>
        <w:t>Enfermedad en la etapa neonatal.</w:t>
      </w:r>
      <w:r>
        <w:t xml:space="preserve"> Es importante hospitalizar a los pequeños con manifestaciones clínicas de oftalmía del neonato, abscesos en el cuero cabelludo o infecciones diseminadas. Se practicarán en los lactantes cultivos de sangre, secreción de ojos o material de otros sitios de infección como el LCR, para confirmar el diagnóstico y conocer la susceptibilidad a los antimicrobianos (antibioticograma). También se practicarán métodos para identificar infecciones concomitantes, como la causada por </w:t>
      </w:r>
      <w:r>
        <w:rPr>
          <w:rFonts w:ascii="Times New Roman" w:eastAsia="Times New Roman" w:hAnsi="Times New Roman" w:cs="Times New Roman"/>
          <w:i/>
          <w:iCs/>
          <w:sz w:val="16"/>
          <w:szCs w:val="16"/>
        </w:rPr>
        <w:t xml:space="preserve">C. trachomatis, </w:t>
      </w:r>
      <w:r>
        <w:t xml:space="preserve">sífilis congénita e infección por VIH. Se confirmarán los resultados de la búsqueda de antígeno de superficie de hepatitis B en la madre. La gestante y sus compañeros sexuales también necesitan estudios apropiados y tratamiento contra </w:t>
      </w:r>
      <w:r>
        <w:rPr>
          <w:rFonts w:ascii="Times New Roman" w:eastAsia="Times New Roman" w:hAnsi="Times New Roman" w:cs="Times New Roman"/>
          <w:i/>
          <w:iCs/>
          <w:sz w:val="16"/>
          <w:szCs w:val="16"/>
        </w:rPr>
        <w:t>N. gonorrhoeae.</w:t>
      </w:r>
    </w:p>
    <w:p w14:paraId="742DFD36" w14:textId="77777777" w:rsidR="00093A32" w:rsidRDefault="00093A32">
      <w:pPr>
        <w:pStyle w:val="BodyText"/>
        <w:spacing w:line="276" w:lineRule="auto"/>
        <w:ind w:firstLine="360"/>
      </w:pPr>
      <w:r>
        <w:rPr>
          <w:rFonts w:ascii="Arial" w:eastAsia="Arial" w:hAnsi="Arial" w:cs="Arial"/>
          <w:b/>
          <w:bCs/>
          <w:i/>
          <w:iCs/>
          <w:sz w:val="15"/>
          <w:szCs w:val="15"/>
        </w:rPr>
        <w:t>Infecciones no diseminadas.</w:t>
      </w:r>
      <w:r>
        <w:t xml:space="preserve"> El antimicrobiano recomendado, inclusive para los casos de oftalmía del neonato, es la ceftriaxona (25 a 50 mg/kg de peso, por vías intravenosa o intramuscular, con una dosis que no exceda de 125 mg) administrada en una ocasión. Los pequeños con oftalmía gonocócica deben ser sometidos a lavados oculares con solución salina inmediatamente y a intervalos frecuentes hasta que se elimine la secreción. El solo tratamiento tópico con antimicrobianos es insuficiente e innecesario cuando se emprende el tratamiento sistémico recomendado con tales fármacos. Los lactantes con oftalmía gonocócica deben ser hospitalizados y se les valorará en busca de infección diseminada (sepsis, artritis, meningitis).</w:t>
      </w:r>
    </w:p>
    <w:p w14:paraId="2357F6DB" w14:textId="77777777" w:rsidR="00093A32" w:rsidRDefault="00093A32">
      <w:pPr>
        <w:pStyle w:val="BodyText"/>
        <w:spacing w:line="283" w:lineRule="auto"/>
        <w:ind w:firstLine="360"/>
      </w:pPr>
      <w:r>
        <w:rPr>
          <w:rFonts w:ascii="Arial" w:eastAsia="Arial" w:hAnsi="Arial" w:cs="Arial"/>
          <w:b/>
          <w:bCs/>
          <w:i/>
          <w:iCs/>
          <w:sz w:val="15"/>
          <w:szCs w:val="15"/>
        </w:rPr>
        <w:t>Infecciones diseminadas.</w:t>
      </w:r>
      <w:r>
        <w:t xml:space="preserve"> La terapia recomendada contra la artritis y la septicemia incluye ceftriaxona o cefotaxima durante siete días. Esta última es recomendable en lactantes con hiperbilirrubinemia. Si se corrobora la presencia de meningitis, habrá que continuar el tratamiento hasta un total de 10 a 14 días.</w:t>
      </w:r>
    </w:p>
    <w:p w14:paraId="00A5FB51" w14:textId="77777777" w:rsidR="00093A32" w:rsidRDefault="00093A32">
      <w:pPr>
        <w:pStyle w:val="BodyText"/>
        <w:spacing w:line="310" w:lineRule="auto"/>
        <w:ind w:firstLine="360"/>
      </w:pPr>
      <w:r>
        <w:rPr>
          <w:rFonts w:ascii="Arial" w:eastAsia="Arial" w:hAnsi="Arial" w:cs="Arial"/>
          <w:b/>
          <w:bCs/>
          <w:i/>
          <w:iCs/>
          <w:sz w:val="15"/>
          <w:szCs w:val="15"/>
        </w:rPr>
        <w:t>Infecciones gonocócicas en niños que han rebasado el periodo neonatal y en adolescentes.</w:t>
      </w:r>
      <w:r>
        <w:t xml:space="preserve"> En los cuadros 3-16 y 3-17 se señalan las recomendaciones para tratar infecciones gonocócicas, según edad y peso.</w:t>
      </w:r>
    </w:p>
    <w:p w14:paraId="7AA6F809" w14:textId="77777777" w:rsidR="00093A32" w:rsidRDefault="00093A32">
      <w:pPr>
        <w:pStyle w:val="BodyText"/>
        <w:spacing w:line="286" w:lineRule="auto"/>
        <w:ind w:firstLine="360"/>
        <w:rPr>
          <w:sz w:val="16"/>
          <w:szCs w:val="16"/>
        </w:rPr>
      </w:pPr>
      <w:r>
        <w:rPr>
          <w:rFonts w:ascii="Arial" w:eastAsia="Arial" w:hAnsi="Arial" w:cs="Arial"/>
          <w:b/>
          <w:bCs/>
          <w:i/>
          <w:iCs/>
          <w:sz w:val="15"/>
          <w:szCs w:val="15"/>
        </w:rPr>
        <w:t>Problemas especiales en el tratamiento de niños (que han rebasado el periodo neonatal) y adolescentes.</w:t>
      </w:r>
      <w:r>
        <w:t xml:space="preserve"> Los niños con infección endocervical no complicada, uretritis o proctitis que muestran alergia a las cefalosporinas deben recibir espectinomicina (40 mg/kg de peso hasta un máximo de 2 g, aplicados por vía intramuscular en una sola dosis), si no tiene la edad suficiente para recibir una fluoroquinolona. La doxiciclina o la azitromicina dihidratada deben administrarse para el tratamiento concomitante de la supuesta infección por </w:t>
      </w:r>
      <w:r>
        <w:rPr>
          <w:rFonts w:ascii="Times New Roman" w:eastAsia="Times New Roman" w:hAnsi="Times New Roman" w:cs="Times New Roman"/>
          <w:i/>
          <w:iCs/>
          <w:sz w:val="16"/>
          <w:szCs w:val="16"/>
        </w:rPr>
        <w:t>C. trachomatis.</w:t>
      </w:r>
    </w:p>
    <w:p w14:paraId="72867883" w14:textId="77777777" w:rsidR="00093A32" w:rsidRDefault="00093A32">
      <w:pPr>
        <w:pStyle w:val="BodyText"/>
        <w:ind w:firstLine="360"/>
      </w:pPr>
      <w:r>
        <w:t>Los niños con infección gonocócica faríngea no complicada deben recibir 125 mg de ceftriaxona en una sola dosis intramuscular; los que no toleran dicho antibiótico deben ser tratados con ciprofloxacina (500 mg ingeridos, en una sola dosis). La espectinomicina tiene una eficacia aproximada de 50% para tratar la gonorrea faríngea, de tal manera que habrá que utilizarla sólo en niños que no pueden ingerir ceftriaxona ni ciprofloxacina, y se practicará un cultivo de exudado faríngeo tres a cinco días después del tratamiento para corroborar la erradicación del patógeno.</w:t>
      </w:r>
    </w:p>
    <w:p w14:paraId="2BCA4016" w14:textId="77777777" w:rsidR="00093A32" w:rsidRDefault="00093A32">
      <w:pPr>
        <w:pStyle w:val="BodyText"/>
        <w:ind w:firstLine="360"/>
        <w:rPr>
          <w:sz w:val="16"/>
          <w:szCs w:val="16"/>
        </w:rPr>
      </w:pPr>
      <w:r>
        <w:t xml:space="preserve">Una sola dosis de ceftriaxona no constituye un tratamiento eficaz de la sífilis con infección concomitante (véase “Sífilis” en esta sección). Las fluoroquinolonas y la espectinomicina no son activas contra </w:t>
      </w:r>
      <w:r>
        <w:rPr>
          <w:rFonts w:ascii="Times New Roman" w:eastAsia="Times New Roman" w:hAnsi="Times New Roman" w:cs="Times New Roman"/>
          <w:i/>
          <w:iCs/>
          <w:sz w:val="16"/>
          <w:szCs w:val="16"/>
        </w:rPr>
        <w:t>Treponema pallidum.</w:t>
      </w:r>
    </w:p>
    <w:p w14:paraId="090967A2" w14:textId="77777777" w:rsidR="00093A32" w:rsidRDefault="00093A32">
      <w:pPr>
        <w:pStyle w:val="BodyText"/>
        <w:ind w:firstLine="360"/>
      </w:pPr>
      <w:r>
        <w:t>Los niños o los adolescentes con infección por VIH deben recibir el mismo tratamiento contra la infección gonocócica que quienes no tienen la infección por dicho virus.</w:t>
      </w:r>
    </w:p>
    <w:p w14:paraId="48D96AF2" w14:textId="77777777" w:rsidR="00093A32" w:rsidRDefault="00093A32">
      <w:pPr>
        <w:pStyle w:val="BodyText"/>
        <w:spacing w:line="288" w:lineRule="auto"/>
        <w:ind w:firstLine="360"/>
        <w:sectPr w:rsidR="00093A32" w:rsidSect="00093A32">
          <w:headerReference w:type="even" r:id="rId292"/>
          <w:headerReference w:type="default" r:id="rId293"/>
          <w:footerReference w:type="even" r:id="rId294"/>
          <w:footerReference w:type="default" r:id="rId295"/>
          <w:footnotePr>
            <w:numFmt w:val="chicago"/>
          </w:footnotePr>
          <w:type w:val="continuous"/>
          <w:pgSz w:w="8501" w:h="13022"/>
          <w:pgMar w:top="941" w:right="898" w:bottom="509" w:left="725" w:header="0" w:footer="3" w:gutter="0"/>
          <w:cols w:space="720"/>
          <w:noEndnote/>
          <w:docGrid w:linePitch="360"/>
          <w15:footnoteColumns w:val="1"/>
        </w:sectPr>
      </w:pPr>
      <w:r>
        <w:rPr>
          <w:rFonts w:ascii="Arial" w:eastAsia="Arial" w:hAnsi="Arial" w:cs="Arial"/>
          <w:b/>
          <w:bCs/>
          <w:i/>
          <w:iCs/>
          <w:sz w:val="15"/>
          <w:szCs w:val="15"/>
        </w:rPr>
        <w:t>Enfermedad inflamatoria pélvica aguda (PID).</w:t>
      </w:r>
      <w:r>
        <w:t xml:space="preserve"> Se ha dicho que </w:t>
      </w:r>
      <w:r>
        <w:rPr>
          <w:rFonts w:ascii="Times New Roman" w:eastAsia="Times New Roman" w:hAnsi="Times New Roman" w:cs="Times New Roman"/>
          <w:i/>
          <w:iCs/>
          <w:sz w:val="16"/>
          <w:szCs w:val="16"/>
        </w:rPr>
        <w:t>N. gonorrhoeae</w:t>
      </w:r>
      <w:r>
        <w:t xml:space="preserve"> y </w:t>
      </w:r>
      <w:r>
        <w:rPr>
          <w:rFonts w:ascii="Times New Roman" w:eastAsia="Times New Roman" w:hAnsi="Times New Roman" w:cs="Times New Roman"/>
          <w:i/>
          <w:iCs/>
          <w:sz w:val="16"/>
          <w:szCs w:val="16"/>
        </w:rPr>
        <w:t>C. trachomatis</w:t>
      </w:r>
      <w:r>
        <w:t xml:space="preserve"> causan innumerables casos de PID; en muchos de ellos hay múltiples gérmenes causales. No existen criterios clínicos fiables que diferencien entre PID gonocócica y la no gonocócica. Por tal motivo, se recomiendan regímenes con fármacos de amplio espectro (véase “Pélvica, enfermedad inflamatoria” en esta sección).</w:t>
      </w:r>
    </w:p>
    <w:p w14:paraId="57E8AF7D" w14:textId="77777777" w:rsidR="00093A32" w:rsidRDefault="00093A32">
      <w:pPr>
        <w:spacing w:line="47" w:lineRule="exact"/>
        <w:rPr>
          <w:sz w:val="4"/>
          <w:szCs w:val="4"/>
        </w:rPr>
      </w:pPr>
    </w:p>
    <w:p w14:paraId="14A125A1" w14:textId="77777777" w:rsidR="00093A32" w:rsidRDefault="00093A32">
      <w:pPr>
        <w:spacing w:line="1" w:lineRule="exact"/>
        <w:sectPr w:rsidR="00093A32" w:rsidSect="00093A32">
          <w:headerReference w:type="even" r:id="rId296"/>
          <w:headerReference w:type="default" r:id="rId297"/>
          <w:footerReference w:type="even" r:id="rId298"/>
          <w:footerReference w:type="default" r:id="rId299"/>
          <w:footnotePr>
            <w:numFmt w:val="chicago"/>
          </w:footnotePr>
          <w:pgSz w:w="13022" w:h="8501" w:orient="landscape"/>
          <w:pgMar w:top="742" w:right="1000" w:bottom="523" w:left="626" w:header="0" w:footer="3" w:gutter="0"/>
          <w:cols w:space="720"/>
          <w:noEndnote/>
          <w:docGrid w:linePitch="360"/>
          <w15:footnoteColumns w:val="1"/>
        </w:sectPr>
      </w:pPr>
    </w:p>
    <w:p w14:paraId="052D5574" w14:textId="77777777" w:rsidR="00093A32" w:rsidRDefault="00093A32">
      <w:pPr>
        <w:spacing w:line="1" w:lineRule="exact"/>
      </w:pPr>
      <w:r>
        <w:rPr>
          <w:noProof/>
        </w:rPr>
        <mc:AlternateContent>
          <mc:Choice Requires="wps">
            <w:drawing>
              <wp:anchor distT="0" distB="854710" distL="114300" distR="114300" simplePos="0" relativeHeight="251659264" behindDoc="0" locked="0" layoutInCell="1" allowOverlap="1" wp14:anchorId="323EAB6A" wp14:editId="2942C385">
                <wp:simplePos x="0" y="0"/>
                <wp:positionH relativeFrom="page">
                  <wp:posOffset>407035</wp:posOffset>
                </wp:positionH>
                <wp:positionV relativeFrom="paragraph">
                  <wp:posOffset>381000</wp:posOffset>
                </wp:positionV>
                <wp:extent cx="7196455" cy="1801495"/>
                <wp:effectExtent l="0" t="0" r="0" b="0"/>
                <wp:wrapTopAndBottom/>
                <wp:docPr id="906" name="Shape 906"/>
                <wp:cNvGraphicFramePr/>
                <a:graphic xmlns:a="http://schemas.openxmlformats.org/drawingml/2006/main">
                  <a:graphicData uri="http://schemas.microsoft.com/office/word/2010/wordprocessingShape">
                    <wps:wsp>
                      <wps:cNvSpPr txBox="1"/>
                      <wps:spPr>
                        <a:xfrm>
                          <a:off x="0" y="0"/>
                          <a:ext cx="7196455" cy="18014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160"/>
                              <w:gridCol w:w="3696"/>
                              <w:gridCol w:w="2309"/>
                              <w:gridCol w:w="3168"/>
                            </w:tblGrid>
                            <w:tr w:rsidR="00093A32" w14:paraId="65DD87F8" w14:textId="77777777">
                              <w:tblPrEx>
                                <w:tblCellMar>
                                  <w:top w:w="0" w:type="dxa"/>
                                  <w:bottom w:w="0" w:type="dxa"/>
                                </w:tblCellMar>
                              </w:tblPrEx>
                              <w:trPr>
                                <w:trHeight w:hRule="exact" w:val="562"/>
                                <w:tblHeader/>
                              </w:trPr>
                              <w:tc>
                                <w:tcPr>
                                  <w:tcW w:w="2160" w:type="dxa"/>
                                  <w:shd w:val="clear" w:color="auto" w:fill="231F20"/>
                                  <w:vAlign w:val="bottom"/>
                                </w:tcPr>
                                <w:p w14:paraId="1B6FB92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 xml:space="preserve">  </w:t>
                                  </w:r>
                                </w:p>
                              </w:tc>
                              <w:tc>
                                <w:tcPr>
                                  <w:tcW w:w="3696" w:type="dxa"/>
                                  <w:shd w:val="clear" w:color="auto" w:fill="231F20"/>
                                </w:tcPr>
                                <w:p w14:paraId="281FAD9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Niños prepúberes que pesan menos de 45 kg</w:t>
                                  </w:r>
                                </w:p>
                              </w:tc>
                              <w:tc>
                                <w:tcPr>
                                  <w:tcW w:w="2309" w:type="dxa"/>
                                  <w:shd w:val="clear" w:color="auto" w:fill="231F20"/>
                                  <w:vAlign w:val="bottom"/>
                                </w:tcPr>
                                <w:p w14:paraId="625272A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6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2</w:t>
                                  </w:r>
                                </w:p>
                              </w:tc>
                              <w:tc>
                                <w:tcPr>
                                  <w:tcW w:w="3168" w:type="dxa"/>
                                  <w:shd w:val="clear" w:color="auto" w:fill="231F20"/>
                                </w:tcPr>
                                <w:p w14:paraId="100689B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Pacientes que pesan 45 kg o más y que tienen ocho años o más</w:t>
                                  </w:r>
                                </w:p>
                              </w:tc>
                            </w:tr>
                            <w:tr w:rsidR="00093A32" w14:paraId="13910057" w14:textId="77777777">
                              <w:tblPrEx>
                                <w:tblCellMar>
                                  <w:top w:w="0" w:type="dxa"/>
                                  <w:bottom w:w="0" w:type="dxa"/>
                                </w:tblCellMar>
                              </w:tblPrEx>
                              <w:trPr>
                                <w:trHeight w:hRule="exact" w:val="2275"/>
                              </w:trPr>
                              <w:tc>
                                <w:tcPr>
                                  <w:tcW w:w="2160" w:type="dxa"/>
                                  <w:shd w:val="clear" w:color="auto" w:fill="FFFFFF"/>
                                </w:tcPr>
                                <w:p w14:paraId="7EB61D2A" w14:textId="77777777" w:rsidR="00093A32" w:rsidRDefault="00093A32">
                                  <w:pPr>
                                    <w:pStyle w:val="Other0"/>
                                    <w:spacing w:line="283" w:lineRule="auto"/>
                                    <w:ind w:left="160" w:hanging="160"/>
                                    <w:rPr>
                                      <w:sz w:val="16"/>
                                      <w:szCs w:val="16"/>
                                    </w:rPr>
                                  </w:pPr>
                                  <w:r>
                                    <w:rPr>
                                      <w:rFonts w:ascii="Times New Roman" w:eastAsia="Times New Roman" w:hAnsi="Times New Roman" w:cs="Times New Roman"/>
                                      <w:sz w:val="16"/>
                                      <w:szCs w:val="16"/>
                                    </w:rPr>
                                    <w:t>Vulvovaginitis, cervicitis, uretritis, proctitis o faringitis no complicadas</w:t>
                                  </w:r>
                                </w:p>
                              </w:tc>
                              <w:tc>
                                <w:tcPr>
                                  <w:tcW w:w="3696" w:type="dxa"/>
                                  <w:shd w:val="clear" w:color="auto" w:fill="FFFFFF"/>
                                  <w:vAlign w:val="bottom"/>
                                </w:tcPr>
                                <w:p w14:paraId="2B89DFED"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sz w:val="16"/>
                                      <w:szCs w:val="16"/>
                                    </w:rPr>
                                    <w:t xml:space="preserve">Ceftriaxona sódica, 125 mg IM en una sola dosis </w:t>
                                  </w:r>
                                  <w:r>
                                    <w:rPr>
                                      <w:rFonts w:ascii="Times New Roman" w:eastAsia="Times New Roman" w:hAnsi="Times New Roman" w:cs="Times New Roman"/>
                                      <w:b/>
                                      <w:bCs/>
                                      <w:sz w:val="16"/>
                                      <w:szCs w:val="16"/>
                                    </w:rPr>
                                    <w:t>O</w:t>
                                  </w:r>
                                </w:p>
                                <w:p w14:paraId="636050C0"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Espectinomicina, 40 mg/kg (máximo 2 g), IM en una sola dosis</w:t>
                                  </w:r>
                                </w:p>
                                <w:p w14:paraId="0106C4CC"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b/>
                                      <w:bCs/>
                                      <w:sz w:val="16"/>
                                      <w:szCs w:val="16"/>
                                    </w:rPr>
                                    <w:t>Y ADEMAS</w:t>
                                  </w:r>
                                  <w:r>
                                    <w:rPr>
                                      <w:rFonts w:ascii="Times New Roman" w:eastAsia="Times New Roman" w:hAnsi="Times New Roman" w:cs="Times New Roman"/>
                                      <w:b/>
                                      <w:bCs/>
                                      <w:sz w:val="16"/>
                                      <w:szCs w:val="16"/>
                                      <w:vertAlign w:val="superscript"/>
                                    </w:rPr>
                                    <w:t>1</w:t>
                                  </w:r>
                                </w:p>
                                <w:p w14:paraId="7BB880ED"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Azitromicina, 20 mg/kg (máximo 1 g), ingeridos en una sola dosis</w:t>
                                  </w:r>
                                </w:p>
                                <w:p w14:paraId="7036F47D"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b/>
                                      <w:bCs/>
                                      <w:sz w:val="16"/>
                                      <w:szCs w:val="16"/>
                                    </w:rPr>
                                    <w:t>O</w:t>
                                  </w:r>
                                </w:p>
                                <w:p w14:paraId="074E567A"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Eritromicina, 50 mg/kg al día (máximo 2 g/día) ingeridos, en 4 fracciones durante 14 días</w:t>
                                  </w:r>
                                </w:p>
                              </w:tc>
                              <w:tc>
                                <w:tcPr>
                                  <w:tcW w:w="2309" w:type="dxa"/>
                                  <w:tcBorders>
                                    <w:left w:val="single" w:sz="4" w:space="0" w:color="auto"/>
                                  </w:tcBorders>
                                  <w:shd w:val="clear" w:color="auto" w:fill="FFFFFF"/>
                                </w:tcPr>
                                <w:p w14:paraId="63582B8F" w14:textId="77777777" w:rsidR="00093A32" w:rsidRDefault="00093A32">
                                  <w:pPr>
                                    <w:pStyle w:val="Other0"/>
                                    <w:spacing w:line="283" w:lineRule="auto"/>
                                    <w:ind w:left="260" w:hanging="80"/>
                                    <w:rPr>
                                      <w:sz w:val="16"/>
                                      <w:szCs w:val="16"/>
                                    </w:rPr>
                                  </w:pPr>
                                  <w:r>
                                    <w:rPr>
                                      <w:rFonts w:ascii="Times New Roman" w:eastAsia="Times New Roman" w:hAnsi="Times New Roman" w:cs="Times New Roman"/>
                                      <w:sz w:val="16"/>
                                      <w:szCs w:val="16"/>
                                    </w:rPr>
                                    <w:t>Endocervicitis, uretritis, epididimitis, proctitis o faringitis no complicadas</w:t>
                                  </w:r>
                                </w:p>
                              </w:tc>
                              <w:tc>
                                <w:tcPr>
                                  <w:tcW w:w="3168" w:type="dxa"/>
                                  <w:shd w:val="clear" w:color="auto" w:fill="FFFFFF"/>
                                  <w:vAlign w:val="bottom"/>
                                </w:tcPr>
                                <w:p w14:paraId="488BF15A"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Ceftriaxona, 125 mg, IM en una sola dosis</w:t>
                                  </w:r>
                                </w:p>
                                <w:p w14:paraId="3BB6F2D2" w14:textId="77777777" w:rsidR="00093A32" w:rsidRDefault="00093A32">
                                  <w:pPr>
                                    <w:pStyle w:val="Other0"/>
                                    <w:spacing w:line="283" w:lineRule="auto"/>
                                    <w:ind w:left="1600" w:firstLine="0"/>
                                    <w:rPr>
                                      <w:sz w:val="16"/>
                                      <w:szCs w:val="16"/>
                                    </w:rPr>
                                  </w:pPr>
                                  <w:r>
                                    <w:rPr>
                                      <w:rFonts w:ascii="Times New Roman" w:eastAsia="Times New Roman" w:hAnsi="Times New Roman" w:cs="Times New Roman"/>
                                      <w:b/>
                                      <w:bCs/>
                                      <w:sz w:val="16"/>
                                      <w:szCs w:val="16"/>
                                    </w:rPr>
                                    <w:t>O</w:t>
                                  </w:r>
                                </w:p>
                                <w:p w14:paraId="748E360E"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Ciprofloxacina, 500 mg ingeridos en una sola dosis</w:t>
                                  </w:r>
                                </w:p>
                                <w:p w14:paraId="0EBCBA24" w14:textId="77777777" w:rsidR="00093A32" w:rsidRDefault="00093A32">
                                  <w:pPr>
                                    <w:pStyle w:val="Other0"/>
                                    <w:spacing w:line="283" w:lineRule="auto"/>
                                    <w:ind w:left="1660" w:firstLine="0"/>
                                    <w:rPr>
                                      <w:sz w:val="16"/>
                                      <w:szCs w:val="16"/>
                                    </w:rPr>
                                  </w:pPr>
                                  <w:r>
                                    <w:rPr>
                                      <w:rFonts w:ascii="Times New Roman" w:eastAsia="Times New Roman" w:hAnsi="Times New Roman" w:cs="Times New Roman"/>
                                      <w:b/>
                                      <w:bCs/>
                                      <w:sz w:val="16"/>
                                      <w:szCs w:val="16"/>
                                    </w:rPr>
                                    <w:t>O</w:t>
                                  </w:r>
                                </w:p>
                                <w:p w14:paraId="793D9EB6"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Ofloxacina,</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 xml:space="preserve"> 400 mg ingeridos en una sola dosis</w:t>
                                  </w:r>
                                </w:p>
                                <w:p w14:paraId="4BFEAFB1" w14:textId="77777777" w:rsidR="00093A32" w:rsidRDefault="00093A32">
                                  <w:pPr>
                                    <w:pStyle w:val="Other0"/>
                                    <w:spacing w:line="283" w:lineRule="auto"/>
                                    <w:ind w:left="1660" w:firstLine="0"/>
                                    <w:rPr>
                                      <w:sz w:val="16"/>
                                      <w:szCs w:val="16"/>
                                    </w:rPr>
                                  </w:pPr>
                                  <w:r>
                                    <w:rPr>
                                      <w:rFonts w:ascii="Times New Roman" w:eastAsia="Times New Roman" w:hAnsi="Times New Roman" w:cs="Times New Roman"/>
                                      <w:b/>
                                      <w:bCs/>
                                      <w:sz w:val="16"/>
                                      <w:szCs w:val="16"/>
                                    </w:rPr>
                                    <w:t>O</w:t>
                                  </w:r>
                                </w:p>
                                <w:p w14:paraId="04A6F1A5"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Levofloxacina,</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 xml:space="preserve"> 250 mg ingeridos en una sola dosis</w:t>
                                  </w:r>
                                </w:p>
                              </w:tc>
                            </w:tr>
                          </w:tbl>
                          <w:p w14:paraId="3CC6C254" w14:textId="77777777" w:rsidR="00093A32" w:rsidRDefault="00093A32">
                            <w:pPr>
                              <w:spacing w:line="1" w:lineRule="exact"/>
                            </w:pPr>
                          </w:p>
                        </w:txbxContent>
                      </wps:txbx>
                      <wps:bodyPr lIns="0" tIns="0" rIns="0" bIns="0"/>
                    </wps:wsp>
                  </a:graphicData>
                </a:graphic>
              </wp:anchor>
            </w:drawing>
          </mc:Choice>
          <mc:Fallback>
            <w:pict>
              <v:shapetype w14:anchorId="323EAB6A" id="_x0000_t202" coordsize="21600,21600" o:spt="202" path="m,l,21600r21600,l21600,xe">
                <v:stroke joinstyle="miter"/>
                <v:path gradientshapeok="t" o:connecttype="rect"/>
              </v:shapetype>
              <v:shape id="Shape 906" o:spid="_x0000_s1026" type="#_x0000_t202" style="position:absolute;margin-left:32.05pt;margin-top:30pt;width:566.65pt;height:141.85pt;z-index:251659264;visibility:visible;mso-wrap-style:square;mso-wrap-distance-left:9pt;mso-wrap-distance-top:0;mso-wrap-distance-right:9pt;mso-wrap-distance-bottom:67.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160"/>
                        <w:gridCol w:w="3696"/>
                        <w:gridCol w:w="2309"/>
                        <w:gridCol w:w="3168"/>
                      </w:tblGrid>
                      <w:tr w:rsidR="00093A32" w14:paraId="65DD87F8" w14:textId="77777777">
                        <w:tblPrEx>
                          <w:tblCellMar>
                            <w:top w:w="0" w:type="dxa"/>
                            <w:bottom w:w="0" w:type="dxa"/>
                          </w:tblCellMar>
                        </w:tblPrEx>
                        <w:trPr>
                          <w:trHeight w:hRule="exact" w:val="562"/>
                          <w:tblHeader/>
                        </w:trPr>
                        <w:tc>
                          <w:tcPr>
                            <w:tcW w:w="2160" w:type="dxa"/>
                            <w:shd w:val="clear" w:color="auto" w:fill="231F20"/>
                            <w:vAlign w:val="bottom"/>
                          </w:tcPr>
                          <w:p w14:paraId="1B6FB92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 xml:space="preserve">  </w:t>
                            </w:r>
                          </w:p>
                        </w:tc>
                        <w:tc>
                          <w:tcPr>
                            <w:tcW w:w="3696" w:type="dxa"/>
                            <w:shd w:val="clear" w:color="auto" w:fill="231F20"/>
                          </w:tcPr>
                          <w:p w14:paraId="281FAD9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Niños prepúberes que pesan menos de 45 kg</w:t>
                            </w:r>
                          </w:p>
                        </w:tc>
                        <w:tc>
                          <w:tcPr>
                            <w:tcW w:w="2309" w:type="dxa"/>
                            <w:shd w:val="clear" w:color="auto" w:fill="231F20"/>
                            <w:vAlign w:val="bottom"/>
                          </w:tcPr>
                          <w:p w14:paraId="625272A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6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2</w:t>
                            </w:r>
                          </w:p>
                        </w:tc>
                        <w:tc>
                          <w:tcPr>
                            <w:tcW w:w="3168" w:type="dxa"/>
                            <w:shd w:val="clear" w:color="auto" w:fill="231F20"/>
                          </w:tcPr>
                          <w:p w14:paraId="100689B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Pacientes que pesan 45 kg o más y que tienen ocho años o más</w:t>
                            </w:r>
                          </w:p>
                        </w:tc>
                      </w:tr>
                      <w:tr w:rsidR="00093A32" w14:paraId="13910057" w14:textId="77777777">
                        <w:tblPrEx>
                          <w:tblCellMar>
                            <w:top w:w="0" w:type="dxa"/>
                            <w:bottom w:w="0" w:type="dxa"/>
                          </w:tblCellMar>
                        </w:tblPrEx>
                        <w:trPr>
                          <w:trHeight w:hRule="exact" w:val="2275"/>
                        </w:trPr>
                        <w:tc>
                          <w:tcPr>
                            <w:tcW w:w="2160" w:type="dxa"/>
                            <w:shd w:val="clear" w:color="auto" w:fill="FFFFFF"/>
                          </w:tcPr>
                          <w:p w14:paraId="7EB61D2A" w14:textId="77777777" w:rsidR="00093A32" w:rsidRDefault="00093A32">
                            <w:pPr>
                              <w:pStyle w:val="Other0"/>
                              <w:spacing w:line="283" w:lineRule="auto"/>
                              <w:ind w:left="160" w:hanging="160"/>
                              <w:rPr>
                                <w:sz w:val="16"/>
                                <w:szCs w:val="16"/>
                              </w:rPr>
                            </w:pPr>
                            <w:r>
                              <w:rPr>
                                <w:rFonts w:ascii="Times New Roman" w:eastAsia="Times New Roman" w:hAnsi="Times New Roman" w:cs="Times New Roman"/>
                                <w:sz w:val="16"/>
                                <w:szCs w:val="16"/>
                              </w:rPr>
                              <w:t>Vulvovaginitis, cervicitis, uretritis, proctitis o faringitis no complicadas</w:t>
                            </w:r>
                          </w:p>
                        </w:tc>
                        <w:tc>
                          <w:tcPr>
                            <w:tcW w:w="3696" w:type="dxa"/>
                            <w:shd w:val="clear" w:color="auto" w:fill="FFFFFF"/>
                            <w:vAlign w:val="bottom"/>
                          </w:tcPr>
                          <w:p w14:paraId="2B89DFED"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sz w:val="16"/>
                                <w:szCs w:val="16"/>
                              </w:rPr>
                              <w:t xml:space="preserve">Ceftriaxona sódica, 125 mg IM en una sola dosis </w:t>
                            </w:r>
                            <w:r>
                              <w:rPr>
                                <w:rFonts w:ascii="Times New Roman" w:eastAsia="Times New Roman" w:hAnsi="Times New Roman" w:cs="Times New Roman"/>
                                <w:b/>
                                <w:bCs/>
                                <w:sz w:val="16"/>
                                <w:szCs w:val="16"/>
                              </w:rPr>
                              <w:t>O</w:t>
                            </w:r>
                          </w:p>
                          <w:p w14:paraId="636050C0"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Espectinomicina, 40 mg/kg (máximo 2 g), IM en una sola dosis</w:t>
                            </w:r>
                          </w:p>
                          <w:p w14:paraId="0106C4CC"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b/>
                                <w:bCs/>
                                <w:sz w:val="16"/>
                                <w:szCs w:val="16"/>
                              </w:rPr>
                              <w:t>Y ADEMAS</w:t>
                            </w:r>
                            <w:r>
                              <w:rPr>
                                <w:rFonts w:ascii="Times New Roman" w:eastAsia="Times New Roman" w:hAnsi="Times New Roman" w:cs="Times New Roman"/>
                                <w:b/>
                                <w:bCs/>
                                <w:sz w:val="16"/>
                                <w:szCs w:val="16"/>
                                <w:vertAlign w:val="superscript"/>
                              </w:rPr>
                              <w:t>1</w:t>
                            </w:r>
                          </w:p>
                          <w:p w14:paraId="7BB880ED"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Azitromicina, 20 mg/kg (máximo 1 g), ingeridos en una sola dosis</w:t>
                            </w:r>
                          </w:p>
                          <w:p w14:paraId="7036F47D"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b/>
                                <w:bCs/>
                                <w:sz w:val="16"/>
                                <w:szCs w:val="16"/>
                              </w:rPr>
                              <w:t>O</w:t>
                            </w:r>
                          </w:p>
                          <w:p w14:paraId="074E567A"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Eritromicina, 50 mg/kg al día (máximo 2 g/día) ingeridos, en 4 fracciones durante 14 días</w:t>
                            </w:r>
                          </w:p>
                        </w:tc>
                        <w:tc>
                          <w:tcPr>
                            <w:tcW w:w="2309" w:type="dxa"/>
                            <w:tcBorders>
                              <w:left w:val="single" w:sz="4" w:space="0" w:color="auto"/>
                            </w:tcBorders>
                            <w:shd w:val="clear" w:color="auto" w:fill="FFFFFF"/>
                          </w:tcPr>
                          <w:p w14:paraId="63582B8F" w14:textId="77777777" w:rsidR="00093A32" w:rsidRDefault="00093A32">
                            <w:pPr>
                              <w:pStyle w:val="Other0"/>
                              <w:spacing w:line="283" w:lineRule="auto"/>
                              <w:ind w:left="260" w:hanging="80"/>
                              <w:rPr>
                                <w:sz w:val="16"/>
                                <w:szCs w:val="16"/>
                              </w:rPr>
                            </w:pPr>
                            <w:r>
                              <w:rPr>
                                <w:rFonts w:ascii="Times New Roman" w:eastAsia="Times New Roman" w:hAnsi="Times New Roman" w:cs="Times New Roman"/>
                                <w:sz w:val="16"/>
                                <w:szCs w:val="16"/>
                              </w:rPr>
                              <w:t>Endocervicitis, uretritis, epididimitis, proctitis o faringitis no complicadas</w:t>
                            </w:r>
                          </w:p>
                        </w:tc>
                        <w:tc>
                          <w:tcPr>
                            <w:tcW w:w="3168" w:type="dxa"/>
                            <w:shd w:val="clear" w:color="auto" w:fill="FFFFFF"/>
                            <w:vAlign w:val="bottom"/>
                          </w:tcPr>
                          <w:p w14:paraId="488BF15A"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Ceftriaxona, 125 mg, IM en una sola dosis</w:t>
                            </w:r>
                          </w:p>
                          <w:p w14:paraId="3BB6F2D2" w14:textId="77777777" w:rsidR="00093A32" w:rsidRDefault="00093A32">
                            <w:pPr>
                              <w:pStyle w:val="Other0"/>
                              <w:spacing w:line="283" w:lineRule="auto"/>
                              <w:ind w:left="1600" w:firstLine="0"/>
                              <w:rPr>
                                <w:sz w:val="16"/>
                                <w:szCs w:val="16"/>
                              </w:rPr>
                            </w:pPr>
                            <w:r>
                              <w:rPr>
                                <w:rFonts w:ascii="Times New Roman" w:eastAsia="Times New Roman" w:hAnsi="Times New Roman" w:cs="Times New Roman"/>
                                <w:b/>
                                <w:bCs/>
                                <w:sz w:val="16"/>
                                <w:szCs w:val="16"/>
                              </w:rPr>
                              <w:t>O</w:t>
                            </w:r>
                          </w:p>
                          <w:p w14:paraId="748E360E"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Ciprofloxacina, 500 mg ingeridos en una sola dosis</w:t>
                            </w:r>
                          </w:p>
                          <w:p w14:paraId="0EBCBA24" w14:textId="77777777" w:rsidR="00093A32" w:rsidRDefault="00093A32">
                            <w:pPr>
                              <w:pStyle w:val="Other0"/>
                              <w:spacing w:line="283" w:lineRule="auto"/>
                              <w:ind w:left="1660" w:firstLine="0"/>
                              <w:rPr>
                                <w:sz w:val="16"/>
                                <w:szCs w:val="16"/>
                              </w:rPr>
                            </w:pPr>
                            <w:r>
                              <w:rPr>
                                <w:rFonts w:ascii="Times New Roman" w:eastAsia="Times New Roman" w:hAnsi="Times New Roman" w:cs="Times New Roman"/>
                                <w:b/>
                                <w:bCs/>
                                <w:sz w:val="16"/>
                                <w:szCs w:val="16"/>
                              </w:rPr>
                              <w:t>O</w:t>
                            </w:r>
                          </w:p>
                          <w:p w14:paraId="793D9EB6"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Ofloxacina,</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 xml:space="preserve"> 400 mg ingeridos en una sola dosis</w:t>
                            </w:r>
                          </w:p>
                          <w:p w14:paraId="4BFEAFB1" w14:textId="77777777" w:rsidR="00093A32" w:rsidRDefault="00093A32">
                            <w:pPr>
                              <w:pStyle w:val="Other0"/>
                              <w:spacing w:line="283" w:lineRule="auto"/>
                              <w:ind w:left="1660" w:firstLine="0"/>
                              <w:rPr>
                                <w:sz w:val="16"/>
                                <w:szCs w:val="16"/>
                              </w:rPr>
                            </w:pPr>
                            <w:r>
                              <w:rPr>
                                <w:rFonts w:ascii="Times New Roman" w:eastAsia="Times New Roman" w:hAnsi="Times New Roman" w:cs="Times New Roman"/>
                                <w:b/>
                                <w:bCs/>
                                <w:sz w:val="16"/>
                                <w:szCs w:val="16"/>
                              </w:rPr>
                              <w:t>O</w:t>
                            </w:r>
                          </w:p>
                          <w:p w14:paraId="04A6F1A5" w14:textId="77777777" w:rsidR="00093A32" w:rsidRDefault="00093A32">
                            <w:pPr>
                              <w:pStyle w:val="Other0"/>
                              <w:spacing w:line="283" w:lineRule="auto"/>
                              <w:ind w:left="220" w:hanging="220"/>
                              <w:rPr>
                                <w:sz w:val="16"/>
                                <w:szCs w:val="16"/>
                              </w:rPr>
                            </w:pPr>
                            <w:r>
                              <w:rPr>
                                <w:rFonts w:ascii="Times New Roman" w:eastAsia="Times New Roman" w:hAnsi="Times New Roman" w:cs="Times New Roman"/>
                                <w:sz w:val="16"/>
                                <w:szCs w:val="16"/>
                              </w:rPr>
                              <w:t>Levofloxacina,</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 xml:space="preserve"> 250 mg ingeridos en una sola dosis</w:t>
                            </w:r>
                          </w:p>
                        </w:tc>
                      </w:tr>
                    </w:tbl>
                    <w:p w14:paraId="3CC6C254" w14:textId="77777777" w:rsidR="00093A32" w:rsidRDefault="00093A32">
                      <w:pPr>
                        <w:spacing w:line="1" w:lineRule="exact"/>
                      </w:pPr>
                    </w:p>
                  </w:txbxContent>
                </v:textbox>
                <w10:wrap type="topAndBottom" anchorx="page"/>
              </v:shape>
            </w:pict>
          </mc:Fallback>
        </mc:AlternateContent>
      </w:r>
      <w:r>
        <w:rPr>
          <w:noProof/>
        </w:rPr>
        <mc:AlternateContent>
          <mc:Choice Requires="wps">
            <w:drawing>
              <wp:anchor distT="1774190" distB="37465" distL="5356860" distR="245745" simplePos="0" relativeHeight="251660288" behindDoc="0" locked="0" layoutInCell="1" allowOverlap="1" wp14:anchorId="0153A022" wp14:editId="0032F187">
                <wp:simplePos x="0" y="0"/>
                <wp:positionH relativeFrom="page">
                  <wp:posOffset>5649595</wp:posOffset>
                </wp:positionH>
                <wp:positionV relativeFrom="paragraph">
                  <wp:posOffset>2155190</wp:posOffset>
                </wp:positionV>
                <wp:extent cx="1822450" cy="844550"/>
                <wp:effectExtent l="0" t="0" r="0" b="0"/>
                <wp:wrapTopAndBottom/>
                <wp:docPr id="908" name="Shape 908"/>
                <wp:cNvGraphicFramePr/>
                <a:graphic xmlns:a="http://schemas.openxmlformats.org/drawingml/2006/main">
                  <a:graphicData uri="http://schemas.microsoft.com/office/word/2010/wordprocessingShape">
                    <wps:wsp>
                      <wps:cNvSpPr txBox="1"/>
                      <wps:spPr>
                        <a:xfrm>
                          <a:off x="0" y="0"/>
                          <a:ext cx="1822450" cy="844550"/>
                        </a:xfrm>
                        <a:prstGeom prst="rect">
                          <a:avLst/>
                        </a:prstGeom>
                        <a:noFill/>
                      </wps:spPr>
                      <wps:txbx>
                        <w:txbxContent>
                          <w:p w14:paraId="6A6377B5" w14:textId="77777777" w:rsidR="00093A32" w:rsidRDefault="00093A32">
                            <w:pPr>
                              <w:pStyle w:val="Bodytext20"/>
                              <w:spacing w:line="240" w:lineRule="auto"/>
                              <w:jc w:val="center"/>
                              <w:rPr>
                                <w:sz w:val="19"/>
                                <w:szCs w:val="19"/>
                              </w:rPr>
                            </w:pPr>
                            <w:r>
                              <w:rPr>
                                <w:b/>
                                <w:bCs/>
                              </w:rPr>
                              <w:t>Y ADEMAS</w:t>
                            </w:r>
                            <w:r>
                              <w:rPr>
                                <w:rFonts w:ascii="Garamond" w:eastAsia="Garamond" w:hAnsi="Garamond" w:cs="Garamond"/>
                                <w:sz w:val="19"/>
                                <w:szCs w:val="19"/>
                                <w:vertAlign w:val="superscript"/>
                              </w:rPr>
                              <w:t>1</w:t>
                            </w:r>
                          </w:p>
                          <w:p w14:paraId="04F44335" w14:textId="77777777" w:rsidR="00093A32" w:rsidRDefault="00093A32">
                            <w:pPr>
                              <w:pStyle w:val="Bodytext20"/>
                              <w:jc w:val="center"/>
                            </w:pPr>
                            <w:r>
                              <w:rPr>
                                <w:b/>
                                <w:bCs/>
                              </w:rPr>
                              <w:t>O</w:t>
                            </w:r>
                          </w:p>
                          <w:p w14:paraId="29C303AC" w14:textId="77777777" w:rsidR="00093A32" w:rsidRDefault="00093A32">
                            <w:pPr>
                              <w:pStyle w:val="Bodytext20"/>
                            </w:pPr>
                            <w:r>
                              <w:t>Azitromicina (1 g ingeridos en una sola dosis)</w:t>
                            </w:r>
                          </w:p>
                          <w:p w14:paraId="3970B8E6" w14:textId="77777777" w:rsidR="00093A32" w:rsidRDefault="00093A32">
                            <w:pPr>
                              <w:pStyle w:val="Bodytext20"/>
                            </w:pPr>
                            <w:r>
                              <w:t>Doxiciclina (100 mg ingeridos dos veces al día, durante siete días)</w:t>
                            </w:r>
                          </w:p>
                        </w:txbxContent>
                      </wps:txbx>
                      <wps:bodyPr lIns="0" tIns="0" rIns="0" bIns="0"/>
                    </wps:wsp>
                  </a:graphicData>
                </a:graphic>
              </wp:anchor>
            </w:drawing>
          </mc:Choice>
          <mc:Fallback>
            <w:pict>
              <v:shape w14:anchorId="0153A022" id="Shape 908" o:spid="_x0000_s1027" type="#_x0000_t202" style="position:absolute;margin-left:444.85pt;margin-top:169.7pt;width:143.5pt;height:66.5pt;z-index:251660288;visibility:visible;mso-wrap-style:square;mso-wrap-distance-left:421.8pt;mso-wrap-distance-top:139.7pt;mso-wrap-distance-right:19.35pt;mso-wrap-distance-bottom:2.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" filled="f" stroked="f">
                <v:textbox inset="0,0,0,0">
                  <w:txbxContent>
                    <w:p w14:paraId="6A6377B5" w14:textId="77777777" w:rsidR="00093A32" w:rsidRDefault="00093A32">
                      <w:pPr>
                        <w:pStyle w:val="Bodytext20"/>
                        <w:spacing w:line="240" w:lineRule="auto"/>
                        <w:jc w:val="center"/>
                        <w:rPr>
                          <w:sz w:val="19"/>
                          <w:szCs w:val="19"/>
                        </w:rPr>
                      </w:pPr>
                      <w:r>
                        <w:rPr>
                          <w:b/>
                          <w:bCs/>
                        </w:rPr>
                        <w:t>Y ADEMAS</w:t>
                      </w:r>
                      <w:r>
                        <w:rPr>
                          <w:rFonts w:ascii="Garamond" w:eastAsia="Garamond" w:hAnsi="Garamond" w:cs="Garamond"/>
                          <w:sz w:val="19"/>
                          <w:szCs w:val="19"/>
                          <w:vertAlign w:val="superscript"/>
                        </w:rPr>
                        <w:t>1</w:t>
                      </w:r>
                    </w:p>
                    <w:p w14:paraId="04F44335" w14:textId="77777777" w:rsidR="00093A32" w:rsidRDefault="00093A32">
                      <w:pPr>
                        <w:pStyle w:val="Bodytext20"/>
                        <w:jc w:val="center"/>
                      </w:pPr>
                      <w:r>
                        <w:rPr>
                          <w:b/>
                          <w:bCs/>
                        </w:rPr>
                        <w:t>O</w:t>
                      </w:r>
                    </w:p>
                    <w:p w14:paraId="29C303AC" w14:textId="77777777" w:rsidR="00093A32" w:rsidRDefault="00093A32">
                      <w:pPr>
                        <w:pStyle w:val="Bodytext20"/>
                      </w:pPr>
                      <w:r>
                        <w:t>Azitromicina (1 g ingeridos en una sola dosis)</w:t>
                      </w:r>
                    </w:p>
                    <w:p w14:paraId="3970B8E6" w14:textId="77777777" w:rsidR="00093A32" w:rsidRDefault="00093A32">
                      <w:pPr>
                        <w:pStyle w:val="Bodytext20"/>
                      </w:pPr>
                      <w:r>
                        <w:t>Doxiciclina (100 mg ingeridos dos veces al día, durante siete días)</w:t>
                      </w:r>
                    </w:p>
                  </w:txbxContent>
                </v:textbox>
                <w10:wrap type="topAndBottom" anchorx="page"/>
              </v:shape>
            </w:pict>
          </mc:Fallback>
        </mc:AlternateContent>
      </w:r>
      <w:r>
        <w:rPr>
          <w:noProof/>
        </w:rPr>
        <mc:AlternateContent>
          <mc:Choice Requires="wps">
            <w:drawing>
              <wp:anchor distT="0" distB="0" distL="114300" distR="114300" simplePos="0" relativeHeight="251661312" behindDoc="0" locked="0" layoutInCell="1" allowOverlap="1" wp14:anchorId="3D686BDC" wp14:editId="69FEB584">
                <wp:simplePos x="0" y="0"/>
                <wp:positionH relativeFrom="page">
                  <wp:posOffset>7859395</wp:posOffset>
                </wp:positionH>
                <wp:positionV relativeFrom="paragraph">
                  <wp:posOffset>1554480</wp:posOffset>
                </wp:positionV>
                <wp:extent cx="115570" cy="2819400"/>
                <wp:effectExtent l="0" t="0" r="0" b="0"/>
                <wp:wrapSquare wrapText="bothSides"/>
                <wp:docPr id="910" name="Shape 910"/>
                <wp:cNvGraphicFramePr/>
                <a:graphic xmlns:a="http://schemas.openxmlformats.org/drawingml/2006/main">
                  <a:graphicData uri="http://schemas.microsoft.com/office/word/2010/wordprocessingShape">
                    <wps:wsp>
                      <wps:cNvSpPr txBox="1"/>
                      <wps:spPr>
                        <a:xfrm>
                          <a:off x="0" y="0"/>
                          <a:ext cx="115570" cy="2819400"/>
                        </a:xfrm>
                        <a:prstGeom prst="rect">
                          <a:avLst/>
                        </a:prstGeom>
                        <a:noFill/>
                      </wps:spPr>
                      <wps:txbx>
                        <w:txbxContent>
                          <w:p w14:paraId="186073C0" w14:textId="77777777" w:rsidR="00093A32" w:rsidRDefault="00093A32">
                            <w:pPr>
                              <w:pStyle w:val="Bodytext80"/>
                              <w:tabs>
                                <w:tab w:val="left" w:pos="4123"/>
                              </w:tabs>
                              <w:rPr>
                                <w:sz w:val="16"/>
                                <w:szCs w:val="16"/>
                              </w:rPr>
                            </w:pPr>
                            <w:r>
                              <w:t>GONOCOCOS, INFECCIONES</w:t>
                            </w:r>
                            <w:r>
                              <w:tab/>
                            </w:r>
                            <w:r>
                              <w:rPr>
                                <w:sz w:val="16"/>
                                <w:szCs w:val="16"/>
                              </w:rPr>
                              <w:t>353</w:t>
                            </w:r>
                          </w:p>
                        </w:txbxContent>
                      </wps:txbx>
                      <wps:bodyPr vert="vert" lIns="0" tIns="0" rIns="0" bIns="0" upright="1"/>
                    </wps:wsp>
                  </a:graphicData>
                </a:graphic>
              </wp:anchor>
            </w:drawing>
          </mc:Choice>
          <mc:Fallback>
            <w:pict>
              <v:shape w14:anchorId="3D686BDC" id="Shape 910" o:spid="_x0000_s1028" type="#_x0000_t202" style="position:absolute;margin-left:618.85pt;margin-top:122.4pt;width:9.1pt;height:222pt;z-index:2516613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" filled="f" stroked="f">
                <v:textbox style="layout-flow:vertical" inset="0,0,0,0">
                  <w:txbxContent>
                    <w:p w14:paraId="186073C0" w14:textId="77777777" w:rsidR="00093A32" w:rsidRDefault="00093A32">
                      <w:pPr>
                        <w:pStyle w:val="Bodytext80"/>
                        <w:tabs>
                          <w:tab w:val="left" w:pos="4123"/>
                        </w:tabs>
                        <w:rPr>
                          <w:sz w:val="16"/>
                          <w:szCs w:val="16"/>
                        </w:rPr>
                      </w:pPr>
                      <w:r>
                        <w:t>GONOCOCOS, INFECCIONES</w:t>
                      </w:r>
                      <w:r>
                        <w:tab/>
                      </w:r>
                      <w:r>
                        <w:rPr>
                          <w:sz w:val="16"/>
                          <w:szCs w:val="16"/>
                        </w:rPr>
                        <w:t>353</w:t>
                      </w:r>
                    </w:p>
                  </w:txbxContent>
                </v:textbox>
                <w10:wrap type="square" anchorx="page"/>
              </v:shape>
            </w:pict>
          </mc:Fallback>
        </mc:AlternateContent>
      </w:r>
    </w:p>
    <w:p w14:paraId="3733ECF4" w14:textId="77777777" w:rsidR="00093A32" w:rsidRDefault="00093A32">
      <w:pPr>
        <w:pStyle w:val="Heading31"/>
        <w:keepNext/>
        <w:keepLines/>
        <w:spacing w:line="216" w:lineRule="auto"/>
        <w:jc w:val="center"/>
      </w:pPr>
      <w:bookmarkStart w:id="113" w:name="bookmark719"/>
      <w:bookmarkStart w:id="114" w:name="bookmark720"/>
      <w:bookmarkStart w:id="115" w:name="bookmark721"/>
      <w:r>
        <w:rPr>
          <w:b w:val="0"/>
          <w:bCs w:val="0"/>
        </w:rPr>
        <w:t xml:space="preserve">Cuadro 3-16. </w:t>
      </w:r>
      <w:r>
        <w:t>Infección gonocócica no complicada: tratamiento de niños que han rebasado</w:t>
      </w:r>
      <w:r>
        <w:br/>
        <w:t>el periodo neonatal, y de adolescentes</w:t>
      </w:r>
      <w:r>
        <w:rPr>
          <w:vertAlign w:val="superscript"/>
        </w:rPr>
        <w:t>1</w:t>
      </w:r>
      <w:bookmarkEnd w:id="113"/>
      <w:bookmarkEnd w:id="114"/>
      <w:bookmarkEnd w:id="115"/>
      <w:r>
        <w:br w:type="page"/>
      </w:r>
    </w:p>
    <w:p w14:paraId="5E160DC0" w14:textId="77777777" w:rsidR="00093A32" w:rsidRDefault="00093A32">
      <w:pPr>
        <w:pStyle w:val="Heading31"/>
        <w:keepNext/>
        <w:keepLines/>
        <w:spacing w:line="216" w:lineRule="auto"/>
        <w:jc w:val="center"/>
        <w:sectPr w:rsidR="00093A32" w:rsidSect="00093A32">
          <w:type w:val="continuous"/>
          <w:pgSz w:w="13022" w:h="8501" w:orient="landscape"/>
          <w:pgMar w:top="742" w:right="1000" w:bottom="523" w:left="626" w:header="314" w:footer="95" w:gutter="0"/>
          <w:cols w:space="720"/>
          <w:noEndnote/>
          <w:docGrid w:linePitch="360"/>
          <w15:footnoteColumns w:val="1"/>
        </w:sectPr>
      </w:pPr>
      <w:r>
        <w:rPr>
          <w:noProof/>
        </w:rPr>
        <mc:AlternateContent>
          <mc:Choice Requires="wps">
            <w:drawing>
              <wp:anchor distT="0" distB="0" distL="114300" distR="114300" simplePos="0" relativeHeight="251662336" behindDoc="0" locked="0" layoutInCell="1" allowOverlap="1" wp14:anchorId="6B866E2E" wp14:editId="1F3DC3C3">
                <wp:simplePos x="0" y="0"/>
                <wp:positionH relativeFrom="page">
                  <wp:posOffset>397510</wp:posOffset>
                </wp:positionH>
                <wp:positionV relativeFrom="margin">
                  <wp:posOffset>381000</wp:posOffset>
                </wp:positionV>
                <wp:extent cx="7235825" cy="2654935"/>
                <wp:effectExtent l="0" t="0" r="0" b="0"/>
                <wp:wrapTopAndBottom/>
                <wp:docPr id="912" name="Shape 912"/>
                <wp:cNvGraphicFramePr/>
                <a:graphic xmlns:a="http://schemas.openxmlformats.org/drawingml/2006/main">
                  <a:graphicData uri="http://schemas.microsoft.com/office/word/2010/wordprocessingShape">
                    <wps:wsp>
                      <wps:cNvSpPr txBox="1"/>
                      <wps:spPr>
                        <a:xfrm>
                          <a:off x="0" y="0"/>
                          <a:ext cx="7235825" cy="26549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704"/>
                              <w:gridCol w:w="4253"/>
                              <w:gridCol w:w="1574"/>
                              <w:gridCol w:w="3864"/>
                            </w:tblGrid>
                            <w:tr w:rsidR="00093A32" w14:paraId="758B03BF" w14:textId="77777777">
                              <w:tblPrEx>
                                <w:tblCellMar>
                                  <w:top w:w="0" w:type="dxa"/>
                                  <w:bottom w:w="0" w:type="dxa"/>
                                </w:tblCellMar>
                              </w:tblPrEx>
                              <w:trPr>
                                <w:trHeight w:hRule="exact" w:val="283"/>
                                <w:tblHeader/>
                              </w:trPr>
                              <w:tc>
                                <w:tcPr>
                                  <w:tcW w:w="1704" w:type="dxa"/>
                                  <w:vMerge w:val="restart"/>
                                  <w:shd w:val="clear" w:color="auto" w:fill="231F20"/>
                                  <w:vAlign w:val="bottom"/>
                                </w:tcPr>
                                <w:p w14:paraId="462E093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2</w:t>
                                  </w:r>
                                </w:p>
                              </w:tc>
                              <w:tc>
                                <w:tcPr>
                                  <w:tcW w:w="5827" w:type="dxa"/>
                                  <w:gridSpan w:val="2"/>
                                  <w:shd w:val="clear" w:color="auto" w:fill="231F20"/>
                                  <w:vAlign w:val="bottom"/>
                                </w:tcPr>
                                <w:p w14:paraId="6F241DE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Niños prepúberes que pesan</w:t>
                                  </w:r>
                                </w:p>
                              </w:tc>
                              <w:tc>
                                <w:tcPr>
                                  <w:tcW w:w="3864" w:type="dxa"/>
                                  <w:vMerge w:val="restart"/>
                                  <w:shd w:val="clear" w:color="auto" w:fill="231F20"/>
                                </w:tcPr>
                                <w:p w14:paraId="579B229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Pacientes que pesan 45 kg o más y que tienen ocho años o más</w:t>
                                  </w:r>
                                </w:p>
                              </w:tc>
                            </w:tr>
                            <w:tr w:rsidR="00093A32" w14:paraId="75CCC155" w14:textId="77777777">
                              <w:tblPrEx>
                                <w:tblCellMar>
                                  <w:top w:w="0" w:type="dxa"/>
                                  <w:bottom w:w="0" w:type="dxa"/>
                                </w:tblCellMar>
                              </w:tblPrEx>
                              <w:trPr>
                                <w:trHeight w:hRule="exact" w:val="274"/>
                              </w:trPr>
                              <w:tc>
                                <w:tcPr>
                                  <w:tcW w:w="1704" w:type="dxa"/>
                                  <w:vMerge/>
                                  <w:shd w:val="clear" w:color="auto" w:fill="231F20"/>
                                  <w:vAlign w:val="bottom"/>
                                </w:tcPr>
                                <w:p w14:paraId="711BB11E" w14:textId="77777777" w:rsidR="00093A32" w:rsidRDefault="00093A32"/>
                              </w:tc>
                              <w:tc>
                                <w:tcPr>
                                  <w:tcW w:w="4253" w:type="dxa"/>
                                  <w:shd w:val="clear" w:color="auto" w:fill="231F20"/>
                                </w:tcPr>
                                <w:p w14:paraId="4E66BA1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menos de 45 kg</w:t>
                                  </w:r>
                                </w:p>
                              </w:tc>
                              <w:tc>
                                <w:tcPr>
                                  <w:tcW w:w="1574" w:type="dxa"/>
                                  <w:shd w:val="clear" w:color="auto" w:fill="231F20"/>
                                </w:tcPr>
                                <w:p w14:paraId="55FEF23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2</w:t>
                                  </w:r>
                                </w:p>
                              </w:tc>
                              <w:tc>
                                <w:tcPr>
                                  <w:tcW w:w="3864" w:type="dxa"/>
                                  <w:vMerge/>
                                  <w:shd w:val="clear" w:color="auto" w:fill="231F20"/>
                                </w:tcPr>
                                <w:p w14:paraId="309F9967" w14:textId="77777777" w:rsidR="00093A32" w:rsidRDefault="00093A32"/>
                              </w:tc>
                            </w:tr>
                            <w:tr w:rsidR="00093A32" w14:paraId="07EF0DF7" w14:textId="77777777">
                              <w:tblPrEx>
                                <w:tblCellMar>
                                  <w:top w:w="0" w:type="dxa"/>
                                  <w:bottom w:w="0" w:type="dxa"/>
                                </w:tblCellMar>
                              </w:tblPrEx>
                              <w:trPr>
                                <w:trHeight w:hRule="exact" w:val="283"/>
                              </w:trPr>
                              <w:tc>
                                <w:tcPr>
                                  <w:tcW w:w="1704" w:type="dxa"/>
                                  <w:shd w:val="clear" w:color="auto" w:fill="FFFFFF"/>
                                  <w:vAlign w:val="bottom"/>
                                </w:tcPr>
                                <w:p w14:paraId="4B21CD9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Infección gonocócica</w:t>
                                  </w:r>
                                </w:p>
                              </w:tc>
                              <w:tc>
                                <w:tcPr>
                                  <w:tcW w:w="4253" w:type="dxa"/>
                                  <w:shd w:val="clear" w:color="auto" w:fill="FFFFFF"/>
                                  <w:vAlign w:val="bottom"/>
                                </w:tcPr>
                                <w:p w14:paraId="6AD81EE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50 mg/kg de peso al día</w:t>
                                  </w:r>
                                </w:p>
                              </w:tc>
                              <w:tc>
                                <w:tcPr>
                                  <w:tcW w:w="1574" w:type="dxa"/>
                                  <w:tcBorders>
                                    <w:left w:val="single" w:sz="4" w:space="0" w:color="auto"/>
                                  </w:tcBorders>
                                  <w:shd w:val="clear" w:color="auto" w:fill="FFFFFF"/>
                                  <w:vAlign w:val="bottom"/>
                                </w:tcPr>
                                <w:p w14:paraId="002634A0"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Infecciones</w:t>
                                  </w:r>
                                </w:p>
                              </w:tc>
                              <w:tc>
                                <w:tcPr>
                                  <w:tcW w:w="3864" w:type="dxa"/>
                                  <w:shd w:val="clear" w:color="auto" w:fill="FFFFFF"/>
                                  <w:vAlign w:val="bottom"/>
                                </w:tcPr>
                                <w:p w14:paraId="54BD944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1 g, IV o IM una vez al día</w:t>
                                  </w:r>
                                </w:p>
                              </w:tc>
                            </w:tr>
                            <w:tr w:rsidR="00093A32" w14:paraId="1D31ECB2" w14:textId="77777777">
                              <w:tblPrEx>
                                <w:tblCellMar>
                                  <w:top w:w="0" w:type="dxa"/>
                                  <w:bottom w:w="0" w:type="dxa"/>
                                </w:tblCellMar>
                              </w:tblPrEx>
                              <w:trPr>
                                <w:trHeight w:hRule="exact" w:val="226"/>
                              </w:trPr>
                              <w:tc>
                                <w:tcPr>
                                  <w:tcW w:w="1704" w:type="dxa"/>
                                  <w:shd w:val="clear" w:color="auto" w:fill="FFFFFF"/>
                                  <w:vAlign w:val="bottom"/>
                                </w:tcPr>
                                <w:p w14:paraId="78F7833C"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diseminada (como el</w:t>
                                  </w:r>
                                </w:p>
                              </w:tc>
                              <w:tc>
                                <w:tcPr>
                                  <w:tcW w:w="4253" w:type="dxa"/>
                                  <w:shd w:val="clear" w:color="auto" w:fill="FFFFFF"/>
                                  <w:vAlign w:val="bottom"/>
                                </w:tcPr>
                                <w:p w14:paraId="4A729214"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(máximo 1 g/día) por vías IV o IM</w:t>
                                  </w:r>
                                </w:p>
                              </w:tc>
                              <w:tc>
                                <w:tcPr>
                                  <w:tcW w:w="1574" w:type="dxa"/>
                                  <w:tcBorders>
                                    <w:left w:val="single" w:sz="4" w:space="0" w:color="auto"/>
                                  </w:tcBorders>
                                  <w:shd w:val="clear" w:color="auto" w:fill="FFFFFF"/>
                                  <w:vAlign w:val="bottom"/>
                                </w:tcPr>
                                <w:p w14:paraId="285AD7B8"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gonocócicas</w:t>
                                  </w:r>
                                </w:p>
                              </w:tc>
                              <w:tc>
                                <w:tcPr>
                                  <w:tcW w:w="3864" w:type="dxa"/>
                                  <w:shd w:val="clear" w:color="auto" w:fill="FFFFFF"/>
                                  <w:vAlign w:val="bottom"/>
                                </w:tcPr>
                                <w:p w14:paraId="40126823"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durante 7 días</w:t>
                                  </w:r>
                                  <w:r>
                                    <w:rPr>
                                      <w:rFonts w:ascii="Times New Roman" w:eastAsia="Times New Roman" w:hAnsi="Times New Roman" w:cs="Times New Roman"/>
                                      <w:sz w:val="16"/>
                                      <w:szCs w:val="16"/>
                                      <w:vertAlign w:val="superscript"/>
                                    </w:rPr>
                                    <w:t>4</w:t>
                                  </w:r>
                                </w:p>
                              </w:tc>
                            </w:tr>
                            <w:tr w:rsidR="00093A32" w14:paraId="04AB7750" w14:textId="77777777">
                              <w:tblPrEx>
                                <w:tblCellMar>
                                  <w:top w:w="0" w:type="dxa"/>
                                  <w:bottom w:w="0" w:type="dxa"/>
                                </w:tblCellMar>
                              </w:tblPrEx>
                              <w:trPr>
                                <w:trHeight w:hRule="exact" w:val="202"/>
                              </w:trPr>
                              <w:tc>
                                <w:tcPr>
                                  <w:tcW w:w="1704" w:type="dxa"/>
                                  <w:shd w:val="clear" w:color="auto" w:fill="FFFFFF"/>
                                </w:tcPr>
                                <w:p w14:paraId="1F52244F"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síndrome de artritis-</w:t>
                                  </w:r>
                                </w:p>
                              </w:tc>
                              <w:tc>
                                <w:tcPr>
                                  <w:tcW w:w="4253" w:type="dxa"/>
                                  <w:shd w:val="clear" w:color="auto" w:fill="FFFFFF"/>
                                </w:tcPr>
                                <w:p w14:paraId="2D47B4A8"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una vez al día durante 7 días</w:t>
                                  </w:r>
                                </w:p>
                              </w:tc>
                              <w:tc>
                                <w:tcPr>
                                  <w:tcW w:w="1574" w:type="dxa"/>
                                  <w:tcBorders>
                                    <w:left w:val="single" w:sz="4" w:space="0" w:color="auto"/>
                                  </w:tcBorders>
                                  <w:shd w:val="clear" w:color="auto" w:fill="FFFFFF"/>
                                </w:tcPr>
                                <w:p w14:paraId="32EA4F39"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diseminadas</w:t>
                                  </w:r>
                                  <w:r>
                                    <w:rPr>
                                      <w:rFonts w:ascii="Times New Roman" w:eastAsia="Times New Roman" w:hAnsi="Times New Roman" w:cs="Times New Roman"/>
                                      <w:sz w:val="16"/>
                                      <w:szCs w:val="16"/>
                                      <w:vertAlign w:val="superscript"/>
                                    </w:rPr>
                                    <w:t>3</w:t>
                                  </w:r>
                                </w:p>
                              </w:tc>
                              <w:tc>
                                <w:tcPr>
                                  <w:tcW w:w="3864" w:type="dxa"/>
                                  <w:shd w:val="clear" w:color="auto" w:fill="FFFFFF"/>
                                </w:tcPr>
                                <w:p w14:paraId="61EE0E67" w14:textId="77777777" w:rsidR="00093A32" w:rsidRDefault="00093A32">
                                  <w:pPr>
                                    <w:pStyle w:val="Other0"/>
                                    <w:spacing w:line="240" w:lineRule="auto"/>
                                    <w:ind w:left="1480" w:firstLine="0"/>
                                    <w:rPr>
                                      <w:sz w:val="16"/>
                                      <w:szCs w:val="16"/>
                                    </w:rPr>
                                  </w:pPr>
                                  <w:r>
                                    <w:rPr>
                                      <w:rFonts w:ascii="Times New Roman" w:eastAsia="Times New Roman" w:hAnsi="Times New Roman" w:cs="Times New Roman"/>
                                      <w:b/>
                                      <w:bCs/>
                                      <w:sz w:val="16"/>
                                      <w:szCs w:val="16"/>
                                    </w:rPr>
                                    <w:t>O</w:t>
                                  </w:r>
                                </w:p>
                              </w:tc>
                            </w:tr>
                            <w:tr w:rsidR="00093A32" w14:paraId="700F1001" w14:textId="77777777">
                              <w:tblPrEx>
                                <w:tblCellMar>
                                  <w:top w:w="0" w:type="dxa"/>
                                  <w:bottom w:w="0" w:type="dxa"/>
                                </w:tblCellMar>
                              </w:tblPrEx>
                              <w:trPr>
                                <w:trHeight w:hRule="exact" w:val="427"/>
                              </w:trPr>
                              <w:tc>
                                <w:tcPr>
                                  <w:tcW w:w="1704" w:type="dxa"/>
                                  <w:shd w:val="clear" w:color="auto" w:fill="FFFFFF"/>
                                </w:tcPr>
                                <w:p w14:paraId="410CEF23"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dermatitis)</w:t>
                                  </w:r>
                                </w:p>
                              </w:tc>
                              <w:tc>
                                <w:tcPr>
                                  <w:tcW w:w="4253" w:type="dxa"/>
                                  <w:shd w:val="clear" w:color="auto" w:fill="FFFFFF"/>
                                </w:tcPr>
                                <w:p w14:paraId="283ED899" w14:textId="77777777" w:rsidR="00093A32" w:rsidRDefault="00093A32">
                                  <w:pPr>
                                    <w:pStyle w:val="Other0"/>
                                    <w:spacing w:line="240" w:lineRule="auto"/>
                                    <w:ind w:firstLine="960"/>
                                  </w:pPr>
                                  <w:r>
                                    <w:rPr>
                                      <w:rFonts w:ascii="Times New Roman" w:eastAsia="Times New Roman" w:hAnsi="Times New Roman" w:cs="Times New Roman"/>
                                      <w:b/>
                                      <w:bCs/>
                                      <w:sz w:val="16"/>
                                      <w:szCs w:val="16"/>
                                    </w:rPr>
                                    <w:t>Y ADEMAS</w:t>
                                  </w:r>
                                  <w:r>
                                    <w:rPr>
                                      <w:vertAlign w:val="superscript"/>
                                    </w:rPr>
                                    <w:t>1</w:t>
                                  </w:r>
                                </w:p>
                                <w:p w14:paraId="0E0838F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Azitromicina o eritromicina</w:t>
                                  </w:r>
                                </w:p>
                              </w:tc>
                              <w:tc>
                                <w:tcPr>
                                  <w:tcW w:w="1574" w:type="dxa"/>
                                  <w:tcBorders>
                                    <w:left w:val="single" w:sz="4" w:space="0" w:color="auto"/>
                                  </w:tcBorders>
                                  <w:shd w:val="clear" w:color="auto" w:fill="FFFFFF"/>
                                </w:tcPr>
                                <w:p w14:paraId="6C7EAF07" w14:textId="77777777" w:rsidR="00093A32" w:rsidRDefault="00093A32">
                                  <w:pPr>
                                    <w:rPr>
                                      <w:sz w:val="10"/>
                                      <w:szCs w:val="10"/>
                                    </w:rPr>
                                  </w:pPr>
                                </w:p>
                              </w:tc>
                              <w:tc>
                                <w:tcPr>
                                  <w:tcW w:w="3864" w:type="dxa"/>
                                  <w:shd w:val="clear" w:color="auto" w:fill="FFFFFF"/>
                                </w:tcPr>
                                <w:p w14:paraId="530D821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Cefotaxima, 1 g, IV cada 8 h durante 7 días</w:t>
                                  </w:r>
                                  <w:r>
                                    <w:rPr>
                                      <w:rFonts w:ascii="Times New Roman" w:eastAsia="Times New Roman" w:hAnsi="Times New Roman" w:cs="Times New Roman"/>
                                      <w:sz w:val="16"/>
                                      <w:szCs w:val="16"/>
                                      <w:vertAlign w:val="superscript"/>
                                    </w:rPr>
                                    <w:t>4</w:t>
                                  </w:r>
                                </w:p>
                                <w:p w14:paraId="4843E759" w14:textId="77777777" w:rsidR="00093A32" w:rsidRDefault="00093A32">
                                  <w:pPr>
                                    <w:pStyle w:val="Other0"/>
                                    <w:spacing w:line="240" w:lineRule="auto"/>
                                    <w:ind w:left="1140" w:firstLine="0"/>
                                  </w:pPr>
                                  <w:r>
                                    <w:rPr>
                                      <w:rFonts w:ascii="Times New Roman" w:eastAsia="Times New Roman" w:hAnsi="Times New Roman" w:cs="Times New Roman"/>
                                      <w:b/>
                                      <w:bCs/>
                                      <w:sz w:val="16"/>
                                      <w:szCs w:val="16"/>
                                    </w:rPr>
                                    <w:t>Y ADEMAS</w:t>
                                  </w:r>
                                  <w:r>
                                    <w:rPr>
                                      <w:vertAlign w:val="superscript"/>
                                    </w:rPr>
                                    <w:t>1</w:t>
                                  </w:r>
                                </w:p>
                              </w:tc>
                            </w:tr>
                            <w:tr w:rsidR="00093A32" w14:paraId="36FBCBE2" w14:textId="77777777">
                              <w:tblPrEx>
                                <w:tblCellMar>
                                  <w:top w:w="0" w:type="dxa"/>
                                  <w:bottom w:w="0" w:type="dxa"/>
                                </w:tblCellMar>
                              </w:tblPrEx>
                              <w:trPr>
                                <w:trHeight w:hRule="exact" w:val="235"/>
                              </w:trPr>
                              <w:tc>
                                <w:tcPr>
                                  <w:tcW w:w="1704" w:type="dxa"/>
                                  <w:shd w:val="clear" w:color="auto" w:fill="FFFFFF"/>
                                  <w:vAlign w:val="bottom"/>
                                </w:tcPr>
                                <w:p w14:paraId="0CE5EBE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Meningitis</w:t>
                                  </w:r>
                                </w:p>
                              </w:tc>
                              <w:tc>
                                <w:tcPr>
                                  <w:tcW w:w="4253" w:type="dxa"/>
                                  <w:shd w:val="clear" w:color="auto" w:fill="FFFFFF"/>
                                  <w:vAlign w:val="bottom"/>
                                </w:tcPr>
                                <w:p w14:paraId="6B98BCC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50 mg/kg de peso al día (máximo 2 g/día)</w:t>
                                  </w:r>
                                </w:p>
                              </w:tc>
                              <w:tc>
                                <w:tcPr>
                                  <w:tcW w:w="1574" w:type="dxa"/>
                                  <w:tcBorders>
                                    <w:left w:val="single" w:sz="4" w:space="0" w:color="auto"/>
                                  </w:tcBorders>
                                  <w:shd w:val="clear" w:color="auto" w:fill="FFFFFF"/>
                                </w:tcPr>
                                <w:p w14:paraId="5D8F551E" w14:textId="77777777" w:rsidR="00093A32" w:rsidRDefault="00093A32">
                                  <w:pPr>
                                    <w:rPr>
                                      <w:sz w:val="10"/>
                                      <w:szCs w:val="10"/>
                                    </w:rPr>
                                  </w:pPr>
                                </w:p>
                              </w:tc>
                              <w:tc>
                                <w:tcPr>
                                  <w:tcW w:w="3864" w:type="dxa"/>
                                  <w:shd w:val="clear" w:color="auto" w:fill="FFFFFF"/>
                                  <w:vAlign w:val="bottom"/>
                                </w:tcPr>
                                <w:p w14:paraId="5EC1418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Azitromicina, 1 g ingerido en una sola dosis</w:t>
                                  </w:r>
                                </w:p>
                              </w:tc>
                            </w:tr>
                            <w:tr w:rsidR="00093A32" w14:paraId="6D063776" w14:textId="77777777">
                              <w:tblPrEx>
                                <w:tblCellMar>
                                  <w:top w:w="0" w:type="dxa"/>
                                  <w:bottom w:w="0" w:type="dxa"/>
                                </w:tblCellMar>
                              </w:tblPrEx>
                              <w:trPr>
                                <w:trHeight w:hRule="exact" w:val="850"/>
                              </w:trPr>
                              <w:tc>
                                <w:tcPr>
                                  <w:tcW w:w="1704" w:type="dxa"/>
                                  <w:shd w:val="clear" w:color="auto" w:fill="FFFFFF"/>
                                </w:tcPr>
                                <w:p w14:paraId="74C96FE5"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o endocarditis</w:t>
                                  </w:r>
                                </w:p>
                              </w:tc>
                              <w:tc>
                                <w:tcPr>
                                  <w:tcW w:w="4253" w:type="dxa"/>
                                  <w:shd w:val="clear" w:color="auto" w:fill="FFFFFF"/>
                                </w:tcPr>
                                <w:p w14:paraId="6ED69960" w14:textId="77777777" w:rsidR="00093A32" w:rsidRDefault="00093A32">
                                  <w:pPr>
                                    <w:pStyle w:val="Other0"/>
                                    <w:spacing w:line="283" w:lineRule="auto"/>
                                    <w:ind w:left="180"/>
                                    <w:rPr>
                                      <w:sz w:val="16"/>
                                      <w:szCs w:val="16"/>
                                    </w:rPr>
                                  </w:pPr>
                                  <w:r>
                                    <w:rPr>
                                      <w:rFonts w:ascii="Times New Roman" w:eastAsia="Times New Roman" w:hAnsi="Times New Roman" w:cs="Times New Roman"/>
                                      <w:sz w:val="16"/>
                                      <w:szCs w:val="16"/>
                                    </w:rPr>
                                    <w:t>IV o IM, aplicadas cada 12 h; en el caso de meningitis, el ciclo dura 10 a 14 días; si hay endocarditis, el ciclo durará como mínimo 28 días</w:t>
                                  </w:r>
                                </w:p>
                                <w:p w14:paraId="39C6FB60" w14:textId="77777777" w:rsidR="00093A32" w:rsidRDefault="00093A32">
                                  <w:pPr>
                                    <w:pStyle w:val="Other0"/>
                                    <w:spacing w:line="283" w:lineRule="auto"/>
                                    <w:ind w:firstLine="960"/>
                                  </w:pPr>
                                  <w:r>
                                    <w:rPr>
                                      <w:rFonts w:ascii="Times New Roman" w:eastAsia="Times New Roman" w:hAnsi="Times New Roman" w:cs="Times New Roman"/>
                                      <w:b/>
                                      <w:bCs/>
                                      <w:sz w:val="16"/>
                                      <w:szCs w:val="16"/>
                                    </w:rPr>
                                    <w:t>Y ADEMAS</w:t>
                                  </w:r>
                                  <w:r>
                                    <w:rPr>
                                      <w:vertAlign w:val="superscript"/>
                                    </w:rPr>
                                    <w:t>1</w:t>
                                  </w:r>
                                </w:p>
                              </w:tc>
                              <w:tc>
                                <w:tcPr>
                                  <w:tcW w:w="1574" w:type="dxa"/>
                                  <w:tcBorders>
                                    <w:left w:val="single" w:sz="4" w:space="0" w:color="auto"/>
                                  </w:tcBorders>
                                  <w:shd w:val="clear" w:color="auto" w:fill="FFFFFF"/>
                                </w:tcPr>
                                <w:p w14:paraId="21A66353" w14:textId="77777777" w:rsidR="00093A32" w:rsidRDefault="00093A32">
                                  <w:pPr>
                                    <w:rPr>
                                      <w:sz w:val="10"/>
                                      <w:szCs w:val="10"/>
                                    </w:rPr>
                                  </w:pPr>
                                </w:p>
                              </w:tc>
                              <w:tc>
                                <w:tcPr>
                                  <w:tcW w:w="3864" w:type="dxa"/>
                                  <w:shd w:val="clear" w:color="auto" w:fill="FFFFFF"/>
                                </w:tcPr>
                                <w:p w14:paraId="073D2BA4" w14:textId="77777777" w:rsidR="00093A32" w:rsidRDefault="00093A32">
                                  <w:pPr>
                                    <w:pStyle w:val="Other0"/>
                                    <w:spacing w:line="283" w:lineRule="auto"/>
                                    <w:ind w:left="1480" w:firstLine="0"/>
                                    <w:rPr>
                                      <w:sz w:val="16"/>
                                      <w:szCs w:val="16"/>
                                    </w:rPr>
                                  </w:pPr>
                                  <w:r>
                                    <w:rPr>
                                      <w:rFonts w:ascii="Times New Roman" w:eastAsia="Times New Roman" w:hAnsi="Times New Roman" w:cs="Times New Roman"/>
                                      <w:b/>
                                      <w:bCs/>
                                      <w:sz w:val="16"/>
                                      <w:szCs w:val="16"/>
                                    </w:rPr>
                                    <w:t>O</w:t>
                                  </w:r>
                                </w:p>
                                <w:p w14:paraId="50BFE6CD" w14:textId="77777777" w:rsidR="00093A32" w:rsidRDefault="00093A32">
                                  <w:pPr>
                                    <w:pStyle w:val="Other0"/>
                                    <w:spacing w:line="283" w:lineRule="auto"/>
                                    <w:ind w:left="140" w:hanging="140"/>
                                    <w:rPr>
                                      <w:sz w:val="16"/>
                                      <w:szCs w:val="16"/>
                                    </w:rPr>
                                  </w:pPr>
                                  <w:r>
                                    <w:rPr>
                                      <w:rFonts w:ascii="Times New Roman" w:eastAsia="Times New Roman" w:hAnsi="Times New Roman" w:cs="Times New Roman"/>
                                      <w:sz w:val="16"/>
                                      <w:szCs w:val="16"/>
                                    </w:rPr>
                                    <w:t>Doxiciclina, 100 mg ingeridos dos veces al día durante 7 días</w:t>
                                  </w:r>
                                </w:p>
                              </w:tc>
                            </w:tr>
                            <w:tr w:rsidR="00093A32" w14:paraId="78DDB15B" w14:textId="77777777">
                              <w:tblPrEx>
                                <w:tblCellMar>
                                  <w:top w:w="0" w:type="dxa"/>
                                  <w:bottom w:w="0" w:type="dxa"/>
                                </w:tblCellMar>
                              </w:tblPrEx>
                              <w:trPr>
                                <w:trHeight w:hRule="exact" w:val="226"/>
                              </w:trPr>
                              <w:tc>
                                <w:tcPr>
                                  <w:tcW w:w="1704" w:type="dxa"/>
                                  <w:shd w:val="clear" w:color="auto" w:fill="FFFFFF"/>
                                </w:tcPr>
                                <w:p w14:paraId="228AA6C6" w14:textId="77777777" w:rsidR="00093A32" w:rsidRDefault="00093A32">
                                  <w:pPr>
                                    <w:rPr>
                                      <w:sz w:val="10"/>
                                      <w:szCs w:val="10"/>
                                    </w:rPr>
                                  </w:pPr>
                                </w:p>
                              </w:tc>
                              <w:tc>
                                <w:tcPr>
                                  <w:tcW w:w="4253" w:type="dxa"/>
                                  <w:shd w:val="clear" w:color="auto" w:fill="FFFFFF"/>
                                  <w:vAlign w:val="bottom"/>
                                </w:tcPr>
                                <w:p w14:paraId="3C2CCBF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Azitromicina o eritromicina</w:t>
                                  </w:r>
                                </w:p>
                              </w:tc>
                              <w:tc>
                                <w:tcPr>
                                  <w:tcW w:w="1574" w:type="dxa"/>
                                  <w:tcBorders>
                                    <w:left w:val="single" w:sz="4" w:space="0" w:color="auto"/>
                                  </w:tcBorders>
                                  <w:shd w:val="clear" w:color="auto" w:fill="FFFFFF"/>
                                  <w:vAlign w:val="bottom"/>
                                </w:tcPr>
                                <w:p w14:paraId="1D9A0BB1"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Meningitis</w:t>
                                  </w:r>
                                </w:p>
                              </w:tc>
                              <w:tc>
                                <w:tcPr>
                                  <w:tcW w:w="3864" w:type="dxa"/>
                                  <w:shd w:val="clear" w:color="auto" w:fill="FFFFFF"/>
                                  <w:vAlign w:val="bottom"/>
                                </w:tcPr>
                                <w:p w14:paraId="39BF3EE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1 a 2 g, IV cada 12 h; si hay meningitis,</w:t>
                                  </w:r>
                                </w:p>
                              </w:tc>
                            </w:tr>
                            <w:tr w:rsidR="00093A32" w14:paraId="66BCCAED" w14:textId="77777777">
                              <w:tblPrEx>
                                <w:tblCellMar>
                                  <w:top w:w="0" w:type="dxa"/>
                                  <w:bottom w:w="0" w:type="dxa"/>
                                </w:tblCellMar>
                              </w:tblPrEx>
                              <w:trPr>
                                <w:trHeight w:hRule="exact" w:val="1176"/>
                              </w:trPr>
                              <w:tc>
                                <w:tcPr>
                                  <w:tcW w:w="1704" w:type="dxa"/>
                                  <w:tcBorders>
                                    <w:bottom w:val="single" w:sz="4" w:space="0" w:color="auto"/>
                                  </w:tcBorders>
                                  <w:shd w:val="clear" w:color="auto" w:fill="FFFFFF"/>
                                </w:tcPr>
                                <w:p w14:paraId="6BE9F72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Conjuntivitis</w:t>
                                  </w:r>
                                  <w:r>
                                    <w:rPr>
                                      <w:rFonts w:ascii="Times New Roman" w:eastAsia="Times New Roman" w:hAnsi="Times New Roman" w:cs="Times New Roman"/>
                                      <w:sz w:val="16"/>
                                      <w:szCs w:val="16"/>
                                      <w:vertAlign w:val="superscript"/>
                                    </w:rPr>
                                    <w:t>5</w:t>
                                  </w:r>
                                </w:p>
                              </w:tc>
                              <w:tc>
                                <w:tcPr>
                                  <w:tcW w:w="4253" w:type="dxa"/>
                                  <w:tcBorders>
                                    <w:bottom w:val="single" w:sz="4" w:space="0" w:color="auto"/>
                                  </w:tcBorders>
                                  <w:shd w:val="clear" w:color="auto" w:fill="FFFFFF"/>
                                </w:tcPr>
                                <w:p w14:paraId="09BB8031"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Ceftriaxona, 50 mg/kg (dosis máxima, 1 g), IM en una sola dosis</w:t>
                                  </w:r>
                                </w:p>
                              </w:tc>
                              <w:tc>
                                <w:tcPr>
                                  <w:tcW w:w="5438" w:type="dxa"/>
                                  <w:gridSpan w:val="2"/>
                                  <w:tcBorders>
                                    <w:left w:val="single" w:sz="4" w:space="0" w:color="auto"/>
                                    <w:bottom w:val="single" w:sz="4" w:space="0" w:color="auto"/>
                                  </w:tcBorders>
                                  <w:shd w:val="clear" w:color="auto" w:fill="FFFFFF"/>
                                </w:tcPr>
                                <w:p w14:paraId="7931965D" w14:textId="77777777" w:rsidR="00093A32" w:rsidRDefault="00093A32">
                                  <w:pPr>
                                    <w:pStyle w:val="Other0"/>
                                    <w:tabs>
                                      <w:tab w:val="left" w:pos="1718"/>
                                    </w:tabs>
                                    <w:spacing w:line="283" w:lineRule="auto"/>
                                    <w:ind w:firstLine="240"/>
                                    <w:rPr>
                                      <w:sz w:val="16"/>
                                      <w:szCs w:val="16"/>
                                    </w:rPr>
                                  </w:pPr>
                                  <w:r>
                                    <w:rPr>
                                      <w:rFonts w:ascii="Times New Roman" w:eastAsia="Times New Roman" w:hAnsi="Times New Roman" w:cs="Times New Roman"/>
                                      <w:sz w:val="16"/>
                                      <w:szCs w:val="16"/>
                                    </w:rPr>
                                    <w:t>o endocarditis</w:t>
                                  </w:r>
                                  <w:r>
                                    <w:rPr>
                                      <w:rFonts w:ascii="Times New Roman" w:eastAsia="Times New Roman" w:hAnsi="Times New Roman" w:cs="Times New Roman"/>
                                      <w:sz w:val="16"/>
                                      <w:szCs w:val="16"/>
                                    </w:rPr>
                                    <w:tab/>
                                    <w:t>el tratamiento durará 10 a 14 días; si hay</w:t>
                                  </w:r>
                                </w:p>
                                <w:p w14:paraId="7E626152" w14:textId="77777777" w:rsidR="00093A32" w:rsidRDefault="00093A32">
                                  <w:pPr>
                                    <w:pStyle w:val="Other0"/>
                                    <w:tabs>
                                      <w:tab w:val="left" w:pos="1604"/>
                                    </w:tabs>
                                    <w:spacing w:line="283" w:lineRule="auto"/>
                                    <w:ind w:left="140" w:firstLine="1580"/>
                                    <w:rPr>
                                      <w:sz w:val="16"/>
                                      <w:szCs w:val="16"/>
                                    </w:rPr>
                                  </w:pPr>
                                  <w:r>
                                    <w:rPr>
                                      <w:rFonts w:ascii="Times New Roman" w:eastAsia="Times New Roman" w:hAnsi="Times New Roman" w:cs="Times New Roman"/>
                                      <w:sz w:val="16"/>
                                      <w:szCs w:val="16"/>
                                    </w:rPr>
                                    <w:t>endocarditis, durará como mínimo 28 días Conjuntivitis</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ab/>
                                    <w:t>Ceftriaxona, 1 g IM en una sola dosis</w:t>
                                  </w:r>
                                </w:p>
                                <w:p w14:paraId="1F3C8A97" w14:textId="77777777" w:rsidR="00093A32" w:rsidRDefault="00093A32">
                                  <w:pPr>
                                    <w:pStyle w:val="Other0"/>
                                    <w:tabs>
                                      <w:tab w:val="left" w:pos="1575"/>
                                    </w:tabs>
                                    <w:spacing w:line="283" w:lineRule="auto"/>
                                    <w:ind w:firstLine="140"/>
                                    <w:rPr>
                                      <w:sz w:val="16"/>
                                      <w:szCs w:val="16"/>
                                    </w:rPr>
                                  </w:pPr>
                                  <w:r>
                                    <w:rPr>
                                      <w:rFonts w:ascii="Times New Roman" w:eastAsia="Times New Roman" w:hAnsi="Times New Roman" w:cs="Times New Roman"/>
                                      <w:sz w:val="16"/>
                                      <w:szCs w:val="16"/>
                                    </w:rPr>
                                    <w:t>Enfermedad</w:t>
                                  </w:r>
                                  <w:r>
                                    <w:rPr>
                                      <w:rFonts w:ascii="Times New Roman" w:eastAsia="Times New Roman" w:hAnsi="Times New Roman" w:cs="Times New Roman"/>
                                      <w:sz w:val="16"/>
                                      <w:szCs w:val="16"/>
                                    </w:rPr>
                                    <w:tab/>
                                    <w:t>Véase cuadro 3-55</w:t>
                                  </w:r>
                                </w:p>
                                <w:p w14:paraId="709D89CF" w14:textId="77777777" w:rsidR="00093A32" w:rsidRDefault="00093A32">
                                  <w:pPr>
                                    <w:pStyle w:val="Other0"/>
                                    <w:spacing w:line="283" w:lineRule="auto"/>
                                    <w:ind w:firstLine="240"/>
                                    <w:rPr>
                                      <w:sz w:val="16"/>
                                      <w:szCs w:val="16"/>
                                    </w:rPr>
                                  </w:pPr>
                                  <w:r>
                                    <w:rPr>
                                      <w:rFonts w:ascii="Times New Roman" w:eastAsia="Times New Roman" w:hAnsi="Times New Roman" w:cs="Times New Roman"/>
                                      <w:sz w:val="16"/>
                                      <w:szCs w:val="16"/>
                                    </w:rPr>
                                    <w:t>inflamatoria pélvica</w:t>
                                  </w:r>
                                </w:p>
                              </w:tc>
                            </w:tr>
                          </w:tbl>
                          <w:p w14:paraId="73C1C255" w14:textId="77777777" w:rsidR="00093A32" w:rsidRDefault="00093A32">
                            <w:pPr>
                              <w:spacing w:line="1" w:lineRule="exact"/>
                            </w:pPr>
                          </w:p>
                        </w:txbxContent>
                      </wps:txbx>
                      <wps:bodyPr lIns="0" tIns="0" rIns="0" bIns="0"/>
                    </wps:wsp>
                  </a:graphicData>
                </a:graphic>
              </wp:anchor>
            </w:drawing>
          </mc:Choice>
          <mc:Fallback>
            <w:pict>
              <v:shape w14:anchorId="6B866E2E" id="Shape 912" o:spid="_x0000_s1029" type="#_x0000_t202" style="position:absolute;left:0;text-align:left;margin-left:31.3pt;margin-top:30pt;width:569.75pt;height:209.05pt;z-index:25166233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704"/>
                        <w:gridCol w:w="4253"/>
                        <w:gridCol w:w="1574"/>
                        <w:gridCol w:w="3864"/>
                      </w:tblGrid>
                      <w:tr w:rsidR="00093A32" w14:paraId="758B03BF" w14:textId="77777777">
                        <w:tblPrEx>
                          <w:tblCellMar>
                            <w:top w:w="0" w:type="dxa"/>
                            <w:bottom w:w="0" w:type="dxa"/>
                          </w:tblCellMar>
                        </w:tblPrEx>
                        <w:trPr>
                          <w:trHeight w:hRule="exact" w:val="283"/>
                          <w:tblHeader/>
                        </w:trPr>
                        <w:tc>
                          <w:tcPr>
                            <w:tcW w:w="1704" w:type="dxa"/>
                            <w:vMerge w:val="restart"/>
                            <w:shd w:val="clear" w:color="auto" w:fill="231F20"/>
                            <w:vAlign w:val="bottom"/>
                          </w:tcPr>
                          <w:p w14:paraId="462E093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2</w:t>
                            </w:r>
                          </w:p>
                        </w:tc>
                        <w:tc>
                          <w:tcPr>
                            <w:tcW w:w="5827" w:type="dxa"/>
                            <w:gridSpan w:val="2"/>
                            <w:shd w:val="clear" w:color="auto" w:fill="231F20"/>
                            <w:vAlign w:val="bottom"/>
                          </w:tcPr>
                          <w:p w14:paraId="6F241DE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Niños prepúberes que pesan</w:t>
                            </w:r>
                          </w:p>
                        </w:tc>
                        <w:tc>
                          <w:tcPr>
                            <w:tcW w:w="3864" w:type="dxa"/>
                            <w:vMerge w:val="restart"/>
                            <w:shd w:val="clear" w:color="auto" w:fill="231F20"/>
                          </w:tcPr>
                          <w:p w14:paraId="579B229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Pacientes que pesan 45 kg o más y que tienen ocho años o más</w:t>
                            </w:r>
                          </w:p>
                        </w:tc>
                      </w:tr>
                      <w:tr w:rsidR="00093A32" w14:paraId="75CCC155" w14:textId="77777777">
                        <w:tblPrEx>
                          <w:tblCellMar>
                            <w:top w:w="0" w:type="dxa"/>
                            <w:bottom w:w="0" w:type="dxa"/>
                          </w:tblCellMar>
                        </w:tblPrEx>
                        <w:trPr>
                          <w:trHeight w:hRule="exact" w:val="274"/>
                        </w:trPr>
                        <w:tc>
                          <w:tcPr>
                            <w:tcW w:w="1704" w:type="dxa"/>
                            <w:vMerge/>
                            <w:shd w:val="clear" w:color="auto" w:fill="231F20"/>
                            <w:vAlign w:val="bottom"/>
                          </w:tcPr>
                          <w:p w14:paraId="711BB11E" w14:textId="77777777" w:rsidR="00093A32" w:rsidRDefault="00093A32"/>
                        </w:tc>
                        <w:tc>
                          <w:tcPr>
                            <w:tcW w:w="4253" w:type="dxa"/>
                            <w:shd w:val="clear" w:color="auto" w:fill="231F20"/>
                          </w:tcPr>
                          <w:p w14:paraId="4E66BA1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menos de 45 kg</w:t>
                            </w:r>
                          </w:p>
                        </w:tc>
                        <w:tc>
                          <w:tcPr>
                            <w:tcW w:w="1574" w:type="dxa"/>
                            <w:shd w:val="clear" w:color="auto" w:fill="231F20"/>
                          </w:tcPr>
                          <w:p w14:paraId="55FEF23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Enfermedad</w:t>
                            </w:r>
                            <w:r>
                              <w:rPr>
                                <w:rFonts w:ascii="Arial" w:eastAsia="Arial" w:hAnsi="Arial" w:cs="Arial"/>
                                <w:b/>
                                <w:bCs/>
                                <w:color w:val="FFFFFF"/>
                                <w:w w:val="70"/>
                                <w:sz w:val="24"/>
                                <w:szCs w:val="24"/>
                                <w:vertAlign w:val="superscript"/>
                              </w:rPr>
                              <w:t>2</w:t>
                            </w:r>
                          </w:p>
                        </w:tc>
                        <w:tc>
                          <w:tcPr>
                            <w:tcW w:w="3864" w:type="dxa"/>
                            <w:vMerge/>
                            <w:shd w:val="clear" w:color="auto" w:fill="231F20"/>
                          </w:tcPr>
                          <w:p w14:paraId="309F9967" w14:textId="77777777" w:rsidR="00093A32" w:rsidRDefault="00093A32"/>
                        </w:tc>
                      </w:tr>
                      <w:tr w:rsidR="00093A32" w14:paraId="07EF0DF7" w14:textId="77777777">
                        <w:tblPrEx>
                          <w:tblCellMar>
                            <w:top w:w="0" w:type="dxa"/>
                            <w:bottom w:w="0" w:type="dxa"/>
                          </w:tblCellMar>
                        </w:tblPrEx>
                        <w:trPr>
                          <w:trHeight w:hRule="exact" w:val="283"/>
                        </w:trPr>
                        <w:tc>
                          <w:tcPr>
                            <w:tcW w:w="1704" w:type="dxa"/>
                            <w:shd w:val="clear" w:color="auto" w:fill="FFFFFF"/>
                            <w:vAlign w:val="bottom"/>
                          </w:tcPr>
                          <w:p w14:paraId="4B21CD9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Infección gonocócica</w:t>
                            </w:r>
                          </w:p>
                        </w:tc>
                        <w:tc>
                          <w:tcPr>
                            <w:tcW w:w="4253" w:type="dxa"/>
                            <w:shd w:val="clear" w:color="auto" w:fill="FFFFFF"/>
                            <w:vAlign w:val="bottom"/>
                          </w:tcPr>
                          <w:p w14:paraId="6AD81EE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50 mg/kg de peso al día</w:t>
                            </w:r>
                          </w:p>
                        </w:tc>
                        <w:tc>
                          <w:tcPr>
                            <w:tcW w:w="1574" w:type="dxa"/>
                            <w:tcBorders>
                              <w:left w:val="single" w:sz="4" w:space="0" w:color="auto"/>
                            </w:tcBorders>
                            <w:shd w:val="clear" w:color="auto" w:fill="FFFFFF"/>
                            <w:vAlign w:val="bottom"/>
                          </w:tcPr>
                          <w:p w14:paraId="002634A0"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Infecciones</w:t>
                            </w:r>
                          </w:p>
                        </w:tc>
                        <w:tc>
                          <w:tcPr>
                            <w:tcW w:w="3864" w:type="dxa"/>
                            <w:shd w:val="clear" w:color="auto" w:fill="FFFFFF"/>
                            <w:vAlign w:val="bottom"/>
                          </w:tcPr>
                          <w:p w14:paraId="54BD944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1 g, IV o IM una vez al día</w:t>
                            </w:r>
                          </w:p>
                        </w:tc>
                      </w:tr>
                      <w:tr w:rsidR="00093A32" w14:paraId="1D31ECB2" w14:textId="77777777">
                        <w:tblPrEx>
                          <w:tblCellMar>
                            <w:top w:w="0" w:type="dxa"/>
                            <w:bottom w:w="0" w:type="dxa"/>
                          </w:tblCellMar>
                        </w:tblPrEx>
                        <w:trPr>
                          <w:trHeight w:hRule="exact" w:val="226"/>
                        </w:trPr>
                        <w:tc>
                          <w:tcPr>
                            <w:tcW w:w="1704" w:type="dxa"/>
                            <w:shd w:val="clear" w:color="auto" w:fill="FFFFFF"/>
                            <w:vAlign w:val="bottom"/>
                          </w:tcPr>
                          <w:p w14:paraId="78F7833C"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diseminada (como el</w:t>
                            </w:r>
                          </w:p>
                        </w:tc>
                        <w:tc>
                          <w:tcPr>
                            <w:tcW w:w="4253" w:type="dxa"/>
                            <w:shd w:val="clear" w:color="auto" w:fill="FFFFFF"/>
                            <w:vAlign w:val="bottom"/>
                          </w:tcPr>
                          <w:p w14:paraId="4A729214"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(máximo 1 g/día) por vías IV o IM</w:t>
                            </w:r>
                          </w:p>
                        </w:tc>
                        <w:tc>
                          <w:tcPr>
                            <w:tcW w:w="1574" w:type="dxa"/>
                            <w:tcBorders>
                              <w:left w:val="single" w:sz="4" w:space="0" w:color="auto"/>
                            </w:tcBorders>
                            <w:shd w:val="clear" w:color="auto" w:fill="FFFFFF"/>
                            <w:vAlign w:val="bottom"/>
                          </w:tcPr>
                          <w:p w14:paraId="285AD7B8"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gonocócicas</w:t>
                            </w:r>
                          </w:p>
                        </w:tc>
                        <w:tc>
                          <w:tcPr>
                            <w:tcW w:w="3864" w:type="dxa"/>
                            <w:shd w:val="clear" w:color="auto" w:fill="FFFFFF"/>
                            <w:vAlign w:val="bottom"/>
                          </w:tcPr>
                          <w:p w14:paraId="40126823"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durante 7 días</w:t>
                            </w:r>
                            <w:r>
                              <w:rPr>
                                <w:rFonts w:ascii="Times New Roman" w:eastAsia="Times New Roman" w:hAnsi="Times New Roman" w:cs="Times New Roman"/>
                                <w:sz w:val="16"/>
                                <w:szCs w:val="16"/>
                                <w:vertAlign w:val="superscript"/>
                              </w:rPr>
                              <w:t>4</w:t>
                            </w:r>
                          </w:p>
                        </w:tc>
                      </w:tr>
                      <w:tr w:rsidR="00093A32" w14:paraId="04AB7750" w14:textId="77777777">
                        <w:tblPrEx>
                          <w:tblCellMar>
                            <w:top w:w="0" w:type="dxa"/>
                            <w:bottom w:w="0" w:type="dxa"/>
                          </w:tblCellMar>
                        </w:tblPrEx>
                        <w:trPr>
                          <w:trHeight w:hRule="exact" w:val="202"/>
                        </w:trPr>
                        <w:tc>
                          <w:tcPr>
                            <w:tcW w:w="1704" w:type="dxa"/>
                            <w:shd w:val="clear" w:color="auto" w:fill="FFFFFF"/>
                          </w:tcPr>
                          <w:p w14:paraId="1F52244F"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síndrome de artritis-</w:t>
                            </w:r>
                          </w:p>
                        </w:tc>
                        <w:tc>
                          <w:tcPr>
                            <w:tcW w:w="4253" w:type="dxa"/>
                            <w:shd w:val="clear" w:color="auto" w:fill="FFFFFF"/>
                          </w:tcPr>
                          <w:p w14:paraId="2D47B4A8"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una vez al día durante 7 días</w:t>
                            </w:r>
                          </w:p>
                        </w:tc>
                        <w:tc>
                          <w:tcPr>
                            <w:tcW w:w="1574" w:type="dxa"/>
                            <w:tcBorders>
                              <w:left w:val="single" w:sz="4" w:space="0" w:color="auto"/>
                            </w:tcBorders>
                            <w:shd w:val="clear" w:color="auto" w:fill="FFFFFF"/>
                          </w:tcPr>
                          <w:p w14:paraId="32EA4F39"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diseminadas</w:t>
                            </w:r>
                            <w:r>
                              <w:rPr>
                                <w:rFonts w:ascii="Times New Roman" w:eastAsia="Times New Roman" w:hAnsi="Times New Roman" w:cs="Times New Roman"/>
                                <w:sz w:val="16"/>
                                <w:szCs w:val="16"/>
                                <w:vertAlign w:val="superscript"/>
                              </w:rPr>
                              <w:t>3</w:t>
                            </w:r>
                          </w:p>
                        </w:tc>
                        <w:tc>
                          <w:tcPr>
                            <w:tcW w:w="3864" w:type="dxa"/>
                            <w:shd w:val="clear" w:color="auto" w:fill="FFFFFF"/>
                          </w:tcPr>
                          <w:p w14:paraId="61EE0E67" w14:textId="77777777" w:rsidR="00093A32" w:rsidRDefault="00093A32">
                            <w:pPr>
                              <w:pStyle w:val="Other0"/>
                              <w:spacing w:line="240" w:lineRule="auto"/>
                              <w:ind w:left="1480" w:firstLine="0"/>
                              <w:rPr>
                                <w:sz w:val="16"/>
                                <w:szCs w:val="16"/>
                              </w:rPr>
                            </w:pPr>
                            <w:r>
                              <w:rPr>
                                <w:rFonts w:ascii="Times New Roman" w:eastAsia="Times New Roman" w:hAnsi="Times New Roman" w:cs="Times New Roman"/>
                                <w:b/>
                                <w:bCs/>
                                <w:sz w:val="16"/>
                                <w:szCs w:val="16"/>
                              </w:rPr>
                              <w:t>O</w:t>
                            </w:r>
                          </w:p>
                        </w:tc>
                      </w:tr>
                      <w:tr w:rsidR="00093A32" w14:paraId="700F1001" w14:textId="77777777">
                        <w:tblPrEx>
                          <w:tblCellMar>
                            <w:top w:w="0" w:type="dxa"/>
                            <w:bottom w:w="0" w:type="dxa"/>
                          </w:tblCellMar>
                        </w:tblPrEx>
                        <w:trPr>
                          <w:trHeight w:hRule="exact" w:val="427"/>
                        </w:trPr>
                        <w:tc>
                          <w:tcPr>
                            <w:tcW w:w="1704" w:type="dxa"/>
                            <w:shd w:val="clear" w:color="auto" w:fill="FFFFFF"/>
                          </w:tcPr>
                          <w:p w14:paraId="410CEF23"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dermatitis)</w:t>
                            </w:r>
                          </w:p>
                        </w:tc>
                        <w:tc>
                          <w:tcPr>
                            <w:tcW w:w="4253" w:type="dxa"/>
                            <w:shd w:val="clear" w:color="auto" w:fill="FFFFFF"/>
                          </w:tcPr>
                          <w:p w14:paraId="283ED899" w14:textId="77777777" w:rsidR="00093A32" w:rsidRDefault="00093A32">
                            <w:pPr>
                              <w:pStyle w:val="Other0"/>
                              <w:spacing w:line="240" w:lineRule="auto"/>
                              <w:ind w:firstLine="960"/>
                            </w:pPr>
                            <w:r>
                              <w:rPr>
                                <w:rFonts w:ascii="Times New Roman" w:eastAsia="Times New Roman" w:hAnsi="Times New Roman" w:cs="Times New Roman"/>
                                <w:b/>
                                <w:bCs/>
                                <w:sz w:val="16"/>
                                <w:szCs w:val="16"/>
                              </w:rPr>
                              <w:t>Y ADEMAS</w:t>
                            </w:r>
                            <w:r>
                              <w:rPr>
                                <w:vertAlign w:val="superscript"/>
                              </w:rPr>
                              <w:t>1</w:t>
                            </w:r>
                          </w:p>
                          <w:p w14:paraId="0E0838F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Azitromicina o eritromicina</w:t>
                            </w:r>
                          </w:p>
                        </w:tc>
                        <w:tc>
                          <w:tcPr>
                            <w:tcW w:w="1574" w:type="dxa"/>
                            <w:tcBorders>
                              <w:left w:val="single" w:sz="4" w:space="0" w:color="auto"/>
                            </w:tcBorders>
                            <w:shd w:val="clear" w:color="auto" w:fill="FFFFFF"/>
                          </w:tcPr>
                          <w:p w14:paraId="6C7EAF07" w14:textId="77777777" w:rsidR="00093A32" w:rsidRDefault="00093A32">
                            <w:pPr>
                              <w:rPr>
                                <w:sz w:val="10"/>
                                <w:szCs w:val="10"/>
                              </w:rPr>
                            </w:pPr>
                          </w:p>
                        </w:tc>
                        <w:tc>
                          <w:tcPr>
                            <w:tcW w:w="3864" w:type="dxa"/>
                            <w:shd w:val="clear" w:color="auto" w:fill="FFFFFF"/>
                          </w:tcPr>
                          <w:p w14:paraId="530D821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Cefotaxima, 1 g, IV cada 8 h durante 7 días</w:t>
                            </w:r>
                            <w:r>
                              <w:rPr>
                                <w:rFonts w:ascii="Times New Roman" w:eastAsia="Times New Roman" w:hAnsi="Times New Roman" w:cs="Times New Roman"/>
                                <w:sz w:val="16"/>
                                <w:szCs w:val="16"/>
                                <w:vertAlign w:val="superscript"/>
                              </w:rPr>
                              <w:t>4</w:t>
                            </w:r>
                          </w:p>
                          <w:p w14:paraId="4843E759" w14:textId="77777777" w:rsidR="00093A32" w:rsidRDefault="00093A32">
                            <w:pPr>
                              <w:pStyle w:val="Other0"/>
                              <w:spacing w:line="240" w:lineRule="auto"/>
                              <w:ind w:left="1140" w:firstLine="0"/>
                            </w:pPr>
                            <w:r>
                              <w:rPr>
                                <w:rFonts w:ascii="Times New Roman" w:eastAsia="Times New Roman" w:hAnsi="Times New Roman" w:cs="Times New Roman"/>
                                <w:b/>
                                <w:bCs/>
                                <w:sz w:val="16"/>
                                <w:szCs w:val="16"/>
                              </w:rPr>
                              <w:t>Y ADEMAS</w:t>
                            </w:r>
                            <w:r>
                              <w:rPr>
                                <w:vertAlign w:val="superscript"/>
                              </w:rPr>
                              <w:t>1</w:t>
                            </w:r>
                          </w:p>
                        </w:tc>
                      </w:tr>
                      <w:tr w:rsidR="00093A32" w14:paraId="36FBCBE2" w14:textId="77777777">
                        <w:tblPrEx>
                          <w:tblCellMar>
                            <w:top w:w="0" w:type="dxa"/>
                            <w:bottom w:w="0" w:type="dxa"/>
                          </w:tblCellMar>
                        </w:tblPrEx>
                        <w:trPr>
                          <w:trHeight w:hRule="exact" w:val="235"/>
                        </w:trPr>
                        <w:tc>
                          <w:tcPr>
                            <w:tcW w:w="1704" w:type="dxa"/>
                            <w:shd w:val="clear" w:color="auto" w:fill="FFFFFF"/>
                            <w:vAlign w:val="bottom"/>
                          </w:tcPr>
                          <w:p w14:paraId="0CE5EBE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Meningitis</w:t>
                            </w:r>
                          </w:p>
                        </w:tc>
                        <w:tc>
                          <w:tcPr>
                            <w:tcW w:w="4253" w:type="dxa"/>
                            <w:shd w:val="clear" w:color="auto" w:fill="FFFFFF"/>
                            <w:vAlign w:val="bottom"/>
                          </w:tcPr>
                          <w:p w14:paraId="6B98BCC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50 mg/kg de peso al día (máximo 2 g/día)</w:t>
                            </w:r>
                          </w:p>
                        </w:tc>
                        <w:tc>
                          <w:tcPr>
                            <w:tcW w:w="1574" w:type="dxa"/>
                            <w:tcBorders>
                              <w:left w:val="single" w:sz="4" w:space="0" w:color="auto"/>
                            </w:tcBorders>
                            <w:shd w:val="clear" w:color="auto" w:fill="FFFFFF"/>
                          </w:tcPr>
                          <w:p w14:paraId="5D8F551E" w14:textId="77777777" w:rsidR="00093A32" w:rsidRDefault="00093A32">
                            <w:pPr>
                              <w:rPr>
                                <w:sz w:val="10"/>
                                <w:szCs w:val="10"/>
                              </w:rPr>
                            </w:pPr>
                          </w:p>
                        </w:tc>
                        <w:tc>
                          <w:tcPr>
                            <w:tcW w:w="3864" w:type="dxa"/>
                            <w:shd w:val="clear" w:color="auto" w:fill="FFFFFF"/>
                            <w:vAlign w:val="bottom"/>
                          </w:tcPr>
                          <w:p w14:paraId="5EC1418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Azitromicina, 1 g ingerido en una sola dosis</w:t>
                            </w:r>
                          </w:p>
                        </w:tc>
                      </w:tr>
                      <w:tr w:rsidR="00093A32" w14:paraId="6D063776" w14:textId="77777777">
                        <w:tblPrEx>
                          <w:tblCellMar>
                            <w:top w:w="0" w:type="dxa"/>
                            <w:bottom w:w="0" w:type="dxa"/>
                          </w:tblCellMar>
                        </w:tblPrEx>
                        <w:trPr>
                          <w:trHeight w:hRule="exact" w:val="850"/>
                        </w:trPr>
                        <w:tc>
                          <w:tcPr>
                            <w:tcW w:w="1704" w:type="dxa"/>
                            <w:shd w:val="clear" w:color="auto" w:fill="FFFFFF"/>
                          </w:tcPr>
                          <w:p w14:paraId="74C96FE5"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o endocarditis</w:t>
                            </w:r>
                          </w:p>
                        </w:tc>
                        <w:tc>
                          <w:tcPr>
                            <w:tcW w:w="4253" w:type="dxa"/>
                            <w:shd w:val="clear" w:color="auto" w:fill="FFFFFF"/>
                          </w:tcPr>
                          <w:p w14:paraId="6ED69960" w14:textId="77777777" w:rsidR="00093A32" w:rsidRDefault="00093A32">
                            <w:pPr>
                              <w:pStyle w:val="Other0"/>
                              <w:spacing w:line="283" w:lineRule="auto"/>
                              <w:ind w:left="180"/>
                              <w:rPr>
                                <w:sz w:val="16"/>
                                <w:szCs w:val="16"/>
                              </w:rPr>
                            </w:pPr>
                            <w:r>
                              <w:rPr>
                                <w:rFonts w:ascii="Times New Roman" w:eastAsia="Times New Roman" w:hAnsi="Times New Roman" w:cs="Times New Roman"/>
                                <w:sz w:val="16"/>
                                <w:szCs w:val="16"/>
                              </w:rPr>
                              <w:t>IV o IM, aplicadas cada 12 h; en el caso de meningitis, el ciclo dura 10 a 14 días; si hay endocarditis, el ciclo durará como mínimo 28 días</w:t>
                            </w:r>
                          </w:p>
                          <w:p w14:paraId="39C6FB60" w14:textId="77777777" w:rsidR="00093A32" w:rsidRDefault="00093A32">
                            <w:pPr>
                              <w:pStyle w:val="Other0"/>
                              <w:spacing w:line="283" w:lineRule="auto"/>
                              <w:ind w:firstLine="960"/>
                            </w:pPr>
                            <w:r>
                              <w:rPr>
                                <w:rFonts w:ascii="Times New Roman" w:eastAsia="Times New Roman" w:hAnsi="Times New Roman" w:cs="Times New Roman"/>
                                <w:b/>
                                <w:bCs/>
                                <w:sz w:val="16"/>
                                <w:szCs w:val="16"/>
                              </w:rPr>
                              <w:t>Y ADEMAS</w:t>
                            </w:r>
                            <w:r>
                              <w:rPr>
                                <w:vertAlign w:val="superscript"/>
                              </w:rPr>
                              <w:t>1</w:t>
                            </w:r>
                          </w:p>
                        </w:tc>
                        <w:tc>
                          <w:tcPr>
                            <w:tcW w:w="1574" w:type="dxa"/>
                            <w:tcBorders>
                              <w:left w:val="single" w:sz="4" w:space="0" w:color="auto"/>
                            </w:tcBorders>
                            <w:shd w:val="clear" w:color="auto" w:fill="FFFFFF"/>
                          </w:tcPr>
                          <w:p w14:paraId="21A66353" w14:textId="77777777" w:rsidR="00093A32" w:rsidRDefault="00093A32">
                            <w:pPr>
                              <w:rPr>
                                <w:sz w:val="10"/>
                                <w:szCs w:val="10"/>
                              </w:rPr>
                            </w:pPr>
                          </w:p>
                        </w:tc>
                        <w:tc>
                          <w:tcPr>
                            <w:tcW w:w="3864" w:type="dxa"/>
                            <w:shd w:val="clear" w:color="auto" w:fill="FFFFFF"/>
                          </w:tcPr>
                          <w:p w14:paraId="073D2BA4" w14:textId="77777777" w:rsidR="00093A32" w:rsidRDefault="00093A32">
                            <w:pPr>
                              <w:pStyle w:val="Other0"/>
                              <w:spacing w:line="283" w:lineRule="auto"/>
                              <w:ind w:left="1480" w:firstLine="0"/>
                              <w:rPr>
                                <w:sz w:val="16"/>
                                <w:szCs w:val="16"/>
                              </w:rPr>
                            </w:pPr>
                            <w:r>
                              <w:rPr>
                                <w:rFonts w:ascii="Times New Roman" w:eastAsia="Times New Roman" w:hAnsi="Times New Roman" w:cs="Times New Roman"/>
                                <w:b/>
                                <w:bCs/>
                                <w:sz w:val="16"/>
                                <w:szCs w:val="16"/>
                              </w:rPr>
                              <w:t>O</w:t>
                            </w:r>
                          </w:p>
                          <w:p w14:paraId="50BFE6CD" w14:textId="77777777" w:rsidR="00093A32" w:rsidRDefault="00093A32">
                            <w:pPr>
                              <w:pStyle w:val="Other0"/>
                              <w:spacing w:line="283" w:lineRule="auto"/>
                              <w:ind w:left="140" w:hanging="140"/>
                              <w:rPr>
                                <w:sz w:val="16"/>
                                <w:szCs w:val="16"/>
                              </w:rPr>
                            </w:pPr>
                            <w:r>
                              <w:rPr>
                                <w:rFonts w:ascii="Times New Roman" w:eastAsia="Times New Roman" w:hAnsi="Times New Roman" w:cs="Times New Roman"/>
                                <w:sz w:val="16"/>
                                <w:szCs w:val="16"/>
                              </w:rPr>
                              <w:t>Doxiciclina, 100 mg ingeridos dos veces al día durante 7 días</w:t>
                            </w:r>
                          </w:p>
                        </w:tc>
                      </w:tr>
                      <w:tr w:rsidR="00093A32" w14:paraId="78DDB15B" w14:textId="77777777">
                        <w:tblPrEx>
                          <w:tblCellMar>
                            <w:top w:w="0" w:type="dxa"/>
                            <w:bottom w:w="0" w:type="dxa"/>
                          </w:tblCellMar>
                        </w:tblPrEx>
                        <w:trPr>
                          <w:trHeight w:hRule="exact" w:val="226"/>
                        </w:trPr>
                        <w:tc>
                          <w:tcPr>
                            <w:tcW w:w="1704" w:type="dxa"/>
                            <w:shd w:val="clear" w:color="auto" w:fill="FFFFFF"/>
                          </w:tcPr>
                          <w:p w14:paraId="228AA6C6" w14:textId="77777777" w:rsidR="00093A32" w:rsidRDefault="00093A32">
                            <w:pPr>
                              <w:rPr>
                                <w:sz w:val="10"/>
                                <w:szCs w:val="10"/>
                              </w:rPr>
                            </w:pPr>
                          </w:p>
                        </w:tc>
                        <w:tc>
                          <w:tcPr>
                            <w:tcW w:w="4253" w:type="dxa"/>
                            <w:shd w:val="clear" w:color="auto" w:fill="FFFFFF"/>
                            <w:vAlign w:val="bottom"/>
                          </w:tcPr>
                          <w:p w14:paraId="3C2CCBF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Azitromicina o eritromicina</w:t>
                            </w:r>
                          </w:p>
                        </w:tc>
                        <w:tc>
                          <w:tcPr>
                            <w:tcW w:w="1574" w:type="dxa"/>
                            <w:tcBorders>
                              <w:left w:val="single" w:sz="4" w:space="0" w:color="auto"/>
                            </w:tcBorders>
                            <w:shd w:val="clear" w:color="auto" w:fill="FFFFFF"/>
                            <w:vAlign w:val="bottom"/>
                          </w:tcPr>
                          <w:p w14:paraId="1D9A0BB1"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Meningitis</w:t>
                            </w:r>
                          </w:p>
                        </w:tc>
                        <w:tc>
                          <w:tcPr>
                            <w:tcW w:w="3864" w:type="dxa"/>
                            <w:shd w:val="clear" w:color="auto" w:fill="FFFFFF"/>
                            <w:vAlign w:val="bottom"/>
                          </w:tcPr>
                          <w:p w14:paraId="39BF3EE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Ceftriaxona, 1 a 2 g, IV cada 12 h; si hay meningitis,</w:t>
                            </w:r>
                          </w:p>
                        </w:tc>
                      </w:tr>
                      <w:tr w:rsidR="00093A32" w14:paraId="66BCCAED" w14:textId="77777777">
                        <w:tblPrEx>
                          <w:tblCellMar>
                            <w:top w:w="0" w:type="dxa"/>
                            <w:bottom w:w="0" w:type="dxa"/>
                          </w:tblCellMar>
                        </w:tblPrEx>
                        <w:trPr>
                          <w:trHeight w:hRule="exact" w:val="1176"/>
                        </w:trPr>
                        <w:tc>
                          <w:tcPr>
                            <w:tcW w:w="1704" w:type="dxa"/>
                            <w:tcBorders>
                              <w:bottom w:val="single" w:sz="4" w:space="0" w:color="auto"/>
                            </w:tcBorders>
                            <w:shd w:val="clear" w:color="auto" w:fill="FFFFFF"/>
                          </w:tcPr>
                          <w:p w14:paraId="6BE9F72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Conjuntivitis</w:t>
                            </w:r>
                            <w:r>
                              <w:rPr>
                                <w:rFonts w:ascii="Times New Roman" w:eastAsia="Times New Roman" w:hAnsi="Times New Roman" w:cs="Times New Roman"/>
                                <w:sz w:val="16"/>
                                <w:szCs w:val="16"/>
                                <w:vertAlign w:val="superscript"/>
                              </w:rPr>
                              <w:t>5</w:t>
                            </w:r>
                          </w:p>
                        </w:tc>
                        <w:tc>
                          <w:tcPr>
                            <w:tcW w:w="4253" w:type="dxa"/>
                            <w:tcBorders>
                              <w:bottom w:val="single" w:sz="4" w:space="0" w:color="auto"/>
                            </w:tcBorders>
                            <w:shd w:val="clear" w:color="auto" w:fill="FFFFFF"/>
                          </w:tcPr>
                          <w:p w14:paraId="09BB8031"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Ceftriaxona, 50 mg/kg (dosis máxima, 1 g), IM en una sola dosis</w:t>
                            </w:r>
                          </w:p>
                        </w:tc>
                        <w:tc>
                          <w:tcPr>
                            <w:tcW w:w="5438" w:type="dxa"/>
                            <w:gridSpan w:val="2"/>
                            <w:tcBorders>
                              <w:left w:val="single" w:sz="4" w:space="0" w:color="auto"/>
                              <w:bottom w:val="single" w:sz="4" w:space="0" w:color="auto"/>
                            </w:tcBorders>
                            <w:shd w:val="clear" w:color="auto" w:fill="FFFFFF"/>
                          </w:tcPr>
                          <w:p w14:paraId="7931965D" w14:textId="77777777" w:rsidR="00093A32" w:rsidRDefault="00093A32">
                            <w:pPr>
                              <w:pStyle w:val="Other0"/>
                              <w:tabs>
                                <w:tab w:val="left" w:pos="1718"/>
                              </w:tabs>
                              <w:spacing w:line="283" w:lineRule="auto"/>
                              <w:ind w:firstLine="240"/>
                              <w:rPr>
                                <w:sz w:val="16"/>
                                <w:szCs w:val="16"/>
                              </w:rPr>
                            </w:pPr>
                            <w:r>
                              <w:rPr>
                                <w:rFonts w:ascii="Times New Roman" w:eastAsia="Times New Roman" w:hAnsi="Times New Roman" w:cs="Times New Roman"/>
                                <w:sz w:val="16"/>
                                <w:szCs w:val="16"/>
                              </w:rPr>
                              <w:t>o endocarditis</w:t>
                            </w:r>
                            <w:r>
                              <w:rPr>
                                <w:rFonts w:ascii="Times New Roman" w:eastAsia="Times New Roman" w:hAnsi="Times New Roman" w:cs="Times New Roman"/>
                                <w:sz w:val="16"/>
                                <w:szCs w:val="16"/>
                              </w:rPr>
                              <w:tab/>
                              <w:t>el tratamiento durará 10 a 14 días; si hay</w:t>
                            </w:r>
                          </w:p>
                          <w:p w14:paraId="7E626152" w14:textId="77777777" w:rsidR="00093A32" w:rsidRDefault="00093A32">
                            <w:pPr>
                              <w:pStyle w:val="Other0"/>
                              <w:tabs>
                                <w:tab w:val="left" w:pos="1604"/>
                              </w:tabs>
                              <w:spacing w:line="283" w:lineRule="auto"/>
                              <w:ind w:left="140" w:firstLine="1580"/>
                              <w:rPr>
                                <w:sz w:val="16"/>
                                <w:szCs w:val="16"/>
                              </w:rPr>
                            </w:pPr>
                            <w:r>
                              <w:rPr>
                                <w:rFonts w:ascii="Times New Roman" w:eastAsia="Times New Roman" w:hAnsi="Times New Roman" w:cs="Times New Roman"/>
                                <w:sz w:val="16"/>
                                <w:szCs w:val="16"/>
                              </w:rPr>
                              <w:t>endocarditis, durará como mínimo 28 días Conjuntivitis</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ab/>
                              <w:t>Ceftriaxona, 1 g IM en una sola dosis</w:t>
                            </w:r>
                          </w:p>
                          <w:p w14:paraId="1F3C8A97" w14:textId="77777777" w:rsidR="00093A32" w:rsidRDefault="00093A32">
                            <w:pPr>
                              <w:pStyle w:val="Other0"/>
                              <w:tabs>
                                <w:tab w:val="left" w:pos="1575"/>
                              </w:tabs>
                              <w:spacing w:line="283" w:lineRule="auto"/>
                              <w:ind w:firstLine="140"/>
                              <w:rPr>
                                <w:sz w:val="16"/>
                                <w:szCs w:val="16"/>
                              </w:rPr>
                            </w:pPr>
                            <w:r>
                              <w:rPr>
                                <w:rFonts w:ascii="Times New Roman" w:eastAsia="Times New Roman" w:hAnsi="Times New Roman" w:cs="Times New Roman"/>
                                <w:sz w:val="16"/>
                                <w:szCs w:val="16"/>
                              </w:rPr>
                              <w:t>Enfermedad</w:t>
                            </w:r>
                            <w:r>
                              <w:rPr>
                                <w:rFonts w:ascii="Times New Roman" w:eastAsia="Times New Roman" w:hAnsi="Times New Roman" w:cs="Times New Roman"/>
                                <w:sz w:val="16"/>
                                <w:szCs w:val="16"/>
                              </w:rPr>
                              <w:tab/>
                              <w:t>Véase cuadro 3-55</w:t>
                            </w:r>
                          </w:p>
                          <w:p w14:paraId="709D89CF" w14:textId="77777777" w:rsidR="00093A32" w:rsidRDefault="00093A32">
                            <w:pPr>
                              <w:pStyle w:val="Other0"/>
                              <w:spacing w:line="283" w:lineRule="auto"/>
                              <w:ind w:firstLine="240"/>
                              <w:rPr>
                                <w:sz w:val="16"/>
                                <w:szCs w:val="16"/>
                              </w:rPr>
                            </w:pPr>
                            <w:r>
                              <w:rPr>
                                <w:rFonts w:ascii="Times New Roman" w:eastAsia="Times New Roman" w:hAnsi="Times New Roman" w:cs="Times New Roman"/>
                                <w:sz w:val="16"/>
                                <w:szCs w:val="16"/>
                              </w:rPr>
                              <w:t>inflamatoria pélvica</w:t>
                            </w:r>
                          </w:p>
                        </w:tc>
                      </w:tr>
                    </w:tbl>
                    <w:p w14:paraId="73C1C255" w14:textId="77777777" w:rsidR="00093A32" w:rsidRDefault="00093A32">
                      <w:pPr>
                        <w:spacing w:line="1" w:lineRule="exact"/>
                      </w:pPr>
                    </w:p>
                  </w:txbxContent>
                </v:textbox>
                <w10:wrap type="topAndBottom" anchorx="page" anchory="margin"/>
              </v:shape>
            </w:pict>
          </mc:Fallback>
        </mc:AlternateContent>
      </w:r>
      <w:r>
        <w:rPr>
          <w:noProof/>
        </w:rPr>
        <mc:AlternateContent>
          <mc:Choice Requires="wps">
            <w:drawing>
              <wp:anchor distT="0" distB="0" distL="114300" distR="114300" simplePos="0" relativeHeight="251663360" behindDoc="0" locked="0" layoutInCell="1" allowOverlap="1" wp14:anchorId="1F8BDCCB" wp14:editId="53A22020">
                <wp:simplePos x="0" y="0"/>
                <wp:positionH relativeFrom="page">
                  <wp:posOffset>7856220</wp:posOffset>
                </wp:positionH>
                <wp:positionV relativeFrom="margin">
                  <wp:posOffset>-3175</wp:posOffset>
                </wp:positionV>
                <wp:extent cx="115570" cy="2822575"/>
                <wp:effectExtent l="0" t="0" r="0" b="0"/>
                <wp:wrapSquare wrapText="bothSides"/>
                <wp:docPr id="914" name="Shape 914"/>
                <wp:cNvGraphicFramePr/>
                <a:graphic xmlns:a="http://schemas.openxmlformats.org/drawingml/2006/main">
                  <a:graphicData uri="http://schemas.microsoft.com/office/word/2010/wordprocessingShape">
                    <wps:wsp>
                      <wps:cNvSpPr txBox="1"/>
                      <wps:spPr>
                        <a:xfrm>
                          <a:off x="0" y="0"/>
                          <a:ext cx="115570" cy="2822575"/>
                        </a:xfrm>
                        <a:prstGeom prst="rect">
                          <a:avLst/>
                        </a:prstGeom>
                        <a:noFill/>
                      </wps:spPr>
                      <wps:txbx>
                        <w:txbxContent>
                          <w:p w14:paraId="7085ACF6" w14:textId="77777777" w:rsidR="00093A32" w:rsidRDefault="00093A32">
                            <w:pPr>
                              <w:pStyle w:val="Bodytext80"/>
                              <w:tabs>
                                <w:tab w:val="left" w:pos="2419"/>
                              </w:tabs>
                            </w:pPr>
                            <w:r>
                              <w:rPr>
                                <w:sz w:val="16"/>
                                <w:szCs w:val="16"/>
                              </w:rPr>
                              <w:t>354</w:t>
                            </w:r>
                            <w:r>
                              <w:rPr>
                                <w:sz w:val="16"/>
                                <w:szCs w:val="16"/>
                              </w:rPr>
                              <w:tab/>
                            </w:r>
                            <w:r>
                              <w:t>GONOCOCOS, INFECCIONES</w:t>
                            </w:r>
                          </w:p>
                        </w:txbxContent>
                      </wps:txbx>
                      <wps:bodyPr vert="vert" lIns="0" tIns="0" rIns="0" bIns="0" upright="1"/>
                    </wps:wsp>
                  </a:graphicData>
                </a:graphic>
              </wp:anchor>
            </w:drawing>
          </mc:Choice>
          <mc:Fallback>
            <w:pict>
              <v:shape w14:anchorId="1F8BDCCB" id="Shape 914" o:spid="_x0000_s1030" type="#_x0000_t202" style="position:absolute;left:0;text-align:left;margin-left:618.6pt;margin-top:-.25pt;width:9.1pt;height:222.25pt;z-index:251663360;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" filled="f" stroked="f">
                <v:textbox style="layout-flow:vertical" inset="0,0,0,0">
                  <w:txbxContent>
                    <w:p w14:paraId="7085ACF6" w14:textId="77777777" w:rsidR="00093A32" w:rsidRDefault="00093A32">
                      <w:pPr>
                        <w:pStyle w:val="Bodytext80"/>
                        <w:tabs>
                          <w:tab w:val="left" w:pos="2419"/>
                        </w:tabs>
                      </w:pPr>
                      <w:r>
                        <w:rPr>
                          <w:sz w:val="16"/>
                          <w:szCs w:val="16"/>
                        </w:rPr>
                        <w:t>354</w:t>
                      </w:r>
                      <w:r>
                        <w:rPr>
                          <w:sz w:val="16"/>
                          <w:szCs w:val="16"/>
                        </w:rPr>
                        <w:tab/>
                      </w:r>
                      <w:r>
                        <w:t>GONOCOCOS, INFECCIONES</w:t>
                      </w:r>
                    </w:p>
                  </w:txbxContent>
                </v:textbox>
                <w10:wrap type="square" anchorx="page" anchory="margin"/>
              </v:shape>
            </w:pict>
          </mc:Fallback>
        </mc:AlternateContent>
      </w:r>
      <w:bookmarkStart w:id="116" w:name="bookmark722"/>
      <w:bookmarkStart w:id="117" w:name="bookmark723"/>
      <w:bookmarkStart w:id="118" w:name="bookmark724"/>
      <w:r>
        <w:rPr>
          <w:b w:val="0"/>
          <w:bCs w:val="0"/>
        </w:rPr>
        <w:t xml:space="preserve">Cuadro 3-17. </w:t>
      </w:r>
      <w:r>
        <w:t>Infección gonocócica no complicada: tratamiento de niños que han rebasado</w:t>
      </w:r>
      <w:r>
        <w:br/>
        <w:t>el periodo neonatal, y de adolescentes</w:t>
      </w:r>
      <w:r>
        <w:rPr>
          <w:vertAlign w:val="superscript"/>
        </w:rPr>
        <w:t>1</w:t>
      </w:r>
      <w:bookmarkEnd w:id="116"/>
      <w:bookmarkEnd w:id="117"/>
      <w:bookmarkEnd w:id="118"/>
      <w:r>
        <w:rPr>
          <w:vertAlign w:val="superscript"/>
        </w:rPr>
        <w:t xml:space="preserve"> </w:t>
      </w:r>
      <w:r>
        <w:rPr>
          <w:vertAlign w:val="superscript"/>
        </w:rPr>
        <w:footnoteReference w:id="11"/>
      </w:r>
    </w:p>
    <w:p w14:paraId="0F1A7909" w14:textId="77777777" w:rsidR="00093A32" w:rsidRDefault="00093A32">
      <w:pPr>
        <w:pStyle w:val="BodyText"/>
        <w:spacing w:before="220"/>
        <w:ind w:firstLine="360"/>
      </w:pPr>
      <w:r>
        <w:rPr>
          <w:rFonts w:ascii="Arial" w:eastAsia="Arial" w:hAnsi="Arial" w:cs="Arial"/>
          <w:b/>
          <w:bCs/>
          <w:i/>
          <w:iCs/>
          <w:sz w:val="15"/>
          <w:szCs w:val="15"/>
        </w:rPr>
        <w:t>Epididimitis aguda.</w:t>
      </w:r>
      <w:r>
        <w:t xml:space="preserve"> Los microorganismos transmitidos por contacto sexual, como </w:t>
      </w:r>
      <w:r>
        <w:rPr>
          <w:rFonts w:ascii="Times New Roman" w:eastAsia="Times New Roman" w:hAnsi="Times New Roman" w:cs="Times New Roman"/>
          <w:i/>
          <w:iCs/>
          <w:sz w:val="16"/>
          <w:szCs w:val="16"/>
        </w:rPr>
        <w:t>N. gonorrhoeae</w:t>
      </w:r>
      <w:r>
        <w:t xml:space="preserve"> o </w:t>
      </w:r>
      <w:r>
        <w:rPr>
          <w:rFonts w:ascii="Times New Roman" w:eastAsia="Times New Roman" w:hAnsi="Times New Roman" w:cs="Times New Roman"/>
          <w:i/>
          <w:iCs/>
          <w:sz w:val="16"/>
          <w:szCs w:val="16"/>
        </w:rPr>
        <w:t>C. trachomatis,</w:t>
      </w:r>
      <w:r>
        <w:t xml:space="preserve"> pueden ocasionar epididimitis aguda en adolescentes sexualmente activos y adultos jóvenes, pero rara vez causan dicho cuadro en niños prepúberes. El régimen recomendado en estos casos es la combinación de ceftriaxona y además eritromicina, azitromicina o doxiciclina, según la edad del paciente (véase cuadro 3-16).</w:t>
      </w:r>
    </w:p>
    <w:p w14:paraId="05A21288" w14:textId="77777777" w:rsidR="00093A32" w:rsidRDefault="00093A32">
      <w:pPr>
        <w:pStyle w:val="BodyText"/>
        <w:spacing w:after="240"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inclusive para neonatos con oftalmía.</w:t>
      </w:r>
    </w:p>
    <w:p w14:paraId="35ADB117"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636F9658" w14:textId="77777777" w:rsidR="00093A32" w:rsidRDefault="00093A32">
      <w:pPr>
        <w:pStyle w:val="BodyText"/>
        <w:spacing w:line="276" w:lineRule="auto"/>
        <w:ind w:firstLine="0"/>
      </w:pPr>
      <w:r>
        <w:rPr>
          <w:rFonts w:ascii="Arial" w:eastAsia="Arial" w:hAnsi="Arial" w:cs="Arial"/>
          <w:b/>
          <w:bCs/>
          <w:i/>
          <w:iCs/>
          <w:sz w:val="15"/>
          <w:szCs w:val="15"/>
        </w:rPr>
        <w:t>Oftalmía del neonato.</w:t>
      </w:r>
      <w:r>
        <w:t xml:space="preserve"> Para realizar la profilaxia sistemática de los productos inmediatamente después de nacer, se instila en cada ojo solución al 1% de nitrato de plata, o pomada oftálmica de tetraciclina al 1% o eritromicina al 0.5%; no deberá hacerse lavado ulterior (véase “Prevención de oftalmía neonatal”, sección 5). La profilaxia puede diferirse incluso 1 h después del nacimiento para facilitar la vinculación de los padres con su hijo. Existe menor posibilidad de que los antimicrobianos tópicos originen irritación química, en comparación con el nitrato de plata. Ninguno de los agentes tópicos son eficaces contra </w:t>
      </w:r>
      <w:r>
        <w:rPr>
          <w:rFonts w:ascii="Times New Roman" w:eastAsia="Times New Roman" w:hAnsi="Times New Roman" w:cs="Times New Roman"/>
          <w:i/>
          <w:iCs/>
          <w:sz w:val="16"/>
          <w:szCs w:val="16"/>
        </w:rPr>
        <w:t>C. trachomatis,</w:t>
      </w:r>
      <w:r>
        <w:t xml:space="preserve"> quizá porque no erradican dicho microorganismo, de la nasofaringe.</w:t>
      </w:r>
    </w:p>
    <w:p w14:paraId="4AE7A9C0" w14:textId="77777777" w:rsidR="00093A32" w:rsidRDefault="00093A32">
      <w:pPr>
        <w:pStyle w:val="BodyText"/>
        <w:spacing w:line="276" w:lineRule="auto"/>
        <w:ind w:firstLine="360"/>
      </w:pPr>
      <w:r>
        <w:rPr>
          <w:rFonts w:ascii="Arial" w:eastAsia="Arial" w:hAnsi="Arial" w:cs="Arial"/>
          <w:b/>
          <w:bCs/>
          <w:i/>
          <w:iCs/>
          <w:sz w:val="15"/>
          <w:szCs w:val="15"/>
        </w:rPr>
        <w:t>Hijos de mujeres con infecciones gonocócicas.</w:t>
      </w:r>
      <w:r>
        <w:t xml:space="preserve"> Si se aplica adecuadamente la profilaxia, los hijos de mujeres con infección gonocócica rara vez muestran oftalmía gonocócica. Sin embargo, dado que tal forma de oftalmía o infección diseminada a veces aparece en esta situación, los hijos de madres con gonorrea diagnosticada deben recibir 125 mg de ceftriaxona en una sola dosis intravenosa o intramuscular; en el caso de los prematuros y los pequeños de bajo peso neonatal, la dosis es de 25 a 50 mg/kg de peso hasta un máximo de 125 miligramos.</w:t>
      </w:r>
    </w:p>
    <w:p w14:paraId="3468074A" w14:textId="77777777" w:rsidR="00093A32" w:rsidRDefault="00093A32">
      <w:pPr>
        <w:pStyle w:val="BodyText"/>
        <w:ind w:firstLine="360"/>
      </w:pPr>
      <w:r>
        <w:rPr>
          <w:rFonts w:ascii="Arial" w:eastAsia="Arial" w:hAnsi="Arial" w:cs="Arial"/>
          <w:b/>
          <w:bCs/>
          <w:i/>
          <w:iCs/>
          <w:sz w:val="15"/>
          <w:szCs w:val="15"/>
        </w:rPr>
        <w:t>Niños y adolescentes con exposición sexual a un paciente gonorreico.</w:t>
      </w:r>
      <w:r>
        <w:t xml:space="preserve"> Las personas expuestas deben ser sometidas a revisión, obtención de material para cultivo y al mismo tratamiento que las personas con gonorrea diagnosticada.</w:t>
      </w:r>
    </w:p>
    <w:p w14:paraId="15EC61E0" w14:textId="77777777" w:rsidR="00093A32" w:rsidRDefault="00093A32">
      <w:pPr>
        <w:pStyle w:val="BodyText"/>
        <w:ind w:firstLine="360"/>
      </w:pPr>
      <w:r>
        <w:rPr>
          <w:rFonts w:ascii="Arial" w:eastAsia="Arial" w:hAnsi="Arial" w:cs="Arial"/>
          <w:b/>
          <w:bCs/>
          <w:i/>
          <w:iCs/>
          <w:sz w:val="15"/>
          <w:szCs w:val="15"/>
        </w:rPr>
        <w:t>Embarazo.</w:t>
      </w:r>
      <w:r>
        <w:t xml:space="preserve"> En todas las embarazadas se obtendrá material endocervical para cultivo en busca de gonococos, en la primera visita prenatal. Es recomendable un segundo cultivo a finales del tercer trimestre en mujeres expuestas a un gran peligro de exposición a la infección gonocócica. Los regímenes terapéuticos recomendados para personas infectadas son los descritos en la gonorrea no complicada, excepto que no deberán administrarse tetraciclina y fluoroquinolona ante los posibles efectos tóxicos en el feto. Las mujeres alérgicas a las cefalosporinas deben recibir espectinomicina.</w:t>
      </w:r>
    </w:p>
    <w:p w14:paraId="28738680" w14:textId="77777777" w:rsidR="00093A32" w:rsidRDefault="00093A32">
      <w:pPr>
        <w:pStyle w:val="BodyText"/>
        <w:spacing w:after="100" w:line="276" w:lineRule="auto"/>
        <w:ind w:firstLine="360"/>
      </w:pPr>
      <w:r>
        <w:rPr>
          <w:rFonts w:ascii="Arial" w:eastAsia="Arial" w:hAnsi="Arial" w:cs="Arial"/>
          <w:b/>
          <w:bCs/>
          <w:i/>
          <w:iCs/>
          <w:sz w:val="15"/>
          <w:szCs w:val="15"/>
        </w:rPr>
        <w:t>Notificación de casos y tratamiento de los compañeros sexuales.</w:t>
      </w:r>
      <w:r>
        <w:t xml:space="preserve"> Es importante notificar a los funcionarios de salud pública todos los casos de gonorrea (véase apéndice IX, “Enfermedades infecciosas de notificación nacional en Estados Unidos”). Los casos en niñas prepúberes deben ser investigados para identificar el origen de la infección. Para el control comunitario y la prevención de la reinfección y de las complicaciones en los contactos, hay que asegurarse de que los contactos sexuales reciban tratamiento y asesoría para que utilicen condones.</w:t>
      </w:r>
    </w:p>
    <w:p w14:paraId="72FB91D9" w14:textId="77777777" w:rsidR="00093A32" w:rsidRDefault="00093A32">
      <w:pPr>
        <w:pStyle w:val="Bodytext70"/>
        <w:spacing w:after="0"/>
      </w:pPr>
      <w:r>
        <w:t>Granuloma inguinal</w:t>
      </w:r>
    </w:p>
    <w:p w14:paraId="38171843"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(Donovanosis)</w:t>
      </w:r>
    </w:p>
    <w:p w14:paraId="690A8181" w14:textId="77777777" w:rsidR="00093A32" w:rsidRDefault="00093A32">
      <w:pPr>
        <w:pStyle w:val="BodyText"/>
        <w:spacing w:after="100"/>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lesiones iniciales incluyen nódulos subcutáneos únicos o múltiples que evolucionan hasta formar úlceras granulomatosas friables, muy</w:t>
      </w:r>
    </w:p>
    <w:p w14:paraId="5317106C" w14:textId="77777777" w:rsidR="00093A32" w:rsidRDefault="00093A32">
      <w:pPr>
        <w:pStyle w:val="BodyText"/>
        <w:ind w:firstLine="360"/>
      </w:pPr>
      <w:r>
        <w:rPr>
          <w:rFonts w:ascii="Arial" w:eastAsia="Arial" w:hAnsi="Arial" w:cs="Arial"/>
          <w:b/>
          <w:bCs/>
          <w:i/>
          <w:iCs/>
          <w:sz w:val="15"/>
          <w:szCs w:val="15"/>
        </w:rPr>
        <w:t>Epididimitis aguda.</w:t>
      </w:r>
      <w:r>
        <w:t xml:space="preserve"> Los microorganismos transmitidos por contacto sexual, como </w:t>
      </w:r>
      <w:r>
        <w:rPr>
          <w:rFonts w:ascii="Times New Roman" w:eastAsia="Times New Roman" w:hAnsi="Times New Roman" w:cs="Times New Roman"/>
          <w:i/>
          <w:iCs/>
          <w:sz w:val="16"/>
          <w:szCs w:val="16"/>
        </w:rPr>
        <w:t>N. gonorrhoeae</w:t>
      </w:r>
      <w:r>
        <w:t xml:space="preserve"> o </w:t>
      </w:r>
      <w:r>
        <w:rPr>
          <w:rFonts w:ascii="Times New Roman" w:eastAsia="Times New Roman" w:hAnsi="Times New Roman" w:cs="Times New Roman"/>
          <w:i/>
          <w:iCs/>
          <w:sz w:val="16"/>
          <w:szCs w:val="16"/>
        </w:rPr>
        <w:t>C. trachomatis,</w:t>
      </w:r>
      <w:r>
        <w:t xml:space="preserve"> pueden ocasionar epididimitis aguda en adolescentes sexualmente activos y adultos jóvenes, pero rara vez causan dicho cuadro en niños prepúberes. El régimen recomendado en estos casos es la combinación de ceftriaxona y además eritromicina, azitromicina o doxiciclina, según la edad del paciente (véase cuadro 3-16).</w:t>
      </w:r>
    </w:p>
    <w:p w14:paraId="36DDE1EA" w14:textId="77777777" w:rsidR="00093A32" w:rsidRDefault="00093A32">
      <w:pPr>
        <w:pStyle w:val="BodyText"/>
        <w:spacing w:after="240"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inclusive para neonatos con oftalmía.</w:t>
      </w:r>
    </w:p>
    <w:p w14:paraId="7930B050"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5BE8D2E4" w14:textId="77777777" w:rsidR="00093A32" w:rsidRDefault="00093A32">
      <w:pPr>
        <w:pStyle w:val="BodyText"/>
        <w:spacing w:line="276" w:lineRule="auto"/>
        <w:ind w:firstLine="0"/>
      </w:pPr>
      <w:r>
        <w:rPr>
          <w:rFonts w:ascii="Arial" w:eastAsia="Arial" w:hAnsi="Arial" w:cs="Arial"/>
          <w:b/>
          <w:bCs/>
          <w:i/>
          <w:iCs/>
          <w:sz w:val="15"/>
          <w:szCs w:val="15"/>
        </w:rPr>
        <w:t>Oftalmía del neonato.</w:t>
      </w:r>
      <w:r>
        <w:t xml:space="preserve"> Para realizar la profilaxia sistemática de los productos inmediatamente después de nacer, se instila en cada ojo solución al 1% de nitrato de plata, o pomada oftálmica de tetraciclina al 1% o eritromicina al 0.5%; no deberá hacerse lavado ulterior (véase “Prevención de oftalmía neonatal”, sección 5). La profilaxia puede diferirse incluso 1 h después del nacimiento para facilitar la vinculación de los padres con su hijo. Existe menor posibilidad de que los antimicrobianos tópicos originen irritación química, en comparación con el nitrato de plata. Ninguno de los agentes tópicos son eficaces contra </w:t>
      </w:r>
      <w:r>
        <w:rPr>
          <w:rFonts w:ascii="Times New Roman" w:eastAsia="Times New Roman" w:hAnsi="Times New Roman" w:cs="Times New Roman"/>
          <w:i/>
          <w:iCs/>
          <w:sz w:val="16"/>
          <w:szCs w:val="16"/>
        </w:rPr>
        <w:t>C. trachomatis,</w:t>
      </w:r>
      <w:r>
        <w:t xml:space="preserve"> quizá porque no erradican dicho microorganismo, de la nasofaringe.</w:t>
      </w:r>
    </w:p>
    <w:p w14:paraId="0DEF48FA" w14:textId="77777777" w:rsidR="00093A32" w:rsidRDefault="00093A32">
      <w:pPr>
        <w:pStyle w:val="BodyText"/>
        <w:spacing w:line="276" w:lineRule="auto"/>
        <w:ind w:firstLine="360"/>
      </w:pPr>
      <w:r>
        <w:rPr>
          <w:rFonts w:ascii="Arial" w:eastAsia="Arial" w:hAnsi="Arial" w:cs="Arial"/>
          <w:b/>
          <w:bCs/>
          <w:i/>
          <w:iCs/>
          <w:sz w:val="15"/>
          <w:szCs w:val="15"/>
        </w:rPr>
        <w:t>Hijos de mujeres con infecciones gonocócicas.</w:t>
      </w:r>
      <w:r>
        <w:t xml:space="preserve"> Si se aplica adecuadamente la profilaxia, los hijos de mujeres con infección gonocócica rara vez muestran oftalmía gonocócica. Sin embargo, dado que tal forma de oftalmía o infección diseminada a veces aparece en esta situación, los hijos de madres con gonorrea diagnosticada deben recibir 125 mg de ceftriaxona en una sola dosis intravenosa o intramuscular; en el caso de los prematuros y los pequeños de bajo peso neonatal, la dosis es de 25 a 50 mg/kg de peso hasta un máximo de 125 miligramos.</w:t>
      </w:r>
    </w:p>
    <w:p w14:paraId="2FCF519F" w14:textId="77777777" w:rsidR="00093A32" w:rsidRDefault="00093A32">
      <w:pPr>
        <w:pStyle w:val="BodyText"/>
        <w:ind w:firstLine="360"/>
      </w:pPr>
      <w:r>
        <w:rPr>
          <w:rFonts w:ascii="Arial" w:eastAsia="Arial" w:hAnsi="Arial" w:cs="Arial"/>
          <w:b/>
          <w:bCs/>
          <w:i/>
          <w:iCs/>
          <w:sz w:val="15"/>
          <w:szCs w:val="15"/>
        </w:rPr>
        <w:t>Niños y adolescentes con exposición sexual a un paciente gonorreico.</w:t>
      </w:r>
      <w:r>
        <w:t xml:space="preserve"> Las personas expuestas deben ser sometidas a revisión, obtención de material para cultivo y al mismo tratamiento que las personas con gonorrea diagnosticada.</w:t>
      </w:r>
    </w:p>
    <w:p w14:paraId="3F7B2072" w14:textId="77777777" w:rsidR="00093A32" w:rsidRDefault="00093A32">
      <w:pPr>
        <w:pStyle w:val="BodyText"/>
        <w:ind w:firstLine="360"/>
      </w:pPr>
      <w:r>
        <w:rPr>
          <w:rFonts w:ascii="Arial" w:eastAsia="Arial" w:hAnsi="Arial" w:cs="Arial"/>
          <w:b/>
          <w:bCs/>
          <w:i/>
          <w:iCs/>
          <w:sz w:val="15"/>
          <w:szCs w:val="15"/>
        </w:rPr>
        <w:t>Embarazo.</w:t>
      </w:r>
      <w:r>
        <w:t xml:space="preserve"> En todas las embarazadas se obtendrá material endocervical para cultivo en busca de gonococos, en la primera visita prenatal. Es recomendable un segundo cultivo a finales del tercer trimestre en mujeres expuestas a un gran peligro de exposición a la infección gonocócica. Los regímenes terapéuticos recomendados para personas infectadas son los descritos en la gonorrea no complicada, excepto que no deberán administrarse tetraciclina y fluoroquinolona ante los posibles efectos tóxicos en el feto. Las mujeres alérgicas a las cefalosporinas deben recibir espectinomicina.</w:t>
      </w:r>
    </w:p>
    <w:p w14:paraId="71988D87" w14:textId="77777777" w:rsidR="00093A32" w:rsidRDefault="00093A32">
      <w:pPr>
        <w:pStyle w:val="BodyText"/>
        <w:spacing w:after="100" w:line="276" w:lineRule="auto"/>
        <w:ind w:firstLine="360"/>
      </w:pPr>
      <w:r>
        <w:rPr>
          <w:rFonts w:ascii="Arial" w:eastAsia="Arial" w:hAnsi="Arial" w:cs="Arial"/>
          <w:b/>
          <w:bCs/>
          <w:i/>
          <w:iCs/>
          <w:sz w:val="15"/>
          <w:szCs w:val="15"/>
        </w:rPr>
        <w:t>Notificación de casos y tratamiento de los compañeros sexuales.</w:t>
      </w:r>
      <w:r>
        <w:t xml:space="preserve"> Es importante notificar a los funcionarios de salud pública todos los casos de gonorrea (véase apéndice IX, “Enfermedades infecciosas de notificación nacional en Estados Unidos”). Los casos en niñas prepúberes deben ser investigados para identificar el origen de la infección. Para el control comunitario y la prevención de la reinfección y de las complicaciones en los contactos, hay que asegurarse de que los contactos sexuales reciban tratamiento y asesoría para que utilicen condones.</w:t>
      </w:r>
    </w:p>
    <w:p w14:paraId="047A6543" w14:textId="77777777" w:rsidR="00093A32" w:rsidRDefault="00093A32">
      <w:pPr>
        <w:pStyle w:val="Bodytext70"/>
        <w:spacing w:after="0"/>
      </w:pPr>
      <w:r>
        <w:t>Granuloma inguinal</w:t>
      </w:r>
    </w:p>
    <w:p w14:paraId="668B807F"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(Donovanosis)</w:t>
      </w:r>
    </w:p>
    <w:p w14:paraId="10CD7B14" w14:textId="77777777" w:rsidR="00093A32" w:rsidRDefault="00093A32">
      <w:pPr>
        <w:pStyle w:val="BodyText"/>
        <w:ind w:firstLine="0"/>
        <w:sectPr w:rsidR="00093A32" w:rsidSect="00093A32">
          <w:headerReference w:type="even" r:id="rId300"/>
          <w:headerReference w:type="default" r:id="rId301"/>
          <w:footerReference w:type="even" r:id="rId302"/>
          <w:footerReference w:type="default" r:id="rId303"/>
          <w:pgSz w:w="8501" w:h="13022"/>
          <w:pgMar w:top="705" w:right="766" w:bottom="438" w:left="812" w:header="0" w:footer="10" w:gutter="0"/>
          <w:cols w:space="720"/>
          <w:noEndnote/>
          <w:docGrid w:linePitch="360"/>
          <w15:footnoteColumns w:val="1"/>
        </w:sect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lesiones iniciales incluyen nódulos subcutáneos únicos o múltiples que evolucionan hasta formar úlceras granulomatosas friables, muy </w:t>
      </w:r>
    </w:p>
    <w:p w14:paraId="35F77A2B" w14:textId="77777777" w:rsidR="00093A32" w:rsidRDefault="00093A32">
      <w:pPr>
        <w:pStyle w:val="BodyText"/>
        <w:ind w:firstLine="0"/>
      </w:pPr>
      <w:r>
        <w:t xml:space="preserve">vascularizadas e indoloras, sin adenopatía regional. Las lesiones por lo común afectan los genitales, pero en 5 a 10% de los pacientes se detectan infecciones anales; rara vez surgen lesiones en sitios distantes (como cara, boca e hígado). La extensión subcutánea en el área inguinal origina induración que puede remedar una adenopatía inguinal (el “seudobubón” del granuloma inguinal). La fibrosis se manifiesta por trayectos fistulosos, adherencia y linfedema, con lo cual hay enorme deformidad de los genitales. </w:t>
      </w:r>
      <w:r>
        <w:rPr>
          <w:b/>
          <w:bCs/>
          <w:smallCaps/>
          <w:sz w:val="20"/>
          <w:szCs w:val="20"/>
        </w:rPr>
        <w:t>C</w:t>
      </w:r>
      <w:r>
        <w:rPr>
          <w:b/>
          <w:bCs/>
          <w:smallCaps/>
          <w:sz w:val="16"/>
          <w:szCs w:val="16"/>
        </w:rPr>
        <w:t>ausa</w:t>
      </w:r>
      <w:r>
        <w:rPr>
          <w:b/>
          <w:bCs/>
          <w:smallCaps/>
          <w:sz w:val="20"/>
          <w:szCs w:val="20"/>
        </w:rPr>
        <w:t>:</w:t>
      </w:r>
      <w:r>
        <w:t xml:space="preserve"> El trastorno es causado por </w:t>
      </w:r>
      <w:r>
        <w:rPr>
          <w:rFonts w:ascii="Times New Roman" w:eastAsia="Times New Roman" w:hAnsi="Times New Roman" w:cs="Times New Roman"/>
          <w:i/>
          <w:iCs/>
          <w:sz w:val="16"/>
          <w:szCs w:val="16"/>
        </w:rPr>
        <w:t>Calymmatobacterium granulomatis,</w:t>
      </w:r>
      <w:r>
        <w:t xml:space="preserve"> un bacilo gramnegativo intracelular.</w:t>
      </w:r>
    </w:p>
    <w:p w14:paraId="72169D88" w14:textId="77777777" w:rsidR="00093A32" w:rsidRDefault="00093A3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En Estados Unidos y muchos países desarrollados ya no se detectan casos propios de granuloma inguinal; los casos que aparecen en la nación mencionada provienen de otros países. La donovanosis es endémica en Papua, Nueva Guinea y partes de India, África del Sur, Australia Central y en menor grado en países del Caribe y parte de América del Sur, sobre todo Brasil. La incidencia máxima de la enfermedad se observa en entornos tropicales y subtropicales; al parecer, la infección guarda íntima relación con temperaturas altas y sostenidas y humedad relativa intensa. La infección también se contagia por el coito, más a menudo con una persona con el cuadro activo, pero también quizá de otra con una infección rectal asintomática. El granuloma inguinal es medianamente contagioso y a veces se necesita la exposición repetida para que aparezca la enfermedad. Los niños de corta edad se infectan por contacto con secreciones contaminadas. El periodo de transmisibilidad abarca todo lo que duran las lesiones activas o la colonización rectal.</w:t>
      </w:r>
    </w:p>
    <w:p w14:paraId="68A66968" w14:textId="77777777" w:rsidR="00093A32" w:rsidRDefault="00093A32">
      <w:pPr>
        <w:pStyle w:val="BodyText"/>
        <w:ind w:firstLine="360"/>
      </w:pPr>
      <w:r>
        <w:t xml:space="preserve">El </w:t>
      </w:r>
      <w:r>
        <w:rPr>
          <w:b/>
          <w:bCs/>
        </w:rPr>
        <w:t xml:space="preserve">periodo de incubación </w:t>
      </w:r>
      <w:r>
        <w:t>es de ocho a 80 días.</w:t>
      </w:r>
    </w:p>
    <w:p w14:paraId="5326B67D" w14:textId="77777777" w:rsidR="00093A32" w:rsidRDefault="00093A32">
      <w:pPr>
        <w:pStyle w:val="BodyText"/>
        <w:spacing w:line="276" w:lineRule="auto"/>
        <w:ind w:firstLine="0"/>
      </w:pPr>
      <w:r>
        <w:rPr>
          <w:b/>
          <w:bCs/>
        </w:rPr>
        <w:t>M</w:t>
      </w:r>
      <w:r>
        <w:rPr>
          <w:b/>
          <w:bCs/>
          <w:sz w:val="13"/>
          <w:szCs w:val="13"/>
        </w:rPr>
        <w:t>ÉTODOS DIAGNÓSTICOS</w:t>
      </w:r>
      <w:r>
        <w:rPr>
          <w:b/>
          <w:bCs/>
        </w:rPr>
        <w:t xml:space="preserve">: </w:t>
      </w:r>
      <w:r>
        <w:t xml:space="preserve">Es difícil cultivar el microorganismo causal, y para el diagnóstico es necesaria la demostración con microscopio de los cuerpos de Donovan intracitoplásmicos de color oscuro con la tinción de Wright o de Giemsa en una preparación por aplastamiento, de material de raspado por debajo de la superficie de la lesión o del tejido. El microorganismo también se detecta en el estudio histológico de las muestras de biopsia. Sin embargo, hay que cultivar las lesiones en busca de </w:t>
      </w:r>
      <w:r>
        <w:rPr>
          <w:rFonts w:ascii="Times New Roman" w:eastAsia="Times New Roman" w:hAnsi="Times New Roman" w:cs="Times New Roman"/>
          <w:i/>
          <w:iCs/>
          <w:sz w:val="16"/>
          <w:szCs w:val="16"/>
        </w:rPr>
        <w:t>Haemophilus ducreyi</w:t>
      </w:r>
      <w:r>
        <w:t xml:space="preserve"> para descartar chancroide (seudogranuloma inguinal). El granuloma inguinal a veces es diagnosticado erróneamente como carcinoma, lo cual puede descartarse por estudio histológico del tejido o por la respuesta de la lesión a antimicrobianos. Sólo en laboratorios experimentales se hace el diagnóstico por medio de reacción en cadena de polimerasa y métodos serológicos.</w:t>
      </w:r>
    </w:p>
    <w:p w14:paraId="0F33AEFB" w14:textId="77777777" w:rsidR="00093A32" w:rsidRDefault="00093A32">
      <w:pPr>
        <w:pStyle w:val="BodyText"/>
        <w:ind w:firstLine="0"/>
      </w:pPr>
      <w:r>
        <w:rPr>
          <w:b/>
          <w:bCs/>
        </w:rPr>
        <w:t>T</w:t>
      </w:r>
      <w:r>
        <w:rPr>
          <w:b/>
          <w:bCs/>
          <w:sz w:val="13"/>
          <w:szCs w:val="13"/>
        </w:rPr>
        <w:t>RATAMIENTO</w:t>
      </w:r>
      <w:r>
        <w:rPr>
          <w:b/>
          <w:bCs/>
        </w:rPr>
        <w:t xml:space="preserve">: </w:t>
      </w:r>
      <w:r>
        <w:t>Según señalamientos son eficaces la doxiciclina (que no debe administrarse a niños menores de ocho años), y el trimetoprim-sulfametoxazol. La ciprofloxacina, que no es recomendable para usar en embarazadas o en personas menores de 18 años, y el sulfato de gentamicina dan buenos resultados, aunque se reservan sólo para casos resistentes. La eritromicina base se ha usado en el tratamiento de embarazadas. Otro fármaco al que puede recurrirse es la azitromicina dihidratada. La administración de antimicrobianos se continúa durante tres semanas, como mínimo, o hasta que muestran resolución las lesiones. Si dichos fármacos son eficaces, en término de siete días se observará curación parcial. Puede haber recaída, en particular si se interrumpe el uso del antimicrobiano antes de que haya curado por completo la lesión primaria.</w:t>
      </w:r>
    </w:p>
    <w:p w14:paraId="4CCC974B" w14:textId="77777777" w:rsidR="00093A32" w:rsidRDefault="00093A32">
      <w:pPr>
        <w:pStyle w:val="BodyText"/>
        <w:ind w:firstLine="360"/>
      </w:pPr>
      <w:r>
        <w:t xml:space="preserve">Es importante valorar al paciente en busca de otras enfermedades de transmisión sexual, como gonorrea, sífilis e infección por </w:t>
      </w:r>
      <w:r>
        <w:rPr>
          <w:rFonts w:ascii="Times New Roman" w:eastAsia="Times New Roman" w:hAnsi="Times New Roman" w:cs="Times New Roman"/>
          <w:i/>
          <w:iCs/>
          <w:sz w:val="16"/>
          <w:szCs w:val="16"/>
        </w:rPr>
        <w:t>Chlamydia trachomatis,</w:t>
      </w:r>
      <w:r>
        <w:t xml:space="preserve"> hepatitis B y virus de inmunodeficiencia humana.</w:t>
      </w:r>
    </w:p>
    <w:p w14:paraId="5FD4F65B"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07FBE04C" w14:textId="77777777" w:rsidR="00093A32" w:rsidRDefault="00093A32">
      <w:pPr>
        <w:pStyle w:val="BodyText"/>
        <w:spacing w:after="100"/>
        <w:ind w:firstLine="0"/>
      </w:pPr>
      <w:r>
        <w:rPr>
          <w:b/>
          <w:bCs/>
        </w:rPr>
        <w:t>M</w:t>
      </w:r>
      <w:r>
        <w:rPr>
          <w:b/>
          <w:bCs/>
          <w:sz w:val="13"/>
          <w:szCs w:val="13"/>
        </w:rPr>
        <w:t>EDIDAS PREVENTIVAS</w:t>
      </w:r>
      <w:r>
        <w:rPr>
          <w:b/>
          <w:bCs/>
        </w:rPr>
        <w:t xml:space="preserve">: </w:t>
      </w:r>
      <w:r>
        <w:t>Es importante revisar a los compañeros sexuales, aconsejarles que usen condones y plantear la necesidad de terapia antimicrobiana. No se ha definido la conveniencia de medidas empíricas en caso de no haber signos ni síntomas.</w:t>
      </w:r>
    </w:p>
    <w:p w14:paraId="64D871EA" w14:textId="77777777" w:rsidR="00093A32" w:rsidRDefault="00093A32">
      <w:pPr>
        <w:pStyle w:val="Bodytext70"/>
        <w:spacing w:after="0"/>
      </w:pPr>
      <w:r>
        <w:rPr>
          <w:i/>
          <w:iCs/>
        </w:rPr>
        <w:t>Haemophilus influenzae,</w:t>
      </w:r>
      <w:r>
        <w:t xml:space="preserve"> infecciones</w:t>
      </w:r>
    </w:p>
    <w:p w14:paraId="5E970196" w14:textId="77777777" w:rsidR="00093A32" w:rsidRDefault="00093A32">
      <w:pPr>
        <w:pStyle w:val="BodyText"/>
        <w:ind w:firstLine="0"/>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Haemophilus influenzae</w:t>
      </w:r>
      <w:r>
        <w:t xml:space="preserve"> causa conjuntivitis, otitis media, sinusitis, epiglotitis, neumonía, empiema, artritis séptica, celulitis, meningitis y bacteriemia febril oculta. Otras infecciones por dicho microorganismo comprenden pericarditis purulenta, endocarditis, endoftalmitis, osteomielitis, peritonitis, glositis, uvulitis y tromboflebitis séptica. En ocasiones otras cepas encapsuladas y no encapsuladas originan septicemia, otitis media, sinusitis, bronquitis, neumonía y meningitis, e incluyen la infección en neonatos.</w:t>
      </w:r>
    </w:p>
    <w:p w14:paraId="6224C0B1" w14:textId="77777777" w:rsidR="00093A32" w:rsidRDefault="00093A32">
      <w:pPr>
        <w:pStyle w:val="BodyText"/>
        <w:ind w:firstLine="0"/>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Haemophilus influenzae</w:t>
      </w:r>
      <w:r>
        <w:t xml:space="preserve"> es un cocobacilo gramnegativo pleomórfico. Las cepas encapsuladas expresan uno de seis polisacáridos capsulares antigénicamente diferentes (a a f); las cepas no encapsuladas no reaccionan con antisueros de tipificación contra los serotipos capsulares de a a f y se les ha clasificado como no tipificables.</w:t>
      </w:r>
    </w:p>
    <w:p w14:paraId="3701210A"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El hábitat natural del microorganismo son las vías respiratorias altas del ser humano. La transmisión se hace de una persona a otra por inhalación de gotículas de líquidos de vías respiratorias o por contacto directo con secreciones de dichas vías. En los neonatos, la infección se adquiere durante el parto al aspirar el líquido amniótico, o por contacto con secreciones de vías genitales, en que está el microorganismo. La colonización asintomática por cepas de </w:t>
      </w:r>
      <w:r>
        <w:rPr>
          <w:rFonts w:ascii="Times New Roman" w:eastAsia="Times New Roman" w:hAnsi="Times New Roman" w:cs="Times New Roman"/>
          <w:i/>
          <w:iCs/>
          <w:sz w:val="16"/>
          <w:szCs w:val="16"/>
        </w:rPr>
        <w:t xml:space="preserve">H. influenzae </w:t>
      </w:r>
      <w:r>
        <w:t>es frecuente; cepas no encapsuladas se identifican de la nasofaringe en 40 a 80% de los niños. La colonización con microorganismos de tipo b es rara, y afecta a 2 a 5% de niños antes de contar con la vacuna; incluso en la actualidad el número de personas es menor porque la vacunación disminuye la colonización faríngea. Se desconoce el periodo exacto de transmisibilidad.</w:t>
      </w:r>
    </w:p>
    <w:p w14:paraId="415D5533" w14:textId="77777777" w:rsidR="00093A32" w:rsidRDefault="00093A32">
      <w:pPr>
        <w:pStyle w:val="BodyText"/>
        <w:ind w:firstLine="360"/>
      </w:pPr>
      <w:r>
        <w:t xml:space="preserve">Antes de que se contara con vacunas a base de conjugados eficaces contra </w:t>
      </w:r>
      <w:r>
        <w:rPr>
          <w:rFonts w:ascii="Times New Roman" w:eastAsia="Times New Roman" w:hAnsi="Times New Roman" w:cs="Times New Roman"/>
          <w:i/>
          <w:iCs/>
          <w:sz w:val="16"/>
          <w:szCs w:val="16"/>
        </w:rPr>
        <w:t>H. influenzae</w:t>
      </w:r>
      <w:r>
        <w:t xml:space="preserve"> de tipo B (Hib), esta última era la causa más común de meningitis bacteriana en niños estadounidenses. La incidencia máxima de esta enfermedad y de muchas otras infecciones invasoras por Hib se observaba entre los seis y 18 meses de vida, y fue la causa de cerca de 45% de los casos en niños menores de cinco años. A diferencia, la cifra máxima de epiglotitis se alcanzó de los dos a los cuatro años.</w:t>
      </w:r>
    </w:p>
    <w:p w14:paraId="349A53D4" w14:textId="77777777" w:rsidR="00093A32" w:rsidRDefault="00093A32">
      <w:pPr>
        <w:pStyle w:val="BodyText"/>
        <w:ind w:firstLine="360"/>
      </w:pPr>
      <w:r>
        <w:t>Los niños no vacunados que tienen menos de cuatro años están expuestos a un mayor peligro de enfermedad invasora por Hib, en particular si durante mucho tiempo han estado en contacto cercano (como sería el círculo familiar) con otro niño que tenga tal enfermedad. Otros factores que predisponen a la aparición de enfermedad invasora son enfermedad drepanocítica, asplenia, infección por el virus de inmunodeficiencia humana (VIH), algunos síndromes de inmunodeficiencia y cánceres. Desde el punto de vista histórico, Hib invasora fue más frecuente en varoncitos; en personas de raza negra, nativos de Alaska, y de tribus Apache y Navajo; niños dentro de programas de atención pediátrica y otros que vivían en apiñamiento, y menores que no habían sido amamantados.</w:t>
      </w:r>
    </w:p>
    <w:p w14:paraId="1F8EBEBD" w14:textId="77777777" w:rsidR="00093A32" w:rsidRDefault="00093A32">
      <w:pPr>
        <w:pStyle w:val="BodyText"/>
        <w:ind w:firstLine="360"/>
      </w:pPr>
      <w:r>
        <w:t>Desde 1988 en que se aplicaron por primera vez las vacunas del conjugado de Hib a niños preambulatorios, y dos años más tarde en lactantes, la incidencia de enfermedad invasora en lactantes y niños de corta edad ha disminuido 99%, es decir, a menos de un caso por 100 000 niños menores de cinco años. También es baja la incidencia de infecciones invasoras causadas por otras cepas encapsuladas y no tipificables. En la</w:t>
      </w:r>
    </w:p>
    <w:p w14:paraId="42382084" w14:textId="77777777" w:rsidR="00093A32" w:rsidRDefault="00093A32">
      <w:pPr>
        <w:pStyle w:val="BodyText"/>
        <w:spacing w:after="100"/>
        <w:ind w:firstLine="0"/>
      </w:pPr>
      <w:r>
        <w:rPr>
          <w:b/>
          <w:bCs/>
        </w:rPr>
        <w:t>M</w:t>
      </w:r>
      <w:r>
        <w:rPr>
          <w:b/>
          <w:bCs/>
          <w:sz w:val="13"/>
          <w:szCs w:val="13"/>
        </w:rPr>
        <w:t>EDIDAS PREVENTIVAS</w:t>
      </w:r>
      <w:r>
        <w:rPr>
          <w:b/>
          <w:bCs/>
        </w:rPr>
        <w:t xml:space="preserve">: </w:t>
      </w:r>
      <w:r>
        <w:t>Es importante revisar a los compañeros sexuales, aconsejarles que usen condones y plantear la necesidad de terapia antimicrobiana. No se ha definido la conveniencia de medidas empíricas en caso de no haber signos ni síntomas.</w:t>
      </w:r>
    </w:p>
    <w:p w14:paraId="7E444935" w14:textId="77777777" w:rsidR="00093A32" w:rsidRDefault="00093A32">
      <w:pPr>
        <w:pStyle w:val="Bodytext70"/>
        <w:spacing w:after="0"/>
      </w:pPr>
      <w:r>
        <w:rPr>
          <w:i/>
          <w:iCs/>
        </w:rPr>
        <w:t>Haemophilus influenzae,</w:t>
      </w:r>
      <w:r>
        <w:t xml:space="preserve"> infecciones</w:t>
      </w:r>
    </w:p>
    <w:p w14:paraId="1CB96D9E" w14:textId="77777777" w:rsidR="00093A32" w:rsidRDefault="00093A32">
      <w:pPr>
        <w:pStyle w:val="BodyText"/>
        <w:ind w:firstLine="0"/>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Haemophilus influenzae</w:t>
      </w:r>
      <w:r>
        <w:t xml:space="preserve"> causa conjuntivitis, otitis media, sinusitis, epiglotitis, neumonía, empiema, artritis séptica, celulitis, meningitis y bacteriemia febril oculta. Otras infecciones por dicho microorganismo comprenden pericarditis purulenta, endocarditis, endoftalmitis, osteomielitis, peritonitis, glositis, uvulitis y tromboflebitis séptica. En ocasiones otras cepas encapsuladas y no encapsuladas originan septicemia, otitis media, sinusitis, bronquitis, neumonía y meningitis, e incluyen la infección en neonatos.</w:t>
      </w:r>
    </w:p>
    <w:p w14:paraId="10AF0784" w14:textId="77777777" w:rsidR="00093A32" w:rsidRDefault="00093A32">
      <w:pPr>
        <w:pStyle w:val="BodyText"/>
        <w:ind w:firstLine="0"/>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Haemophilus influenzae</w:t>
      </w:r>
      <w:r>
        <w:t xml:space="preserve"> es un cocobacilo gramnegativo pleomórfico. Las cepas encapsuladas expresan uno de seis polisacáridos capsulares antigénicamente diferentes (a a f); las cepas no encapsuladas no reaccionan con antisueros de tipificación contra los serotipos capsulares de a a f y se les ha clasificado como no tipificables.</w:t>
      </w:r>
    </w:p>
    <w:p w14:paraId="25C00083"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El hábitat natural del microorganismo son las vías respiratorias altas del ser humano. La transmisión se hace de una persona a otra por inhalación de gotículas de líquidos de vías respiratorias o por contacto directo con secreciones de dichas vías. En los neonatos, la infección se adquiere durante el parto al aspirar el líquido amniótico, o por contacto con secreciones de vías genitales, en que está el microorganismo. La colonización asintomática por cepas de </w:t>
      </w:r>
      <w:r>
        <w:rPr>
          <w:rFonts w:ascii="Times New Roman" w:eastAsia="Times New Roman" w:hAnsi="Times New Roman" w:cs="Times New Roman"/>
          <w:i/>
          <w:iCs/>
          <w:sz w:val="16"/>
          <w:szCs w:val="16"/>
        </w:rPr>
        <w:t xml:space="preserve">H. influenzae </w:t>
      </w:r>
      <w:r>
        <w:t>es frecuente; cepas no encapsuladas se identifican de la nasofaringe en 40 a 80% de los niños. La colonización con microorganismos de tipo b es rara, y afecta a 2 a 5% de niños antes de contar con la vacuna; incluso en la actualidad el número de personas es menor porque la vacunación disminuye la colonización faríngea. Se desconoce el periodo exacto de transmisibilidad.</w:t>
      </w:r>
    </w:p>
    <w:p w14:paraId="51E065D9" w14:textId="77777777" w:rsidR="00093A32" w:rsidRDefault="00093A32">
      <w:pPr>
        <w:pStyle w:val="BodyText"/>
        <w:ind w:firstLine="360"/>
      </w:pPr>
      <w:r>
        <w:t xml:space="preserve">Antes de que se contara con vacunas a base de conjugados eficaces contra </w:t>
      </w:r>
      <w:r>
        <w:rPr>
          <w:rFonts w:ascii="Times New Roman" w:eastAsia="Times New Roman" w:hAnsi="Times New Roman" w:cs="Times New Roman"/>
          <w:i/>
          <w:iCs/>
          <w:sz w:val="16"/>
          <w:szCs w:val="16"/>
        </w:rPr>
        <w:t>H. influenzae</w:t>
      </w:r>
      <w:r>
        <w:t xml:space="preserve"> de tipo B (Hib), esta última era la causa más común de meningitis bacteriana en niños estadounidenses. La incidencia máxima de esta enfermedad y de muchas otras infecciones invasoras por Hib se observaba entre los seis y 18 meses de vida, y fue la causa de cerca de 45% de los casos en niños menores de cinco años. A diferencia, la cifra máxima de epiglotitis se alcanzó de los dos a los cuatro años.</w:t>
      </w:r>
    </w:p>
    <w:p w14:paraId="28B021E1" w14:textId="77777777" w:rsidR="00093A32" w:rsidRDefault="00093A32">
      <w:pPr>
        <w:pStyle w:val="BodyText"/>
        <w:ind w:firstLine="360"/>
      </w:pPr>
      <w:r>
        <w:t>Los niños no vacunados que tienen menos de cuatro años están expuestos a un mayor peligro de enfermedad invasora por Hib, en particular si durante mucho tiempo han estado en contacto cercano (como sería el círculo familiar) con otro niño que tenga tal enfermedad. Otros factores que predisponen a la aparición de enfermedad invasora son enfermedad drepanocítica, asplenia, infección por el virus de inmunodeficiencia humana (VIH), algunos síndromes de inmunodeficiencia y cánceres. Desde el punto de vista histórico, Hib invasora fue más frecuente en varoncitos; en personas de raza negra, nativos de Alaska, y de tribus Apache y Navajo; niños dentro de programas de atención pediátrica y otros que vivían en apiñamiento, y menores que no habían sido amamantados.</w:t>
      </w:r>
    </w:p>
    <w:p w14:paraId="08108BBC" w14:textId="77777777" w:rsidR="00093A32" w:rsidRDefault="00093A32">
      <w:pPr>
        <w:pStyle w:val="BodyText"/>
        <w:ind w:firstLine="360"/>
        <w:sectPr w:rsidR="00093A32" w:rsidSect="00093A32">
          <w:headerReference w:type="even" r:id="rId304"/>
          <w:headerReference w:type="default" r:id="rId305"/>
          <w:footerReference w:type="even" r:id="rId306"/>
          <w:footerReference w:type="default" r:id="rId307"/>
          <w:headerReference w:type="first" r:id="rId308"/>
          <w:footerReference w:type="first" r:id="rId309"/>
          <w:pgSz w:w="8501" w:h="13022"/>
          <w:pgMar w:top="705" w:right="766" w:bottom="438" w:left="812" w:header="0" w:footer="3" w:gutter="0"/>
          <w:cols w:space="720"/>
          <w:noEndnote/>
          <w:titlePg/>
          <w:docGrid w:linePitch="360"/>
          <w15:footnoteColumns w:val="1"/>
        </w:sectPr>
      </w:pPr>
      <w:r>
        <w:t xml:space="preserve">Desde 1988 en que se aplicaron por primera vez las vacunas del conjugado de Hib a niños preambulatorios, y dos años más tarde en lactantes, la incidencia de enfermedad invasora en lactantes y niños de corta edad ha disminuido 99%, es decir, a menos de un caso por 100 000 niños menores de cinco años. También es baja la incidencia de infecciones invasoras causadas por otras cepas encapsuladas y no tipificables. En la </w:t>
      </w:r>
    </w:p>
    <w:p w14:paraId="7DCD5A59" w14:textId="77777777" w:rsidR="00093A32" w:rsidRDefault="00093A32">
      <w:pPr>
        <w:pStyle w:val="BodyText"/>
        <w:ind w:firstLine="0"/>
      </w:pPr>
      <w:r>
        <w:t xml:space="preserve">actualidad, el ataque invasor se observa más bien en niños con vacunación deficiente y en lactantes demasiado pequeños para haber completado la serie primaria de vacunas. </w:t>
      </w:r>
      <w:r>
        <w:rPr>
          <w:rFonts w:ascii="Times New Roman" w:eastAsia="Times New Roman" w:hAnsi="Times New Roman" w:cs="Times New Roman"/>
          <w:i/>
          <w:iCs/>
          <w:sz w:val="16"/>
          <w:szCs w:val="16"/>
        </w:rPr>
        <w:t>Haemophilus influenzae</w:t>
      </w:r>
      <w:r>
        <w:t xml:space="preserve"> tipo B sigue siendo un patógeno importante en países en desarrollo, donde gran parte de la población no tiene acceso a las vacunas habituales.</w:t>
      </w:r>
    </w:p>
    <w:p w14:paraId="4A100B3B" w14:textId="77777777" w:rsidR="00093A32" w:rsidRDefault="00093A32">
      <w:pPr>
        <w:pStyle w:val="BodyText"/>
        <w:ind w:firstLine="360"/>
      </w:pPr>
      <w:r>
        <w:t xml:space="preserve">Se desconoce el </w:t>
      </w:r>
      <w:r>
        <w:rPr>
          <w:b/>
          <w:bCs/>
        </w:rPr>
        <w:t>periodo de incubación.</w:t>
      </w:r>
    </w:p>
    <w:p w14:paraId="648BBCDC" w14:textId="77777777" w:rsidR="00093A32" w:rsidRDefault="00093A32">
      <w:pPr>
        <w:pStyle w:val="BodyText"/>
        <w:spacing w:after="220"/>
        <w:ind w:firstLine="0"/>
      </w:pPr>
      <w:r>
        <w:rPr>
          <w:b/>
          <w:bCs/>
        </w:rPr>
        <w:t>M</w:t>
      </w:r>
      <w:r>
        <w:rPr>
          <w:b/>
          <w:bCs/>
          <w:sz w:val="13"/>
          <w:szCs w:val="13"/>
        </w:rPr>
        <w:t>ÉTODOS DIAGNÓSTICOS</w:t>
      </w:r>
      <w:r>
        <w:rPr>
          <w:b/>
          <w:bCs/>
        </w:rPr>
        <w:t xml:space="preserve">: </w:t>
      </w:r>
      <w:r>
        <w:t xml:space="preserve">Es importante cultivar en un medio como el agar achocolatado (con sangre cocida) enriquecido con factores X y V, muestras de líquido cefalorraquídeo (LCR), sangre, líquidos sinovial y pleural, así como el líquido aspirado del oído medio. La tinción de Gram de una muestra de líquido infectado puede facilitar el diagnóstico presuncional. La aglutinación de partículas de látex para detectar el antígeno capsular de tipo b en LCR puede ser útil, pero si tal prueba es negativa, no descarta el diagnóstico, y se sabe de resultados positivos falsos. No se recomienda la búsqueda de antígeno en muestras de suero y orina. Habrá que hacer serotipificación de todos los </w:t>
      </w:r>
      <w:r>
        <w:rPr>
          <w:rFonts w:ascii="Times New Roman" w:eastAsia="Times New Roman" w:hAnsi="Times New Roman" w:cs="Times New Roman"/>
          <w:i/>
          <w:iCs/>
          <w:sz w:val="16"/>
          <w:szCs w:val="16"/>
        </w:rPr>
        <w:t>H. influenzae</w:t>
      </w:r>
      <w:r>
        <w:t xml:space="preserve"> aislados que se vinculen con una infección invasora. Se han detectado diferencias en la serotipificación entre la aglutinación de laminilla y la tipificación capsular por reacción en cadena de polimerasa; con la primera técnica se han identificado erróneamente cepas no tipificables y se han clasificado como encapsuladas. Si no se practica en la localidad la serotipificación, habrá que enviar los gérmenes aislados al departamento sanitario estatal o a un laboratorio especializado para la práctica de tal prueba.</w:t>
      </w:r>
    </w:p>
    <w:p w14:paraId="5FD92960"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29151F78" w14:textId="77777777" w:rsidR="00093A32" w:rsidRDefault="00093A32">
      <w:pPr>
        <w:pStyle w:val="BodyText"/>
        <w:numPr>
          <w:ilvl w:val="0"/>
          <w:numId w:val="61"/>
        </w:numPr>
        <w:tabs>
          <w:tab w:val="left" w:pos="341"/>
        </w:tabs>
        <w:ind w:left="360" w:hanging="360"/>
      </w:pPr>
      <w:bookmarkStart w:id="119" w:name="bookmark725"/>
      <w:bookmarkEnd w:id="119"/>
      <w:r>
        <w:t>La terapia inicial para niños con meningitis causada posiblemente por Hib es la cefotaxima o la ceftriaxona sódicas, o bien, la ampicilina en combinación con cloranfenicol. Será mejor no usar la ampicilina sola porque a menudo surge resistencia a ella.</w:t>
      </w:r>
    </w:p>
    <w:p w14:paraId="2A64FF09" w14:textId="77777777" w:rsidR="00093A32" w:rsidRDefault="00093A32">
      <w:pPr>
        <w:pStyle w:val="BodyText"/>
        <w:numPr>
          <w:ilvl w:val="0"/>
          <w:numId w:val="61"/>
        </w:numPr>
        <w:tabs>
          <w:tab w:val="left" w:pos="341"/>
        </w:tabs>
        <w:ind w:left="360" w:hanging="360"/>
      </w:pPr>
      <w:bookmarkStart w:id="120" w:name="bookmark726"/>
      <w:bookmarkEnd w:id="120"/>
      <w:r>
        <w:t xml:space="preserve">En el tratamiento con antimicrobianos, de otras infecciones por </w:t>
      </w:r>
      <w:r>
        <w:rPr>
          <w:rFonts w:ascii="Times New Roman" w:eastAsia="Times New Roman" w:hAnsi="Times New Roman" w:cs="Times New Roman"/>
          <w:i/>
          <w:iCs/>
          <w:sz w:val="16"/>
          <w:szCs w:val="16"/>
        </w:rPr>
        <w:t xml:space="preserve">H. influenzae </w:t>
      </w:r>
      <w:r>
        <w:t>invasoras, incluidas las causadas por cepas diferentes de la del tipo b, las recomendaciones son similares, pero se basan más bien en la experiencia empírica.</w:t>
      </w:r>
    </w:p>
    <w:p w14:paraId="7F98B7D5" w14:textId="77777777" w:rsidR="00093A32" w:rsidRDefault="00093A32">
      <w:pPr>
        <w:pStyle w:val="BodyText"/>
        <w:numPr>
          <w:ilvl w:val="0"/>
          <w:numId w:val="61"/>
        </w:numPr>
        <w:tabs>
          <w:tab w:val="left" w:pos="341"/>
        </w:tabs>
        <w:ind w:left="360" w:hanging="360"/>
      </w:pPr>
      <w:bookmarkStart w:id="121" w:name="bookmark727"/>
      <w:bookmarkEnd w:id="121"/>
      <w:r>
        <w:t>En el caso de niños con meningitis no complicada que reaccionan rápidamente, es satisfactoria la terapia con antimicrobianos durante 10 días, por vía intravenosa. En casos complicados a veces está indicado un lapso mayor de tratamiento.</w:t>
      </w:r>
    </w:p>
    <w:p w14:paraId="20D17618" w14:textId="77777777" w:rsidR="00093A32" w:rsidRDefault="00093A32">
      <w:pPr>
        <w:pStyle w:val="BodyText"/>
        <w:numPr>
          <w:ilvl w:val="0"/>
          <w:numId w:val="61"/>
        </w:numPr>
        <w:tabs>
          <w:tab w:val="left" w:pos="341"/>
        </w:tabs>
        <w:ind w:left="360" w:hanging="360"/>
      </w:pPr>
      <w:bookmarkStart w:id="122" w:name="bookmark728"/>
      <w:bookmarkEnd w:id="122"/>
      <w:r>
        <w:t>La dexametasona puede ser beneficiosa en el tratamiento de niños y lactantes con meningitis por Hib para aminorar el peligro de secuelas neurológicas, incluida la hipoacusia.</w:t>
      </w:r>
    </w:p>
    <w:p w14:paraId="1EAC392F" w14:textId="77777777" w:rsidR="00093A32" w:rsidRDefault="00093A32">
      <w:pPr>
        <w:pStyle w:val="BodyText"/>
        <w:numPr>
          <w:ilvl w:val="0"/>
          <w:numId w:val="61"/>
        </w:numPr>
        <w:tabs>
          <w:tab w:val="left" w:pos="341"/>
        </w:tabs>
        <w:ind w:left="360" w:hanging="360"/>
      </w:pPr>
      <w:bookmarkStart w:id="123" w:name="bookmark729"/>
      <w:bookmarkEnd w:id="123"/>
      <w:r>
        <w:t>La epiglotitis es una urgencia médica. Se normalizará la ventilación con toda rapidez mediante la colocación de una sonda endotraqueal o la práctica de una traqueostomía.</w:t>
      </w:r>
    </w:p>
    <w:p w14:paraId="501A77F8" w14:textId="77777777" w:rsidR="00093A32" w:rsidRDefault="00093A32">
      <w:pPr>
        <w:pStyle w:val="BodyText"/>
        <w:numPr>
          <w:ilvl w:val="0"/>
          <w:numId w:val="61"/>
        </w:numPr>
        <w:tabs>
          <w:tab w:val="left" w:pos="341"/>
        </w:tabs>
        <w:ind w:left="360" w:hanging="360"/>
      </w:pPr>
      <w:bookmarkStart w:id="124" w:name="bookmark730"/>
      <w:bookmarkEnd w:id="124"/>
      <w:r>
        <w:t>Hay que drenar cualquier cúmulo de líquido sinovial, pleural o pericárdico infectado.</w:t>
      </w:r>
    </w:p>
    <w:p w14:paraId="22795244" w14:textId="77777777" w:rsidR="00093A32" w:rsidRDefault="00093A32">
      <w:pPr>
        <w:pStyle w:val="BodyText"/>
        <w:numPr>
          <w:ilvl w:val="0"/>
          <w:numId w:val="61"/>
        </w:numPr>
        <w:tabs>
          <w:tab w:val="left" w:pos="341"/>
        </w:tabs>
        <w:ind w:left="360" w:hanging="360"/>
      </w:pPr>
      <w:bookmarkStart w:id="125" w:name="bookmark731"/>
      <w:bookmarkEnd w:id="125"/>
      <w:r>
        <w:t xml:space="preserve">En lo que se refiere a la terapia empírica de la otitis media aguda, casi todos los expertos recomiendan la amoxicilina oral (véanse detalles en “Neumococos, infecciones por” en esta sección). El tratamiento durará cinco a 10 días. Se puede seguir un ciclo de cinco días en niños de dos años y mayores. En Estados Unidos, 30 a 40% de </w:t>
      </w:r>
      <w:r>
        <w:rPr>
          <w:rFonts w:ascii="Times New Roman" w:eastAsia="Times New Roman" w:hAnsi="Times New Roman" w:cs="Times New Roman"/>
          <w:i/>
          <w:iCs/>
          <w:sz w:val="16"/>
          <w:szCs w:val="16"/>
        </w:rPr>
        <w:t>H. influenzae</w:t>
      </w:r>
      <w:r>
        <w:t xml:space="preserve"> aislados producen lactamasa beta, por lo que se necesita un agente resistente a dicha enzima, como sería la combinación de amoxicilina- clavulanato potásico, una cefalosporina ingerible o algún macrólido nuevo. Los antibioticogramas (pruebas de susceptibilidad </w:t>
      </w:r>
      <w:r>
        <w:rPr>
          <w:rFonts w:ascii="Times New Roman" w:eastAsia="Times New Roman" w:hAnsi="Times New Roman" w:cs="Times New Roman"/>
          <w:i/>
          <w:iCs/>
          <w:sz w:val="16"/>
          <w:szCs w:val="16"/>
        </w:rPr>
        <w:t>in vitro)</w:t>
      </w:r>
      <w:r>
        <w:t xml:space="preserve"> de los gérmenes aislados del líquido del oído medio pueden orientar el tratamiento en casos complicados o persistentes.</w:t>
      </w:r>
    </w:p>
    <w:p w14:paraId="2355C722" w14:textId="77777777" w:rsidR="00093A32" w:rsidRDefault="00093A32">
      <w:pPr>
        <w:pStyle w:val="BodyText"/>
        <w:spacing w:after="220"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niños con enfermedad invasora se recomienda seguir las precauciones para evitar la transmisión por gotículas durante 24 h después de haber iniciado la administración de antimicrobianos.</w:t>
      </w:r>
    </w:p>
    <w:p w14:paraId="2CC52152" w14:textId="77777777" w:rsidR="00093A32" w:rsidRDefault="00093A32">
      <w:pPr>
        <w:pStyle w:val="Other0"/>
        <w:spacing w:line="240" w:lineRule="auto"/>
        <w:ind w:firstLine="0"/>
        <w:rPr>
          <w:sz w:val="20"/>
          <w:szCs w:val="20"/>
        </w:rPr>
      </w:pPr>
      <w:r>
        <w:rPr>
          <w:b/>
          <w:bCs/>
          <w:smallCaps/>
          <w:sz w:val="20"/>
          <w:szCs w:val="20"/>
        </w:rPr>
        <w:t>M</w:t>
      </w:r>
      <w:r>
        <w:rPr>
          <w:b/>
          <w:bCs/>
          <w:smallCaps/>
          <w:sz w:val="16"/>
          <w:szCs w:val="16"/>
        </w:rPr>
        <w:t xml:space="preserve">edidas preventivas </w:t>
      </w:r>
      <w:r>
        <w:rPr>
          <w:b/>
          <w:bCs/>
          <w:smallCaps/>
          <w:sz w:val="20"/>
          <w:szCs w:val="20"/>
        </w:rPr>
        <w:t>(</w:t>
      </w:r>
      <w:r>
        <w:rPr>
          <w:b/>
          <w:bCs/>
          <w:smallCaps/>
          <w:sz w:val="16"/>
          <w:szCs w:val="16"/>
        </w:rPr>
        <w:t xml:space="preserve">enfermedad invasora por </w:t>
      </w:r>
      <w:r>
        <w:rPr>
          <w:b/>
          <w:bCs/>
          <w:smallCaps/>
          <w:sz w:val="20"/>
          <w:szCs w:val="20"/>
        </w:rPr>
        <w:t>H</w:t>
      </w:r>
      <w:r>
        <w:rPr>
          <w:b/>
          <w:bCs/>
          <w:smallCaps/>
          <w:sz w:val="16"/>
          <w:szCs w:val="16"/>
        </w:rPr>
        <w:t>ib</w:t>
      </w:r>
      <w:r>
        <w:rPr>
          <w:b/>
          <w:bCs/>
          <w:smallCaps/>
          <w:sz w:val="20"/>
          <w:szCs w:val="20"/>
        </w:rPr>
        <w:t>):</w:t>
      </w:r>
    </w:p>
    <w:p w14:paraId="219C0296" w14:textId="77777777" w:rsidR="00093A32" w:rsidRDefault="00093A32">
      <w:pPr>
        <w:pStyle w:val="Bodytext80"/>
        <w:rPr>
          <w:sz w:val="15"/>
          <w:szCs w:val="15"/>
        </w:rPr>
      </w:pPr>
      <w:r>
        <w:rPr>
          <w:b/>
          <w:bCs/>
          <w:i/>
          <w:iCs/>
          <w:sz w:val="15"/>
          <w:szCs w:val="15"/>
        </w:rPr>
        <w:t>Cuidado de personas expuestas</w:t>
      </w:r>
    </w:p>
    <w:p w14:paraId="791BE604" w14:textId="77777777" w:rsidR="00093A32" w:rsidRDefault="00093A32">
      <w:pPr>
        <w:pStyle w:val="BodyText"/>
        <w:ind w:firstLine="0"/>
      </w:pPr>
      <w:r>
        <w:t xml:space="preserve">Es esencial la observación cuidadosa de los contactos del círculo familiar, de las unidades pediátricas o de las salas de cuna, que estén expuestos y no hayan sido vacunados, o su vacunación sea incompleta. Los niños expuestos en quienes aparece una enfermedad febril deben ser sometidos inmediatamente a valoración médica. Si así conviene, habrá que emprender la administración de antimicrobianos adecuados contra la forma invasora de la enfermedad por </w:t>
      </w:r>
      <w:r>
        <w:rPr>
          <w:rFonts w:ascii="Times New Roman" w:eastAsia="Times New Roman" w:hAnsi="Times New Roman" w:cs="Times New Roman"/>
          <w:i/>
          <w:iCs/>
          <w:sz w:val="16"/>
          <w:szCs w:val="16"/>
        </w:rPr>
        <w:t>Haemophilus influenzae</w:t>
      </w:r>
      <w:r>
        <w:t xml:space="preserve"> tipo b.</w:t>
      </w:r>
    </w:p>
    <w:p w14:paraId="3E542A21"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Quimioprofilaxis.</w:t>
      </w:r>
      <w:r>
        <w:t xml:space="preserve"> El peligro de que surja enfermedad invasora aumenta en contactos del círculo familiar no vacunados que tengan menos de cuatro años. La rifampicina erradica Hib de la faringe en cerca de 95% de los portadores. Algunos datos indican que la profilaxia con dicho antibiótico también disminuye el riesgo de enfermedad invasora secundaria en los contactos familiares expuestos. Los contactos en salas de cuna y centros de atención pediátrica pueden estar expuestos a un mayor peligro de enfermedad secundaria, pero no hay acuerdo entre los expertos en cuanto a la magnitud del riesgo. El peligro de enfermedad secundaria en niños que acuden a centros de atención pediátrica al parecer es menor que el observado para contactos familiares “susceptibles según la edad”; el trastorno secundario en los contactos de la unidad pediátrica rara vez ocurre cuando todos los contacto tienen más de dos años de edad. No se ha corroborado que la rifampicina evite la enfermedad en grupos de niños en unidades de atención pediátrica.</w:t>
      </w:r>
    </w:p>
    <w:p w14:paraId="3DE10570" w14:textId="77777777" w:rsidR="00093A32" w:rsidRDefault="00093A32">
      <w:pPr>
        <w:pStyle w:val="BodyText"/>
        <w:ind w:firstLine="360"/>
      </w:pPr>
      <w:r>
        <w:t>Las indicaciones y las directrices de la quimioprofilaxia en circunstancias diferentes se incluyen en el cuadro 3-18.</w:t>
      </w:r>
    </w:p>
    <w:p w14:paraId="7C9A5E2B" w14:textId="77777777" w:rsidR="00093A32" w:rsidRDefault="00093A32">
      <w:pPr>
        <w:pStyle w:val="BodyText"/>
        <w:spacing w:line="276" w:lineRule="auto"/>
        <w:ind w:left="360" w:hanging="360"/>
      </w:pPr>
      <w:r>
        <w:rPr>
          <w:rFonts w:ascii="Times New Roman" w:eastAsia="Times New Roman" w:hAnsi="Times New Roman" w:cs="Times New Roman"/>
          <w:b/>
          <w:bCs/>
          <w:i/>
          <w:iCs/>
          <w:sz w:val="16"/>
          <w:szCs w:val="16"/>
        </w:rPr>
        <w:t>• Círculo familiar.</w:t>
      </w:r>
      <w:r>
        <w:t xml:space="preserve"> En círculos familiares en los que un contacto, como mínimo tiene menos de 48 meses de vida y no está vacunado o lo está de manera incompleta contra Hib, se recomienda la profilaxia con rifampicina en todos los contactos del círculo familiar, sin importar la edad. Cuando en el círculo familiar hay un niño inmunodeficiente, incluso si tiene más de 48 meses de vida y está vacunado en forma completa, todos los miembros del círculo casero deben recibir rifampicina ante la posibilidad de que la vacunación no haya sido eficaz. En forma similar, en núcleos con un niño menor de 12 meses que no ha recibido la serie primaria de tres dosis de vacuna de conjugado Hib, todos los miembros de la familia y del núcleo deben recibir profilaxia con rifampicina. No se recomienda la quimioprofilaxia en ocupantes de hogares que no tienen niños menores de 48 meses (salvo el caso índice) o si los contactos de 12 a 48 meses en el círculo familiar son inmunocompetentes y han completado la serie de vacunas contra Hib (véase cuadro 3-18).</w:t>
      </w:r>
    </w:p>
    <w:p w14:paraId="491B9893" w14:textId="77777777" w:rsidR="00093A32" w:rsidRDefault="00093A32">
      <w:pPr>
        <w:pStyle w:val="BodyText"/>
        <w:spacing w:after="120"/>
        <w:ind w:left="360" w:firstLine="0"/>
      </w:pPr>
      <w:r>
        <w:t>Ante el hecho de que la mayor parte de todos los casos secundarios en núcleos familiares surgen en la primera semana de haber hospitalizado al caso índice (o primero), cuando convenga, se emprenderá la profilaxia con la mayor rapidez posible. Algunos casos secundarios ocurren tardíamente, por lo que todavía se puede obtener algún beneficio si se inician las medidas profilácticas siete días o más después de la hospitalización del paciente índice.</w:t>
      </w:r>
    </w:p>
    <w:p w14:paraId="42B90A1B" w14:textId="77777777" w:rsidR="00093A32" w:rsidRDefault="00093A32">
      <w:pPr>
        <w:pStyle w:val="Heading31"/>
        <w:keepNext/>
        <w:keepLines/>
        <w:pBdr>
          <w:bottom w:val="single" w:sz="4" w:space="0" w:color="auto"/>
        </w:pBdr>
        <w:spacing w:after="400" w:line="211" w:lineRule="auto"/>
        <w:jc w:val="center"/>
      </w:pPr>
      <w:bookmarkStart w:id="126" w:name="bookmark732"/>
      <w:bookmarkStart w:id="127" w:name="bookmark733"/>
      <w:bookmarkStart w:id="128" w:name="bookmark734"/>
      <w:r>
        <w:rPr>
          <w:b w:val="0"/>
          <w:bCs w:val="0"/>
        </w:rPr>
        <w:t xml:space="preserve">Cuadro 3-18. </w:t>
      </w:r>
      <w:r>
        <w:t>Indicaciones y directrices para la quimioprofilaxia</w:t>
      </w:r>
      <w:r>
        <w:br/>
        <w:t>con rifampicina en contactos de casos índice,</w:t>
      </w:r>
      <w:r>
        <w:br/>
        <w:t xml:space="preserve">de enfermedad invasora por </w:t>
      </w:r>
      <w:r>
        <w:rPr>
          <w:i/>
          <w:iCs/>
        </w:rPr>
        <w:t>Haemophilus influenzae</w:t>
      </w:r>
      <w:r>
        <w:t xml:space="preserve"> de tipo b (Hib)</w:t>
      </w:r>
      <w:bookmarkEnd w:id="126"/>
      <w:bookmarkEnd w:id="127"/>
      <w:bookmarkEnd w:id="128"/>
    </w:p>
    <w:p w14:paraId="4FC58B52" w14:textId="77777777" w:rsidR="00093A32" w:rsidRDefault="00093A32">
      <w:pPr>
        <w:pStyle w:val="Bodytext20"/>
        <w:spacing w:line="266" w:lineRule="auto"/>
        <w:rPr>
          <w:sz w:val="17"/>
          <w:szCs w:val="17"/>
        </w:rPr>
      </w:pPr>
      <w:r>
        <w:rPr>
          <w:b/>
          <w:bCs/>
          <w:i/>
          <w:iCs/>
          <w:sz w:val="17"/>
          <w:szCs w:val="17"/>
        </w:rPr>
        <w:t>Quimioprofilaxia recomendada</w:t>
      </w:r>
    </w:p>
    <w:p w14:paraId="687E96A3" w14:textId="77777777" w:rsidR="00093A32" w:rsidRDefault="00093A32">
      <w:pPr>
        <w:pStyle w:val="Bodytext20"/>
        <w:numPr>
          <w:ilvl w:val="0"/>
          <w:numId w:val="61"/>
        </w:numPr>
        <w:tabs>
          <w:tab w:val="left" w:pos="279"/>
        </w:tabs>
      </w:pPr>
      <w:bookmarkStart w:id="129" w:name="bookmark735"/>
      <w:bookmarkEnd w:id="129"/>
      <w:r>
        <w:t>En todos los contactos del círculo familiar,</w:t>
      </w:r>
      <w:r>
        <w:rPr>
          <w:vertAlign w:val="superscript"/>
        </w:rPr>
        <w:t>1</w:t>
      </w:r>
      <w:r>
        <w:t xml:space="preserve"> en las circunstancias siguientes:</w:t>
      </w:r>
    </w:p>
    <w:p w14:paraId="5B65E0DA" w14:textId="77777777" w:rsidR="00093A32" w:rsidRDefault="00093A32">
      <w:pPr>
        <w:pStyle w:val="Bodytext20"/>
        <w:numPr>
          <w:ilvl w:val="0"/>
          <w:numId w:val="62"/>
        </w:numPr>
        <w:tabs>
          <w:tab w:val="left" w:pos="662"/>
        </w:tabs>
        <w:ind w:left="680" w:hanging="280"/>
      </w:pPr>
      <w:bookmarkStart w:id="130" w:name="bookmark736"/>
      <w:bookmarkEnd w:id="130"/>
      <w:r>
        <w:t>Núcleo familiar que tiene como mínimo un contacto menor de cuatro años de edad que no ha sido vacunado o lo ha sido de manera incompleta.</w:t>
      </w:r>
      <w:r>
        <w:rPr>
          <w:vertAlign w:val="superscript"/>
        </w:rPr>
        <w:footnoteReference w:id="12"/>
      </w:r>
      <w:r>
        <w:rPr>
          <w:vertAlign w:val="superscript"/>
        </w:rPr>
        <w:t xml:space="preserve"> </w:t>
      </w:r>
      <w:r>
        <w:rPr>
          <w:vertAlign w:val="superscript"/>
        </w:rPr>
        <w:footnoteReference w:id="13"/>
      </w:r>
    </w:p>
    <w:p w14:paraId="6E6FEBC6" w14:textId="77777777" w:rsidR="00093A32" w:rsidRDefault="00093A32">
      <w:pPr>
        <w:pStyle w:val="Bodytext20"/>
        <w:numPr>
          <w:ilvl w:val="0"/>
          <w:numId w:val="62"/>
        </w:numPr>
        <w:tabs>
          <w:tab w:val="left" w:pos="662"/>
        </w:tabs>
        <w:ind w:firstLine="380"/>
      </w:pPr>
      <w:bookmarkStart w:id="131" w:name="bookmark737"/>
      <w:bookmarkEnd w:id="131"/>
      <w:r>
        <w:t>Núcleo familiar con un niño menor de 12 meses si él no ha recibido la serie primaria.</w:t>
      </w:r>
    </w:p>
    <w:p w14:paraId="56B5104D" w14:textId="77777777" w:rsidR="00093A32" w:rsidRDefault="00093A32">
      <w:pPr>
        <w:pStyle w:val="Bodytext20"/>
        <w:numPr>
          <w:ilvl w:val="0"/>
          <w:numId w:val="62"/>
        </w:numPr>
        <w:tabs>
          <w:tab w:val="left" w:pos="662"/>
        </w:tabs>
        <w:ind w:left="680" w:hanging="280"/>
      </w:pPr>
      <w:bookmarkStart w:id="132" w:name="bookmark738"/>
      <w:bookmarkEnd w:id="132"/>
      <w:r>
        <w:t xml:space="preserve">Núcleo familiar con un niño inmunodeficiente, sea cual sea el estado de vacunación de él respecto a </w:t>
      </w:r>
      <w:r>
        <w:rPr>
          <w:i/>
          <w:iCs/>
        </w:rPr>
        <w:t>Haemophilus influenzae</w:t>
      </w:r>
      <w:r>
        <w:t xml:space="preserve"> de tipo b.</w:t>
      </w:r>
    </w:p>
    <w:p w14:paraId="7B3F4019" w14:textId="77777777" w:rsidR="00093A32" w:rsidRDefault="00093A32">
      <w:pPr>
        <w:pStyle w:val="Bodytext20"/>
        <w:numPr>
          <w:ilvl w:val="0"/>
          <w:numId w:val="61"/>
        </w:numPr>
        <w:tabs>
          <w:tab w:val="left" w:pos="279"/>
        </w:tabs>
        <w:ind w:left="380" w:hanging="380"/>
      </w:pPr>
      <w:bookmarkStart w:id="133" w:name="bookmark739"/>
      <w:bookmarkEnd w:id="133"/>
      <w:r>
        <w:t xml:space="preserve">En caso de contactos en escuela de párvulos y centro de atención pediátrica, sea cual sea la edad del menor, si han surgido en término de 60 días dos casos o más de enfermedad invasora por </w:t>
      </w:r>
      <w:r>
        <w:rPr>
          <w:i/>
          <w:iCs/>
        </w:rPr>
        <w:t>Haemophilus influenzae</w:t>
      </w:r>
      <w:r>
        <w:t xml:space="preserve"> de tipo b.</w:t>
      </w:r>
    </w:p>
    <w:p w14:paraId="448AEF06" w14:textId="77777777" w:rsidR="00093A32" w:rsidRDefault="00093A32">
      <w:pPr>
        <w:pStyle w:val="Bodytext20"/>
        <w:numPr>
          <w:ilvl w:val="0"/>
          <w:numId w:val="61"/>
        </w:numPr>
        <w:tabs>
          <w:tab w:val="left" w:pos="279"/>
        </w:tabs>
        <w:ind w:left="380" w:hanging="380"/>
      </w:pPr>
      <w:bookmarkStart w:id="134" w:name="bookmark740"/>
      <w:bookmarkEnd w:id="134"/>
      <w:r>
        <w:t>En lo que toca al primer caso (caso índice) si tiene menos de dos años de vida o forma parte de un núcleo familiar con un contacto susceptible tratado con un régimen diferente de cefotaxima o ceftriaxona sódicas, por lo regular se emprende la quimioprofilaxia poco antes de retornar a su hogar, desde el hospital.</w:t>
      </w:r>
    </w:p>
    <w:p w14:paraId="2100A168" w14:textId="77777777" w:rsidR="00093A32" w:rsidRDefault="00093A32">
      <w:pPr>
        <w:pStyle w:val="Bodytext20"/>
        <w:spacing w:line="266" w:lineRule="auto"/>
        <w:rPr>
          <w:sz w:val="17"/>
          <w:szCs w:val="17"/>
        </w:rPr>
      </w:pPr>
      <w:r>
        <w:rPr>
          <w:b/>
          <w:bCs/>
          <w:i/>
          <w:iCs/>
          <w:sz w:val="17"/>
          <w:szCs w:val="17"/>
        </w:rPr>
        <w:t>No se recomienda quimioprofilaxia</w:t>
      </w:r>
    </w:p>
    <w:p w14:paraId="303CDFA9" w14:textId="77777777" w:rsidR="00093A32" w:rsidRDefault="00093A32">
      <w:pPr>
        <w:pStyle w:val="Bodytext20"/>
        <w:numPr>
          <w:ilvl w:val="0"/>
          <w:numId w:val="61"/>
        </w:numPr>
        <w:tabs>
          <w:tab w:val="left" w:pos="279"/>
        </w:tabs>
      </w:pPr>
      <w:bookmarkStart w:id="135" w:name="bookmark741"/>
      <w:bookmarkEnd w:id="135"/>
      <w:r>
        <w:t>Para integrantes de núcleos familiares sin niños menores de cuatro años salvo el paciente índice.</w:t>
      </w:r>
    </w:p>
    <w:p w14:paraId="2A5D17CF" w14:textId="77777777" w:rsidR="00093A32" w:rsidRDefault="00093A32">
      <w:pPr>
        <w:pStyle w:val="Bodytext20"/>
        <w:numPr>
          <w:ilvl w:val="0"/>
          <w:numId w:val="61"/>
        </w:numPr>
        <w:tabs>
          <w:tab w:val="left" w:pos="279"/>
        </w:tabs>
        <w:ind w:left="380" w:hanging="380"/>
      </w:pPr>
      <w:bookmarkStart w:id="136" w:name="bookmark742"/>
      <w:bookmarkEnd w:id="136"/>
      <w:r>
        <w:t xml:space="preserve">En el caso de integrantes de núcleos familiares cuando todos los contactos con familiares menores de 12 a 48 meses han completado la serie de vacunación contra </w:t>
      </w:r>
      <w:r>
        <w:rPr>
          <w:i/>
          <w:iCs/>
        </w:rPr>
        <w:t>Haemophilus influenzae</w:t>
      </w:r>
      <w:r>
        <w:t xml:space="preserve"> de tipo b.</w:t>
      </w:r>
    </w:p>
    <w:p w14:paraId="506729A1" w14:textId="77777777" w:rsidR="00093A32" w:rsidRDefault="00093A32">
      <w:pPr>
        <w:pStyle w:val="Bodytext20"/>
        <w:numPr>
          <w:ilvl w:val="0"/>
          <w:numId w:val="61"/>
        </w:numPr>
        <w:tabs>
          <w:tab w:val="left" w:pos="279"/>
        </w:tabs>
        <w:ind w:left="380" w:hanging="380"/>
      </w:pPr>
      <w:bookmarkStart w:id="137" w:name="bookmark743"/>
      <w:bookmarkEnd w:id="137"/>
      <w:r>
        <w:t>En contactos de escuelas de párvulos y unidades de atención pediátrica de un caso índice en particular si tiene más de dos años de vida.</w:t>
      </w:r>
    </w:p>
    <w:p w14:paraId="20B4DFA1" w14:textId="77777777" w:rsidR="00093A32" w:rsidRDefault="00093A32">
      <w:pPr>
        <w:pStyle w:val="Bodytext20"/>
        <w:numPr>
          <w:ilvl w:val="0"/>
          <w:numId w:val="61"/>
        </w:numPr>
        <w:pBdr>
          <w:bottom w:val="single" w:sz="4" w:space="0" w:color="auto"/>
        </w:pBdr>
        <w:tabs>
          <w:tab w:val="left" w:pos="279"/>
        </w:tabs>
      </w:pPr>
      <w:bookmarkStart w:id="138" w:name="bookmark744"/>
      <w:bookmarkEnd w:id="138"/>
      <w:r>
        <w:t>En embarazadas.</w:t>
      </w:r>
    </w:p>
    <w:p w14:paraId="55F3EAAB" w14:textId="77777777" w:rsidR="00093A32" w:rsidRDefault="00093A32">
      <w:pPr>
        <w:pStyle w:val="BodyText"/>
        <w:ind w:left="360" w:firstLine="0"/>
      </w:pPr>
      <w:r>
        <w:t>de vida o poseen un contacto susceptible en el núcleo familiar también deben recibir dicho antibiótico como profiláctico.</w:t>
      </w:r>
    </w:p>
    <w:p w14:paraId="097E9165" w14:textId="77777777" w:rsidR="00093A32" w:rsidRDefault="00093A32">
      <w:pPr>
        <w:pStyle w:val="BodyText"/>
        <w:tabs>
          <w:tab w:val="left" w:pos="269"/>
        </w:tabs>
        <w:spacing w:line="314" w:lineRule="auto"/>
        <w:ind w:firstLine="0"/>
      </w:pPr>
      <w:r>
        <w:rPr>
          <w:rFonts w:ascii="Times New Roman" w:eastAsia="Times New Roman" w:hAnsi="Times New Roman" w:cs="Times New Roman"/>
          <w:b/>
          <w:bCs/>
          <w:i/>
          <w:iCs/>
          <w:sz w:val="16"/>
          <w:szCs w:val="16"/>
        </w:rPr>
        <w:t>•</w:t>
      </w:r>
      <w:r>
        <w:rPr>
          <w:rFonts w:ascii="Times New Roman" w:eastAsia="Times New Roman" w:hAnsi="Times New Roman" w:cs="Times New Roman"/>
          <w:b/>
          <w:bCs/>
          <w:i/>
          <w:iCs/>
          <w:sz w:val="16"/>
          <w:szCs w:val="16"/>
        </w:rPr>
        <w:tab/>
        <w:t>Dosis.</w:t>
      </w:r>
      <w:r>
        <w:t xml:space="preserve"> La rifampicina se administrará por vía oral una vez al día durante cuatro</w:t>
      </w:r>
    </w:p>
    <w:p w14:paraId="579C790D" w14:textId="77777777" w:rsidR="00093A32" w:rsidRDefault="00093A32">
      <w:pPr>
        <w:pStyle w:val="BodyText"/>
        <w:spacing w:after="220"/>
        <w:ind w:left="360" w:firstLine="0"/>
      </w:pPr>
      <w:r>
        <w:t>días (según la dosis de 20 mg/kg de peso; dosis máxima, 600 mg). No se ha definido la dosis para niños menores de un mes de edad; algunos expertos recomiendan disminuirla hasta llegar a 10 mg/kg de peso. Para los adultos cada dosis es de 600 miligramos.</w:t>
      </w:r>
    </w:p>
    <w:p w14:paraId="28DCCBC1" w14:textId="77777777" w:rsidR="00093A32" w:rsidRDefault="00093A32">
      <w:pPr>
        <w:pStyle w:val="Bodytext80"/>
        <w:rPr>
          <w:sz w:val="15"/>
          <w:szCs w:val="15"/>
        </w:rPr>
      </w:pPr>
      <w:r>
        <w:rPr>
          <w:b/>
          <w:bCs/>
          <w:i/>
          <w:iCs/>
          <w:sz w:val="15"/>
          <w:szCs w:val="15"/>
        </w:rPr>
        <w:t>Vacunación</w:t>
      </w:r>
    </w:p>
    <w:p w14:paraId="39817166" w14:textId="77777777" w:rsidR="00093A32" w:rsidRDefault="00093A32">
      <w:pPr>
        <w:pStyle w:val="BodyText"/>
        <w:spacing w:line="276" w:lineRule="auto"/>
        <w:ind w:firstLine="0"/>
      </w:pPr>
      <w:r>
        <w:t xml:space="preserve">En Estados Unidos se cuenta en la actualidad con tres vacunas de conjugado de Hib (véase cuadro 3-19). Las vacunas en cuestión incluyen un polisacárido capsular de Hib (en fosfato de polirribosilribitol </w:t>
      </w:r>
      <w:r>
        <w:rPr>
          <w:i/>
          <w:iCs/>
        </w:rPr>
        <w:t>[</w:t>
      </w:r>
      <w:r>
        <w:rPr>
          <w:rFonts w:ascii="Times New Roman" w:eastAsia="Times New Roman" w:hAnsi="Times New Roman" w:cs="Times New Roman"/>
          <w:i/>
          <w:iCs/>
          <w:sz w:val="16"/>
          <w:szCs w:val="16"/>
        </w:rPr>
        <w:t>polyribosylribotolphosphate</w:t>
      </w:r>
      <w:r>
        <w:rPr>
          <w:i/>
          <w:iCs/>
        </w:rPr>
        <w:t>,</w:t>
      </w:r>
      <w:r>
        <w:t xml:space="preserve"> PRP] u oligómeros de PRP) unido en forma covalente a una proteína transportadora, de manera directa o por una molécula espaciadora intermedia. Los anticuerpos protectores se dirigen contra PRP. Las vacunas de conjugados tienen una composición y capacidad inmunógena variables y, como resultado, también hay diferencias en las recomendaciones de su empleo. Ante el peligro cada vez mayor de ataque en la primera infancia en niños indios estadounidenses/nativos de Alaska, se recomienda utilizar PRP-OMP (completo de proteína de membrana externa [outer membrane protein complex]) como primera dosis en la serie ante la notable respuesta de anticuerpos después de tal administración (véanse antes en este resumen “Niños indios estadounidentes/nativos de Alaska” y </w:t>
      </w:r>
      <w:r>
        <w:rPr>
          <w:rFonts w:ascii="Times New Roman" w:eastAsia="Times New Roman" w:hAnsi="Times New Roman" w:cs="Times New Roman"/>
          <w:i/>
          <w:iCs/>
          <w:sz w:val="16"/>
          <w:szCs w:val="16"/>
        </w:rPr>
        <w:t>“Haemophilus influenzae</w:t>
      </w:r>
      <w:r>
        <w:t xml:space="preserve"> tipo b”).</w:t>
      </w:r>
    </w:p>
    <w:p w14:paraId="35E81811" w14:textId="77777777" w:rsidR="00093A32" w:rsidRDefault="00093A32">
      <w:pPr>
        <w:pStyle w:val="BodyText"/>
        <w:ind w:firstLine="360"/>
      </w:pPr>
      <w:r>
        <w:t>De acuerdo con el tipo de vacuna, la serie primaria recomendada incluye tres dosis aplicadas a los dos, cuatro y seis meses de vida, o dos dosis administradas a los dos y cuatro meses de edad (véase después en este resumen “Recomendaciones para vacunación” y cuadro 3-20). Las dosis recomendadas se pueden administrar en preparados mixtos. Los regímenes del cuadro 3-20 posiblemente sean equivalentes en su protección una vez completada la serie primaria recomendada.</w:t>
      </w:r>
    </w:p>
    <w:p w14:paraId="23F01EFE" w14:textId="77777777" w:rsidR="00093A32" w:rsidRDefault="00093A32">
      <w:pPr>
        <w:pStyle w:val="BodyText"/>
        <w:ind w:firstLine="360"/>
      </w:pPr>
      <w:r>
        <w:t>Después de administrar la serie primaria disminuyen en forma rápida las concentraciones de anticuerpo séricos. Se recomienda, entre los 12 y 15 meses de vida, una dosis complementaria de refuerzo de cualquier vacuna de conjugado, sea cual sea el régimen utilizado para la serie primaria; la dosis puede formar parte de una vacuna mixta.</w:t>
      </w:r>
    </w:p>
    <w:p w14:paraId="4DE1AF71" w14:textId="77777777" w:rsidR="00093A32" w:rsidRDefault="00093A32">
      <w:pPr>
        <w:pStyle w:val="BodyText"/>
        <w:spacing w:line="286" w:lineRule="auto"/>
        <w:ind w:firstLine="360"/>
      </w:pPr>
      <w:r>
        <w:rPr>
          <w:rFonts w:ascii="Times New Roman" w:eastAsia="Times New Roman" w:hAnsi="Times New Roman" w:cs="Times New Roman"/>
          <w:b/>
          <w:bCs/>
          <w:i/>
          <w:iCs/>
          <w:sz w:val="16"/>
          <w:szCs w:val="16"/>
        </w:rPr>
        <w:t>Intercambio de vacunas.</w:t>
      </w:r>
      <w:r>
        <w:t xml:space="preserve"> Se considera que son intercambiables las vacunas del conjugado Hib actuales para la vacunación primaria y la dosis de refuerzo. Si se aplica PRP-OMP como parte de una serie primaria, el número recomendado de dosis para completar la serie se calcula con base en otra vacuna de conjugado de </w:t>
      </w:r>
      <w:r>
        <w:rPr>
          <w:rFonts w:ascii="Times New Roman" w:eastAsia="Times New Roman" w:hAnsi="Times New Roman" w:cs="Times New Roman"/>
          <w:i/>
          <w:iCs/>
          <w:sz w:val="16"/>
          <w:szCs w:val="16"/>
        </w:rPr>
        <w:t>Haemophilus influenzae</w:t>
      </w:r>
      <w:r>
        <w:t xml:space="preserve"> tipo b.</w:t>
      </w:r>
    </w:p>
    <w:p w14:paraId="66147297" w14:textId="77777777" w:rsidR="00093A32" w:rsidRDefault="00093A32">
      <w:pPr>
        <w:pStyle w:val="BodyText"/>
        <w:spacing w:line="290" w:lineRule="auto"/>
        <w:ind w:firstLine="360"/>
      </w:pPr>
      <w:r>
        <w:rPr>
          <w:rFonts w:ascii="Times New Roman" w:eastAsia="Times New Roman" w:hAnsi="Times New Roman" w:cs="Times New Roman"/>
          <w:b/>
          <w:bCs/>
          <w:i/>
          <w:iCs/>
          <w:sz w:val="16"/>
          <w:szCs w:val="16"/>
        </w:rPr>
        <w:t>Dosis y vía de administración.</w:t>
      </w:r>
      <w:r>
        <w:t xml:space="preserve"> La dosis de cada vacuna del conjugado es 0.5 ml por vía intramuscular.</w:t>
      </w:r>
    </w:p>
    <w:p w14:paraId="397D0451" w14:textId="77777777" w:rsidR="00093A32" w:rsidRDefault="00093A32">
      <w:pPr>
        <w:pStyle w:val="BodyText"/>
        <w:spacing w:after="120" w:line="276" w:lineRule="auto"/>
        <w:ind w:firstLine="360"/>
      </w:pPr>
      <w:r>
        <w:rPr>
          <w:rFonts w:ascii="Times New Roman" w:eastAsia="Times New Roman" w:hAnsi="Times New Roman" w:cs="Times New Roman"/>
          <w:b/>
          <w:bCs/>
          <w:i/>
          <w:iCs/>
          <w:sz w:val="16"/>
          <w:szCs w:val="16"/>
        </w:rPr>
        <w:t>Niños con deficiencias inmunológicas.</w:t>
      </w:r>
      <w:r>
        <w:t xml:space="preserve"> Los niños expuestos al mayor peligro de enfermedad por Hib quizá tengan deficientes respuestas de anticuerpos contra PRP, después de recibir vacunas de conjugado. Entre ellos estarían los niños con infección por VIH, deficiencia de inmunoglobulinas, asplenia anatómica o funcional y enfermedad drepanocítica; niños que han recibido médula ósea en trasplante o quienes han sido tratados con quimioterápicos contra cánceres. Tal vez sea beneficioso para algunos niños con deficiencias inmunológicas recibir un número mayor de dosis de vacuna del conjugado que las indicada (véase después en este resumen “Recomendaciones de Vacunación”).</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54"/>
        <w:gridCol w:w="1258"/>
        <w:gridCol w:w="1224"/>
        <w:gridCol w:w="2486"/>
      </w:tblGrid>
      <w:tr w:rsidR="00093A32" w14:paraId="109C147F" w14:textId="77777777">
        <w:tblPrEx>
          <w:tblCellMar>
            <w:top w:w="0" w:type="dxa"/>
            <w:bottom w:w="0" w:type="dxa"/>
          </w:tblCellMar>
        </w:tblPrEx>
        <w:trPr>
          <w:trHeight w:hRule="exact" w:val="869"/>
          <w:jc w:val="center"/>
        </w:trPr>
        <w:tc>
          <w:tcPr>
            <w:tcW w:w="6922" w:type="dxa"/>
            <w:gridSpan w:val="4"/>
            <w:tcBorders>
              <w:top w:val="single" w:sz="4" w:space="0" w:color="auto"/>
            </w:tcBorders>
            <w:shd w:val="clear" w:color="auto" w:fill="FFFFFF"/>
            <w:vAlign w:val="bottom"/>
          </w:tcPr>
          <w:p w14:paraId="0C1B5BC4" w14:textId="77777777" w:rsidR="00093A32" w:rsidRDefault="00093A32">
            <w:pPr>
              <w:pStyle w:val="Other0"/>
              <w:spacing w:line="211" w:lineRule="auto"/>
              <w:ind w:firstLine="0"/>
              <w:jc w:val="center"/>
              <w:rPr>
                <w:sz w:val="26"/>
                <w:szCs w:val="26"/>
              </w:rPr>
            </w:pPr>
            <w:r>
              <w:rPr>
                <w:rFonts w:ascii="Arial" w:eastAsia="Arial" w:hAnsi="Arial" w:cs="Arial"/>
                <w:w w:val="70"/>
                <w:sz w:val="26"/>
                <w:szCs w:val="26"/>
              </w:rPr>
              <w:t xml:space="preserve">Cuadro 3-19. </w:t>
            </w:r>
            <w:r>
              <w:rPr>
                <w:rFonts w:ascii="Arial" w:eastAsia="Arial" w:hAnsi="Arial" w:cs="Arial"/>
                <w:b/>
                <w:bCs/>
                <w:w w:val="70"/>
                <w:sz w:val="26"/>
                <w:szCs w:val="26"/>
              </w:rPr>
              <w:t xml:space="preserve">Vacunas de conjugado de </w:t>
            </w:r>
            <w:r>
              <w:rPr>
                <w:rFonts w:ascii="Arial" w:eastAsia="Arial" w:hAnsi="Arial" w:cs="Arial"/>
                <w:b/>
                <w:bCs/>
                <w:i/>
                <w:iCs/>
                <w:w w:val="70"/>
                <w:sz w:val="26"/>
                <w:szCs w:val="26"/>
              </w:rPr>
              <w:t>Haemophilus influenzae</w:t>
            </w:r>
            <w:r>
              <w:rPr>
                <w:rFonts w:ascii="Arial" w:eastAsia="Arial" w:hAnsi="Arial" w:cs="Arial"/>
                <w:b/>
                <w:bCs/>
                <w:w w:val="70"/>
                <w:sz w:val="26"/>
                <w:szCs w:val="26"/>
              </w:rPr>
              <w:t xml:space="preserve"> tipo b aprobadas para usar en lactantes y niños en Estados Unidos</w:t>
            </w:r>
            <w:r>
              <w:rPr>
                <w:rFonts w:ascii="Arial" w:eastAsia="Arial" w:hAnsi="Arial" w:cs="Arial"/>
                <w:b/>
                <w:bCs/>
                <w:w w:val="70"/>
                <w:sz w:val="26"/>
                <w:szCs w:val="26"/>
                <w:vertAlign w:val="superscript"/>
              </w:rPr>
              <w:t>1</w:t>
            </w:r>
          </w:p>
        </w:tc>
      </w:tr>
      <w:tr w:rsidR="00093A32" w14:paraId="3298EB8F" w14:textId="77777777">
        <w:tblPrEx>
          <w:tblCellMar>
            <w:top w:w="0" w:type="dxa"/>
            <w:bottom w:w="0" w:type="dxa"/>
          </w:tblCellMar>
        </w:tblPrEx>
        <w:trPr>
          <w:trHeight w:hRule="exact" w:val="552"/>
          <w:jc w:val="center"/>
        </w:trPr>
        <w:tc>
          <w:tcPr>
            <w:tcW w:w="1954" w:type="dxa"/>
            <w:shd w:val="clear" w:color="auto" w:fill="231F20"/>
            <w:vAlign w:val="bottom"/>
          </w:tcPr>
          <w:p w14:paraId="4ECAF8A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Fabricante</w:t>
            </w:r>
          </w:p>
        </w:tc>
        <w:tc>
          <w:tcPr>
            <w:tcW w:w="1258" w:type="dxa"/>
            <w:shd w:val="clear" w:color="auto" w:fill="231F20"/>
            <w:vAlign w:val="bottom"/>
          </w:tcPr>
          <w:p w14:paraId="5BB1A7B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40" w:firstLine="0"/>
              <w:rPr>
                <w:sz w:val="24"/>
                <w:szCs w:val="24"/>
              </w:rPr>
            </w:pPr>
            <w:r>
              <w:rPr>
                <w:rFonts w:ascii="Arial" w:eastAsia="Arial" w:hAnsi="Arial" w:cs="Arial"/>
                <w:b/>
                <w:bCs/>
                <w:color w:val="FFFFFF"/>
                <w:w w:val="70"/>
                <w:sz w:val="24"/>
                <w:szCs w:val="24"/>
              </w:rPr>
              <w:t>Abreviatura</w:t>
            </w:r>
          </w:p>
        </w:tc>
        <w:tc>
          <w:tcPr>
            <w:tcW w:w="1224" w:type="dxa"/>
            <w:shd w:val="clear" w:color="auto" w:fill="231F20"/>
          </w:tcPr>
          <w:p w14:paraId="497CB05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80" w:hanging="100"/>
              <w:rPr>
                <w:sz w:val="24"/>
                <w:szCs w:val="24"/>
              </w:rPr>
            </w:pPr>
            <w:r>
              <w:rPr>
                <w:rFonts w:ascii="Arial" w:eastAsia="Arial" w:hAnsi="Arial" w:cs="Arial"/>
                <w:b/>
                <w:bCs/>
                <w:color w:val="FFFFFF"/>
                <w:w w:val="70"/>
                <w:sz w:val="24"/>
                <w:szCs w:val="24"/>
              </w:rPr>
              <w:t>Nombre comercial</w:t>
            </w:r>
          </w:p>
        </w:tc>
        <w:tc>
          <w:tcPr>
            <w:tcW w:w="2486" w:type="dxa"/>
            <w:shd w:val="clear" w:color="auto" w:fill="231F20"/>
          </w:tcPr>
          <w:p w14:paraId="4F84BEC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340" w:hanging="340"/>
              <w:rPr>
                <w:sz w:val="24"/>
                <w:szCs w:val="24"/>
              </w:rPr>
            </w:pPr>
            <w:r>
              <w:rPr>
                <w:rFonts w:ascii="Arial" w:eastAsia="Arial" w:hAnsi="Arial" w:cs="Arial"/>
                <w:b/>
                <w:bCs/>
                <w:color w:val="FFFFFF"/>
                <w:w w:val="70"/>
                <w:sz w:val="24"/>
                <w:szCs w:val="24"/>
              </w:rPr>
              <w:t>Proteína transportadora</w:t>
            </w:r>
          </w:p>
        </w:tc>
      </w:tr>
      <w:tr w:rsidR="00093A32" w14:paraId="4EAAF3FE" w14:textId="77777777">
        <w:tblPrEx>
          <w:tblCellMar>
            <w:top w:w="0" w:type="dxa"/>
            <w:bottom w:w="0" w:type="dxa"/>
          </w:tblCellMar>
        </w:tblPrEx>
        <w:trPr>
          <w:trHeight w:hRule="exact" w:val="547"/>
          <w:jc w:val="center"/>
        </w:trPr>
        <w:tc>
          <w:tcPr>
            <w:tcW w:w="1954" w:type="dxa"/>
            <w:shd w:val="clear" w:color="auto" w:fill="FFFFFF"/>
            <w:vAlign w:val="bottom"/>
          </w:tcPr>
          <w:p w14:paraId="2F91970E" w14:textId="77777777" w:rsidR="00093A32" w:rsidRDefault="00093A32">
            <w:pPr>
              <w:pStyle w:val="Other0"/>
              <w:spacing w:line="331" w:lineRule="auto"/>
              <w:ind w:left="200" w:hanging="200"/>
              <w:rPr>
                <w:sz w:val="16"/>
                <w:szCs w:val="16"/>
              </w:rPr>
            </w:pPr>
            <w:r>
              <w:rPr>
                <w:rFonts w:ascii="Times New Roman" w:eastAsia="Times New Roman" w:hAnsi="Times New Roman" w:cs="Times New Roman"/>
                <w:sz w:val="16"/>
                <w:szCs w:val="16"/>
              </w:rPr>
              <w:t>Wyeth-Lederle, Vaccines (Philadelphia, PA)</w:t>
            </w:r>
          </w:p>
        </w:tc>
        <w:tc>
          <w:tcPr>
            <w:tcW w:w="1258" w:type="dxa"/>
            <w:shd w:val="clear" w:color="auto" w:fill="FFFFFF"/>
          </w:tcPr>
          <w:p w14:paraId="7F5CC036" w14:textId="77777777" w:rsidR="00093A32" w:rsidRDefault="00093A32">
            <w:pPr>
              <w:pStyle w:val="Other0"/>
              <w:spacing w:line="240" w:lineRule="auto"/>
              <w:ind w:left="140" w:firstLine="0"/>
              <w:rPr>
                <w:sz w:val="16"/>
                <w:szCs w:val="16"/>
              </w:rPr>
            </w:pPr>
            <w:r>
              <w:rPr>
                <w:rFonts w:ascii="Times New Roman" w:eastAsia="Times New Roman" w:hAnsi="Times New Roman" w:cs="Times New Roman"/>
                <w:sz w:val="16"/>
                <w:szCs w:val="16"/>
              </w:rPr>
              <w:t>HbOC</w:t>
            </w:r>
          </w:p>
        </w:tc>
        <w:tc>
          <w:tcPr>
            <w:tcW w:w="1224" w:type="dxa"/>
            <w:shd w:val="clear" w:color="auto" w:fill="FFFFFF"/>
          </w:tcPr>
          <w:p w14:paraId="2446C670"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HibTITER</w:t>
            </w:r>
          </w:p>
        </w:tc>
        <w:tc>
          <w:tcPr>
            <w:tcW w:w="2486" w:type="dxa"/>
            <w:shd w:val="clear" w:color="auto" w:fill="FFFFFF"/>
            <w:vAlign w:val="bottom"/>
          </w:tcPr>
          <w:p w14:paraId="4A37830A" w14:textId="77777777" w:rsidR="00093A32" w:rsidRDefault="00093A32">
            <w:pPr>
              <w:pStyle w:val="Other0"/>
              <w:spacing w:line="331" w:lineRule="auto"/>
              <w:ind w:left="240" w:hanging="240"/>
              <w:rPr>
                <w:sz w:val="16"/>
                <w:szCs w:val="16"/>
              </w:rPr>
            </w:pPr>
            <w:r>
              <w:rPr>
                <w:rFonts w:ascii="Times New Roman" w:eastAsia="Times New Roman" w:hAnsi="Times New Roman" w:cs="Times New Roman"/>
                <w:sz w:val="16"/>
                <w:szCs w:val="16"/>
              </w:rPr>
              <w:t>CRM</w:t>
            </w:r>
            <w:r>
              <w:rPr>
                <w:rFonts w:ascii="Times New Roman" w:eastAsia="Times New Roman" w:hAnsi="Times New Roman" w:cs="Times New Roman"/>
                <w:sz w:val="10"/>
                <w:szCs w:val="10"/>
              </w:rPr>
              <w:t xml:space="preserve">197 </w:t>
            </w:r>
            <w:r>
              <w:rPr>
                <w:rFonts w:ascii="Times New Roman" w:eastAsia="Times New Roman" w:hAnsi="Times New Roman" w:cs="Times New Roman"/>
                <w:sz w:val="16"/>
                <w:szCs w:val="16"/>
              </w:rPr>
              <w:t>(toxina atóxica mutante de difteria</w:t>
            </w:r>
          </w:p>
        </w:tc>
      </w:tr>
      <w:tr w:rsidR="00093A32" w14:paraId="31931B66" w14:textId="77777777">
        <w:tblPrEx>
          <w:tblCellMar>
            <w:top w:w="0" w:type="dxa"/>
            <w:bottom w:w="0" w:type="dxa"/>
          </w:tblCellMar>
        </w:tblPrEx>
        <w:trPr>
          <w:trHeight w:hRule="exact" w:val="653"/>
          <w:jc w:val="center"/>
        </w:trPr>
        <w:tc>
          <w:tcPr>
            <w:tcW w:w="1954" w:type="dxa"/>
            <w:shd w:val="clear" w:color="auto" w:fill="FFFFFF"/>
          </w:tcPr>
          <w:p w14:paraId="0F5F3D8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Merck &amp; Co, Inc,</w:t>
            </w:r>
          </w:p>
          <w:p w14:paraId="53C921BD"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(West Point, PA)</w:t>
            </w:r>
          </w:p>
        </w:tc>
        <w:tc>
          <w:tcPr>
            <w:tcW w:w="1258" w:type="dxa"/>
            <w:shd w:val="clear" w:color="auto" w:fill="FFFFFF"/>
          </w:tcPr>
          <w:p w14:paraId="66202F7E" w14:textId="77777777" w:rsidR="00093A32" w:rsidRDefault="00093A32">
            <w:pPr>
              <w:pStyle w:val="Other0"/>
              <w:spacing w:line="240" w:lineRule="auto"/>
              <w:ind w:left="140" w:firstLine="0"/>
              <w:rPr>
                <w:sz w:val="16"/>
                <w:szCs w:val="16"/>
              </w:rPr>
            </w:pPr>
            <w:r>
              <w:rPr>
                <w:rFonts w:ascii="Times New Roman" w:eastAsia="Times New Roman" w:hAnsi="Times New Roman" w:cs="Times New Roman"/>
                <w:sz w:val="16"/>
                <w:szCs w:val="16"/>
              </w:rPr>
              <w:t>PRP-OMP</w:t>
            </w:r>
          </w:p>
        </w:tc>
        <w:tc>
          <w:tcPr>
            <w:tcW w:w="1224" w:type="dxa"/>
            <w:shd w:val="clear" w:color="auto" w:fill="FFFFFF"/>
          </w:tcPr>
          <w:p w14:paraId="7BCADAD3"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PedvaxHIB</w:t>
            </w:r>
          </w:p>
        </w:tc>
        <w:tc>
          <w:tcPr>
            <w:tcW w:w="2486" w:type="dxa"/>
            <w:shd w:val="clear" w:color="auto" w:fill="FFFFFF"/>
            <w:vAlign w:val="bottom"/>
          </w:tcPr>
          <w:p w14:paraId="3039B9A1" w14:textId="77777777" w:rsidR="00093A32" w:rsidRDefault="00093A32">
            <w:pPr>
              <w:pStyle w:val="Other0"/>
              <w:spacing w:line="283" w:lineRule="auto"/>
              <w:ind w:left="240" w:hanging="240"/>
              <w:rPr>
                <w:sz w:val="16"/>
                <w:szCs w:val="16"/>
              </w:rPr>
            </w:pPr>
            <w:r>
              <w:rPr>
                <w:rFonts w:ascii="Times New Roman" w:eastAsia="Times New Roman" w:hAnsi="Times New Roman" w:cs="Times New Roman"/>
                <w:sz w:val="16"/>
                <w:szCs w:val="16"/>
              </w:rPr>
              <w:t>OMP</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(complejo proteínico de membrana externa de </w:t>
            </w:r>
            <w:r>
              <w:rPr>
                <w:rFonts w:ascii="Times New Roman" w:eastAsia="Times New Roman" w:hAnsi="Times New Roman" w:cs="Times New Roman"/>
                <w:i/>
                <w:iCs/>
                <w:sz w:val="16"/>
                <w:szCs w:val="16"/>
              </w:rPr>
              <w:t>Neisseria meningitidis)</w:t>
            </w:r>
          </w:p>
        </w:tc>
      </w:tr>
      <w:tr w:rsidR="00093A32" w14:paraId="0C7D5A8D" w14:textId="77777777">
        <w:tblPrEx>
          <w:tblCellMar>
            <w:top w:w="0" w:type="dxa"/>
            <w:bottom w:w="0" w:type="dxa"/>
          </w:tblCellMar>
        </w:tblPrEx>
        <w:trPr>
          <w:trHeight w:hRule="exact" w:val="427"/>
          <w:jc w:val="center"/>
        </w:trPr>
        <w:tc>
          <w:tcPr>
            <w:tcW w:w="1954" w:type="dxa"/>
            <w:shd w:val="clear" w:color="auto" w:fill="FFFFFF"/>
          </w:tcPr>
          <w:p w14:paraId="738EDD96"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Aventis Pasteur, (Swiftwater, PA)</w:t>
            </w:r>
          </w:p>
        </w:tc>
        <w:tc>
          <w:tcPr>
            <w:tcW w:w="1258" w:type="dxa"/>
            <w:shd w:val="clear" w:color="auto" w:fill="FFFFFF"/>
          </w:tcPr>
          <w:p w14:paraId="4AD7B2E9" w14:textId="77777777" w:rsidR="00093A32" w:rsidRDefault="00093A32">
            <w:pPr>
              <w:pStyle w:val="Other0"/>
              <w:spacing w:line="240" w:lineRule="auto"/>
              <w:ind w:left="140" w:firstLine="0"/>
              <w:rPr>
                <w:sz w:val="16"/>
                <w:szCs w:val="16"/>
              </w:rPr>
            </w:pPr>
            <w:r>
              <w:rPr>
                <w:rFonts w:ascii="Times New Roman" w:eastAsia="Times New Roman" w:hAnsi="Times New Roman" w:cs="Times New Roman"/>
                <w:sz w:val="16"/>
                <w:szCs w:val="16"/>
              </w:rPr>
              <w:t>PRP-T</w:t>
            </w:r>
          </w:p>
        </w:tc>
        <w:tc>
          <w:tcPr>
            <w:tcW w:w="1224" w:type="dxa"/>
            <w:shd w:val="clear" w:color="auto" w:fill="FFFFFF"/>
          </w:tcPr>
          <w:p w14:paraId="4FF77261" w14:textId="77777777" w:rsidR="00093A32" w:rsidRDefault="00093A32">
            <w:pPr>
              <w:pStyle w:val="Other0"/>
              <w:spacing w:line="283" w:lineRule="auto"/>
              <w:ind w:left="160"/>
              <w:rPr>
                <w:sz w:val="16"/>
                <w:szCs w:val="16"/>
              </w:rPr>
            </w:pPr>
            <w:r>
              <w:rPr>
                <w:rFonts w:ascii="Times New Roman" w:eastAsia="Times New Roman" w:hAnsi="Times New Roman" w:cs="Times New Roman"/>
                <w:sz w:val="16"/>
                <w:szCs w:val="16"/>
              </w:rPr>
              <w:t>ActHIB, OmniHIB</w:t>
            </w:r>
          </w:p>
        </w:tc>
        <w:tc>
          <w:tcPr>
            <w:tcW w:w="2486" w:type="dxa"/>
            <w:shd w:val="clear" w:color="auto" w:fill="FFFFFF"/>
          </w:tcPr>
          <w:p w14:paraId="62EBD5F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Toxoide tetánico</w:t>
            </w:r>
          </w:p>
        </w:tc>
      </w:tr>
      <w:tr w:rsidR="00093A32" w14:paraId="3A6761AE" w14:textId="77777777">
        <w:tblPrEx>
          <w:tblCellMar>
            <w:top w:w="0" w:type="dxa"/>
            <w:bottom w:w="0" w:type="dxa"/>
          </w:tblCellMar>
        </w:tblPrEx>
        <w:trPr>
          <w:trHeight w:hRule="exact" w:val="528"/>
          <w:jc w:val="center"/>
        </w:trPr>
        <w:tc>
          <w:tcPr>
            <w:tcW w:w="1954" w:type="dxa"/>
            <w:tcBorders>
              <w:bottom w:val="single" w:sz="4" w:space="0" w:color="auto"/>
            </w:tcBorders>
            <w:shd w:val="clear" w:color="auto" w:fill="FFFFFF"/>
          </w:tcPr>
          <w:p w14:paraId="40078E9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Merck &amp; Co, Inc,</w:t>
            </w:r>
          </w:p>
          <w:p w14:paraId="7CF5251E"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(West Point, PA)</w:t>
            </w:r>
            <w:r>
              <w:rPr>
                <w:rFonts w:ascii="Times New Roman" w:eastAsia="Times New Roman" w:hAnsi="Times New Roman" w:cs="Times New Roman"/>
                <w:sz w:val="16"/>
                <w:szCs w:val="16"/>
                <w:vertAlign w:val="superscript"/>
              </w:rPr>
              <w:t>2</w:t>
            </w:r>
          </w:p>
        </w:tc>
        <w:tc>
          <w:tcPr>
            <w:tcW w:w="1258" w:type="dxa"/>
            <w:tcBorders>
              <w:bottom w:val="single" w:sz="4" w:space="0" w:color="auto"/>
            </w:tcBorders>
            <w:shd w:val="clear" w:color="auto" w:fill="FFFFFF"/>
          </w:tcPr>
          <w:p w14:paraId="639DE4EF" w14:textId="77777777" w:rsidR="00093A32" w:rsidRDefault="00093A32">
            <w:pPr>
              <w:pStyle w:val="Other0"/>
              <w:spacing w:line="283" w:lineRule="auto"/>
              <w:ind w:left="140" w:firstLine="0"/>
              <w:rPr>
                <w:sz w:val="16"/>
                <w:szCs w:val="16"/>
              </w:rPr>
            </w:pPr>
            <w:r>
              <w:rPr>
                <w:rFonts w:ascii="Times New Roman" w:eastAsia="Times New Roman" w:hAnsi="Times New Roman" w:cs="Times New Roman"/>
                <w:sz w:val="16"/>
                <w:szCs w:val="16"/>
              </w:rPr>
              <w:t>PRP-OMP/ Hep B</w:t>
            </w:r>
          </w:p>
        </w:tc>
        <w:tc>
          <w:tcPr>
            <w:tcW w:w="1224" w:type="dxa"/>
            <w:tcBorders>
              <w:bottom w:val="single" w:sz="4" w:space="0" w:color="auto"/>
            </w:tcBorders>
            <w:shd w:val="clear" w:color="auto" w:fill="FFFFFF"/>
          </w:tcPr>
          <w:p w14:paraId="3B649A8A" w14:textId="77777777" w:rsidR="00093A32" w:rsidRDefault="00093A32">
            <w:pPr>
              <w:pStyle w:val="Other0"/>
              <w:spacing w:line="240" w:lineRule="auto"/>
              <w:ind w:left="160"/>
              <w:rPr>
                <w:sz w:val="16"/>
                <w:szCs w:val="16"/>
              </w:rPr>
            </w:pPr>
            <w:r>
              <w:rPr>
                <w:rFonts w:ascii="Times New Roman" w:eastAsia="Times New Roman" w:hAnsi="Times New Roman" w:cs="Times New Roman"/>
                <w:sz w:val="16"/>
                <w:szCs w:val="16"/>
              </w:rPr>
              <w:t>Comvax</w:t>
            </w:r>
          </w:p>
        </w:tc>
        <w:tc>
          <w:tcPr>
            <w:tcW w:w="2486" w:type="dxa"/>
            <w:tcBorders>
              <w:bottom w:val="single" w:sz="4" w:space="0" w:color="auto"/>
            </w:tcBorders>
            <w:shd w:val="clear" w:color="auto" w:fill="FFFFFF"/>
          </w:tcPr>
          <w:p w14:paraId="1D89615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OMP</w:t>
            </w:r>
          </w:p>
        </w:tc>
      </w:tr>
    </w:tbl>
    <w:p w14:paraId="2B1B105A" w14:textId="77777777" w:rsidR="00093A32" w:rsidRDefault="00093A32">
      <w:pPr>
        <w:pStyle w:val="Tablecaption0"/>
        <w:numPr>
          <w:ilvl w:val="0"/>
          <w:numId w:val="63"/>
        </w:numPr>
        <w:tabs>
          <w:tab w:val="left" w:pos="74"/>
        </w:tabs>
        <w:spacing w:line="240" w:lineRule="auto"/>
        <w:ind w:left="82"/>
      </w:pPr>
      <w:r>
        <w:t>Las vacunas en cuestión pueden formar parte de productos mixtos o bien ser productos reconstituidos con toxoides de difteria o tétanos y vacuna acelular de tos ferina (DTaP), a condición de que la forma mixta o la vacuna reconstituida sean aprobados por la Food and Drug Administration en Estados Unidos con base en la edad del niño y también se justifique administrar el otro componente de la vacuna. Los productos mixtos como DTaP/Hib no se utilizarán en la vacunación primaria en lactantes a los dos, cuatro o seis meses de edad, pero pueden usarse como dosis de refuerzo después de cualquier vacuna Hib. Hubo que revocar la licencia para fabricar ProHIBiT (PRP-D) a solicitud del fabricante, en febrero de 2001.</w:t>
      </w:r>
    </w:p>
    <w:p w14:paraId="484F12C1" w14:textId="77777777" w:rsidR="00093A32" w:rsidRDefault="00093A32">
      <w:pPr>
        <w:pStyle w:val="Tablecaption0"/>
        <w:numPr>
          <w:ilvl w:val="0"/>
          <w:numId w:val="63"/>
        </w:numPr>
        <w:tabs>
          <w:tab w:val="left" w:pos="79"/>
        </w:tabs>
        <w:spacing w:line="240" w:lineRule="auto"/>
        <w:ind w:left="82"/>
      </w:pPr>
      <w:r>
        <w:t xml:space="preserve">En Estados Unidos se ha aprobado la mezcla de vacuna contra </w:t>
      </w:r>
      <w:r>
        <w:rPr>
          <w:i/>
          <w:iCs/>
        </w:rPr>
        <w:t>H. influenzae</w:t>
      </w:r>
      <w:r>
        <w:t xml:space="preserve"> (PRP-OMP) y hepatitis B (Recombivax, 5 </w:t>
      </w:r>
      <w:r>
        <w:rPr>
          <w:rFonts w:ascii="Arial" w:eastAsia="Arial" w:hAnsi="Arial" w:cs="Arial"/>
        </w:rPr>
        <w:t>p</w:t>
      </w:r>
      <w:r>
        <w:t>g) para utilizar a los dos, cuatro y 12 a 15 meses de vida (Comvax).</w:t>
      </w:r>
    </w:p>
    <w:p w14:paraId="1C8F4996" w14:textId="77777777" w:rsidR="00093A32" w:rsidRDefault="00093A32">
      <w:pPr>
        <w:pStyle w:val="Tablecaption0"/>
        <w:numPr>
          <w:ilvl w:val="0"/>
          <w:numId w:val="63"/>
        </w:numPr>
        <w:tabs>
          <w:tab w:val="left" w:pos="259"/>
        </w:tabs>
        <w:spacing w:line="240" w:lineRule="auto"/>
        <w:ind w:left="82"/>
      </w:pPr>
      <w:r>
        <w:t xml:space="preserve">OMP, complejo proteínico de membrana externa </w:t>
      </w:r>
      <w:r>
        <w:rPr>
          <w:i/>
          <w:iCs/>
        </w:rPr>
        <w:t>(outer membrane protein complex).</w:t>
      </w:r>
    </w:p>
    <w:p w14:paraId="4006C04E" w14:textId="77777777" w:rsidR="00093A32" w:rsidRDefault="00093A32">
      <w:pPr>
        <w:spacing w:after="539" w:line="1" w:lineRule="exact"/>
      </w:pPr>
    </w:p>
    <w:p w14:paraId="5E0C4EBE" w14:textId="77777777" w:rsidR="00093A32" w:rsidRDefault="00093A32">
      <w:pPr>
        <w:pStyle w:val="BodyText"/>
        <w:ind w:firstLine="380"/>
      </w:pPr>
      <w:r>
        <w:rPr>
          <w:rFonts w:ascii="Times New Roman" w:eastAsia="Times New Roman" w:hAnsi="Times New Roman" w:cs="Times New Roman"/>
          <w:b/>
          <w:bCs/>
          <w:i/>
          <w:iCs/>
          <w:sz w:val="16"/>
          <w:szCs w:val="16"/>
        </w:rPr>
        <w:t>Ineficacia de las vacunas.</w:t>
      </w:r>
      <w:r>
        <w:t xml:space="preserve"> Incluso en niños que han sido vacunados con un producto de conjugados puede aparecer enfermedad por Hib. Las respuestas de anticuerpos séricos no se desarrollan antes de una a dos semanas de la vacunación, por lo que no puede esperarse que quienes las reciben estén protegidos durante este lapso inmediato posterior a la vacunación. Los datos de vigilancia en Estados Unidos indican que cada año ocurren unos 15 casos de enfermedad invasora por Hib en niños menores de cinco años que recibieron en fecha previa la serie primaria con vacuna de conjugados de </w:t>
      </w:r>
      <w:r>
        <w:rPr>
          <w:rFonts w:ascii="Times New Roman" w:eastAsia="Times New Roman" w:hAnsi="Times New Roman" w:cs="Times New Roman"/>
          <w:i/>
          <w:iCs/>
          <w:sz w:val="16"/>
          <w:szCs w:val="16"/>
        </w:rPr>
        <w:t>Haemophilus influenzae</w:t>
      </w:r>
      <w:r>
        <w:t xml:space="preserve"> tipo b.</w:t>
      </w:r>
    </w:p>
    <w:p w14:paraId="1935CA22" w14:textId="77777777" w:rsidR="00093A32" w:rsidRDefault="00093A32">
      <w:pPr>
        <w:pStyle w:val="BodyText"/>
        <w:ind w:firstLine="380"/>
      </w:pPr>
      <w:r>
        <w:rPr>
          <w:rFonts w:ascii="Times New Roman" w:eastAsia="Times New Roman" w:hAnsi="Times New Roman" w:cs="Times New Roman"/>
          <w:b/>
          <w:bCs/>
          <w:i/>
          <w:iCs/>
          <w:sz w:val="16"/>
          <w:szCs w:val="16"/>
        </w:rPr>
        <w:t>Reacciones adversas.</w:t>
      </w:r>
      <w:r>
        <w:t xml:space="preserve"> Las reacciones de este tipo a las vacunas mencionadas son escasas. En 25% de los vacunados, en promedio, hay dolor, enrojecimiento e hinchazón del sitio de la inyección, pero las manifestaciones en forma típica son leves y duran menos de 24 h. Son raras las reacciones sistémicas. Cuando se aplican las vacunas de conjugado en la misma sesión que se administran los toxoides diftérico y tetánico y la vacuna acelular de tos ferina </w:t>
      </w:r>
      <w:r>
        <w:rPr>
          <w:i/>
          <w:iCs/>
        </w:rPr>
        <w:t>(</w:t>
      </w:r>
      <w:r>
        <w:rPr>
          <w:rFonts w:ascii="Times New Roman" w:eastAsia="Times New Roman" w:hAnsi="Times New Roman" w:cs="Times New Roman"/>
          <w:i/>
          <w:iCs/>
          <w:sz w:val="16"/>
          <w:szCs w:val="16"/>
        </w:rPr>
        <w:t>diphtheria</w:t>
      </w:r>
      <w:r>
        <w:t xml:space="preserve"> and </w:t>
      </w:r>
      <w:r>
        <w:rPr>
          <w:rFonts w:ascii="Times New Roman" w:eastAsia="Times New Roman" w:hAnsi="Times New Roman" w:cs="Times New Roman"/>
          <w:i/>
          <w:iCs/>
          <w:sz w:val="16"/>
          <w:szCs w:val="16"/>
        </w:rPr>
        <w:t>tetanus toxoids</w:t>
      </w:r>
      <w:r>
        <w:t xml:space="preserve"> and </w:t>
      </w:r>
      <w:r>
        <w:rPr>
          <w:rFonts w:ascii="Times New Roman" w:eastAsia="Times New Roman" w:hAnsi="Times New Roman" w:cs="Times New Roman"/>
          <w:i/>
          <w:iCs/>
          <w:sz w:val="16"/>
          <w:szCs w:val="16"/>
        </w:rPr>
        <w:t xml:space="preserve">acellular pertussis, </w:t>
      </w:r>
      <w:r>
        <w:t>DTaP), las cifras de reacciones sistémicas no difieren de las observadas cuando se administra la vacuna DTaP sola.</w:t>
      </w:r>
    </w:p>
    <w:p w14:paraId="3F983E89" w14:textId="77777777" w:rsidR="00093A32" w:rsidRDefault="00093A32">
      <w:pPr>
        <w:pStyle w:val="Bodytext80"/>
        <w:spacing w:line="334" w:lineRule="auto"/>
        <w:ind w:firstLine="380"/>
        <w:rPr>
          <w:sz w:val="15"/>
          <w:szCs w:val="15"/>
        </w:rPr>
      </w:pPr>
      <w:r>
        <w:rPr>
          <w:b/>
          <w:bCs/>
          <w:i/>
          <w:iCs/>
          <w:sz w:val="15"/>
          <w:szCs w:val="15"/>
        </w:rPr>
        <w:t>Recomendaciones para vacunación</w:t>
      </w:r>
    </w:p>
    <w:p w14:paraId="4EA3F2D9" w14:textId="77777777" w:rsidR="00093A32" w:rsidRDefault="00093A32">
      <w:pPr>
        <w:pStyle w:val="Bodytext20"/>
        <w:spacing w:line="314" w:lineRule="auto"/>
        <w:ind w:firstLine="380"/>
      </w:pPr>
      <w:r>
        <w:rPr>
          <w:b/>
          <w:bCs/>
          <w:i/>
          <w:iCs/>
        </w:rPr>
        <w:t>Indicaciones y plan</w:t>
      </w:r>
    </w:p>
    <w:p w14:paraId="02A849F3" w14:textId="77777777" w:rsidR="00093A32" w:rsidRDefault="00093A32">
      <w:pPr>
        <w:pStyle w:val="BodyText"/>
        <w:ind w:left="380" w:hanging="380"/>
      </w:pPr>
      <w:r>
        <w:t>• Es necesario vacunar a todos los niños con el preparado de conjugado de Hib, desde los dos meses de edad, en promedio, o tan pronto sea posible después de esa fecha (véase cuadro 3-20). Se indican a continuación otras recomendaciones generales:</w:t>
      </w:r>
    </w:p>
    <w:p w14:paraId="0D299DF6" w14:textId="77777777" w:rsidR="00093A32" w:rsidRDefault="00093A32">
      <w:pPr>
        <w:pStyle w:val="BodyText"/>
        <w:numPr>
          <w:ilvl w:val="0"/>
          <w:numId w:val="61"/>
        </w:numPr>
        <w:tabs>
          <w:tab w:val="left" w:pos="721"/>
        </w:tabs>
        <w:ind w:firstLine="380"/>
      </w:pPr>
      <w:bookmarkStart w:id="139" w:name="bookmark745"/>
      <w:bookmarkEnd w:id="139"/>
      <w:r>
        <w:t>La vacunación se puede comenzar desde las seis semanas de vida.</w:t>
      </w:r>
    </w:p>
    <w:p w14:paraId="109DA011" w14:textId="77777777" w:rsidR="00093A32" w:rsidRDefault="00093A32">
      <w:pPr>
        <w:pStyle w:val="BodyText"/>
        <w:numPr>
          <w:ilvl w:val="0"/>
          <w:numId w:val="61"/>
        </w:numPr>
        <w:tabs>
          <w:tab w:val="left" w:pos="721"/>
        </w:tabs>
        <w:ind w:left="720" w:hanging="340"/>
      </w:pPr>
      <w:bookmarkStart w:id="140" w:name="bookmark746"/>
      <w:bookmarkEnd w:id="140"/>
      <w:r>
        <w:t>Puede aplicarse la vacuna durante las sesiones o visitas en que se apliquen las vacunas de DTaP, antineumocócica, contra virus de poliomielitis, contra</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603"/>
        <w:gridCol w:w="2021"/>
        <w:gridCol w:w="3298"/>
      </w:tblGrid>
      <w:tr w:rsidR="00093A32" w14:paraId="009540B8" w14:textId="77777777">
        <w:tblPrEx>
          <w:tblCellMar>
            <w:top w:w="0" w:type="dxa"/>
            <w:bottom w:w="0" w:type="dxa"/>
          </w:tblCellMar>
        </w:tblPrEx>
        <w:trPr>
          <w:trHeight w:hRule="exact" w:val="1133"/>
          <w:jc w:val="center"/>
        </w:trPr>
        <w:tc>
          <w:tcPr>
            <w:tcW w:w="6922" w:type="dxa"/>
            <w:gridSpan w:val="3"/>
            <w:tcBorders>
              <w:top w:val="single" w:sz="4" w:space="0" w:color="auto"/>
            </w:tcBorders>
            <w:shd w:val="clear" w:color="auto" w:fill="FFFFFF"/>
            <w:vAlign w:val="bottom"/>
          </w:tcPr>
          <w:p w14:paraId="0A127167" w14:textId="77777777" w:rsidR="00093A32" w:rsidRDefault="00093A32">
            <w:pPr>
              <w:pStyle w:val="Other0"/>
              <w:spacing w:line="211" w:lineRule="auto"/>
              <w:ind w:firstLine="0"/>
              <w:jc w:val="center"/>
              <w:rPr>
                <w:sz w:val="26"/>
                <w:szCs w:val="26"/>
              </w:rPr>
            </w:pPr>
            <w:r>
              <w:rPr>
                <w:rFonts w:ascii="Arial" w:eastAsia="Arial" w:hAnsi="Arial" w:cs="Arial"/>
                <w:w w:val="70"/>
                <w:sz w:val="26"/>
                <w:szCs w:val="26"/>
              </w:rPr>
              <w:t xml:space="preserve">Cuadro 3-20. </w:t>
            </w:r>
            <w:r>
              <w:rPr>
                <w:rFonts w:ascii="Arial" w:eastAsia="Arial" w:hAnsi="Arial" w:cs="Arial"/>
                <w:b/>
                <w:bCs/>
                <w:w w:val="70"/>
                <w:sz w:val="26"/>
                <w:szCs w:val="26"/>
              </w:rPr>
              <w:t xml:space="preserve">Regímenes recomendados para la vacunación corriente con conjugado de </w:t>
            </w:r>
            <w:r>
              <w:rPr>
                <w:rFonts w:ascii="Arial" w:eastAsia="Arial" w:hAnsi="Arial" w:cs="Arial"/>
                <w:b/>
                <w:bCs/>
                <w:i/>
                <w:iCs/>
                <w:w w:val="70"/>
                <w:sz w:val="26"/>
                <w:szCs w:val="26"/>
              </w:rPr>
              <w:t>Haemophilus influenza</w:t>
            </w:r>
            <w:r>
              <w:rPr>
                <w:rFonts w:ascii="Arial" w:eastAsia="Arial" w:hAnsi="Arial" w:cs="Arial"/>
                <w:b/>
                <w:bCs/>
                <w:w w:val="70"/>
                <w:sz w:val="26"/>
                <w:szCs w:val="26"/>
              </w:rPr>
              <w:t xml:space="preserve"> tipo b para niños cuya vacunación comenzó entre los dos y los seis meses de vida</w:t>
            </w:r>
            <w:r>
              <w:rPr>
                <w:rFonts w:ascii="Arial" w:eastAsia="Arial" w:hAnsi="Arial" w:cs="Arial"/>
                <w:b/>
                <w:bCs/>
                <w:w w:val="70"/>
                <w:sz w:val="26"/>
                <w:szCs w:val="26"/>
                <w:vertAlign w:val="superscript"/>
              </w:rPr>
              <w:t>1</w:t>
            </w:r>
          </w:p>
        </w:tc>
      </w:tr>
      <w:tr w:rsidR="00093A32" w14:paraId="594E8603" w14:textId="77777777">
        <w:tblPrEx>
          <w:tblCellMar>
            <w:top w:w="0" w:type="dxa"/>
            <w:bottom w:w="0" w:type="dxa"/>
          </w:tblCellMar>
        </w:tblPrEx>
        <w:trPr>
          <w:trHeight w:hRule="exact" w:val="552"/>
          <w:jc w:val="center"/>
        </w:trPr>
        <w:tc>
          <w:tcPr>
            <w:tcW w:w="1603" w:type="dxa"/>
            <w:shd w:val="clear" w:color="auto" w:fill="231F20"/>
          </w:tcPr>
          <w:p w14:paraId="78E088D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jc w:val="center"/>
              <w:rPr>
                <w:sz w:val="24"/>
                <w:szCs w:val="24"/>
              </w:rPr>
            </w:pPr>
            <w:r>
              <w:rPr>
                <w:rFonts w:ascii="Arial" w:eastAsia="Arial" w:hAnsi="Arial" w:cs="Arial"/>
                <w:b/>
                <w:bCs/>
                <w:color w:val="FFFFFF"/>
                <w:w w:val="70"/>
                <w:sz w:val="24"/>
                <w:szCs w:val="24"/>
              </w:rPr>
              <w:t>Producto vacunal en el comienzo</w:t>
            </w:r>
          </w:p>
        </w:tc>
        <w:tc>
          <w:tcPr>
            <w:tcW w:w="2021" w:type="dxa"/>
            <w:shd w:val="clear" w:color="auto" w:fill="231F20"/>
          </w:tcPr>
          <w:p w14:paraId="58EE152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jc w:val="center"/>
              <w:rPr>
                <w:sz w:val="24"/>
                <w:szCs w:val="24"/>
              </w:rPr>
            </w:pPr>
            <w:r>
              <w:rPr>
                <w:rFonts w:ascii="Arial" w:eastAsia="Arial" w:hAnsi="Arial" w:cs="Arial"/>
                <w:b/>
                <w:bCs/>
                <w:color w:val="FFFFFF"/>
                <w:w w:val="70"/>
                <w:sz w:val="24"/>
                <w:szCs w:val="24"/>
              </w:rPr>
              <w:t>Número total de dosis por administrar</w:t>
            </w:r>
          </w:p>
        </w:tc>
        <w:tc>
          <w:tcPr>
            <w:tcW w:w="3298" w:type="dxa"/>
            <w:shd w:val="clear" w:color="auto" w:fill="231F20"/>
            <w:vAlign w:val="bottom"/>
          </w:tcPr>
          <w:p w14:paraId="40AD742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Régimen recomendado</w:t>
            </w:r>
          </w:p>
        </w:tc>
      </w:tr>
      <w:tr w:rsidR="00093A32" w14:paraId="7D4757F4" w14:textId="77777777">
        <w:tblPrEx>
          <w:tblCellMar>
            <w:top w:w="0" w:type="dxa"/>
            <w:bottom w:w="0" w:type="dxa"/>
          </w:tblCellMar>
        </w:tblPrEx>
        <w:trPr>
          <w:trHeight w:hRule="exact" w:val="1138"/>
          <w:jc w:val="center"/>
        </w:trPr>
        <w:tc>
          <w:tcPr>
            <w:tcW w:w="1603" w:type="dxa"/>
            <w:shd w:val="clear" w:color="auto" w:fill="FFFFFF"/>
          </w:tcPr>
          <w:p w14:paraId="34780C9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HbOC o PRP-T</w:t>
            </w:r>
          </w:p>
        </w:tc>
        <w:tc>
          <w:tcPr>
            <w:tcW w:w="2021" w:type="dxa"/>
            <w:shd w:val="clear" w:color="auto" w:fill="FFFFFF"/>
          </w:tcPr>
          <w:p w14:paraId="7C88AF9C" w14:textId="77777777" w:rsidR="00093A32" w:rsidRDefault="00093A32">
            <w:pPr>
              <w:pStyle w:val="Other0"/>
              <w:spacing w:line="240" w:lineRule="auto"/>
              <w:ind w:firstLine="880"/>
              <w:rPr>
                <w:sz w:val="16"/>
                <w:szCs w:val="16"/>
              </w:rPr>
            </w:pPr>
            <w:r>
              <w:rPr>
                <w:rFonts w:ascii="Times New Roman" w:eastAsia="Times New Roman" w:hAnsi="Times New Roman" w:cs="Times New Roman"/>
                <w:sz w:val="16"/>
                <w:szCs w:val="16"/>
              </w:rPr>
              <w:t>4</w:t>
            </w:r>
          </w:p>
        </w:tc>
        <w:tc>
          <w:tcPr>
            <w:tcW w:w="3298" w:type="dxa"/>
            <w:shd w:val="clear" w:color="auto" w:fill="FFFFFF"/>
            <w:vAlign w:val="bottom"/>
          </w:tcPr>
          <w:p w14:paraId="22C5E5F1"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Inicialmente, 3 dosis a intervalos de</w:t>
            </w:r>
          </w:p>
          <w:p w14:paraId="1D13022E" w14:textId="77777777" w:rsidR="00093A32" w:rsidRDefault="00093A32">
            <w:pPr>
              <w:pStyle w:val="Other0"/>
              <w:spacing w:line="283" w:lineRule="auto"/>
              <w:ind w:left="200" w:firstLine="0"/>
              <w:rPr>
                <w:sz w:val="16"/>
                <w:szCs w:val="16"/>
              </w:rPr>
            </w:pPr>
            <w:r>
              <w:rPr>
                <w:rFonts w:ascii="Times New Roman" w:eastAsia="Times New Roman" w:hAnsi="Times New Roman" w:cs="Times New Roman"/>
                <w:sz w:val="16"/>
                <w:szCs w:val="16"/>
              </w:rPr>
              <w:t>2 meses; la cuarta dosis se aplica entre los 12 y los 15 meses de vida; se puede usar cualquier vacuna de conjugado para la cuarta dosis</w:t>
            </w:r>
            <w:r>
              <w:rPr>
                <w:rFonts w:ascii="Times New Roman" w:eastAsia="Times New Roman" w:hAnsi="Times New Roman" w:cs="Times New Roman"/>
                <w:sz w:val="16"/>
                <w:szCs w:val="16"/>
                <w:vertAlign w:val="superscript"/>
              </w:rPr>
              <w:t>2</w:t>
            </w:r>
          </w:p>
        </w:tc>
      </w:tr>
      <w:tr w:rsidR="00093A32" w14:paraId="6446E930" w14:textId="77777777">
        <w:tblPrEx>
          <w:tblCellMar>
            <w:top w:w="0" w:type="dxa"/>
            <w:bottom w:w="0" w:type="dxa"/>
          </w:tblCellMar>
        </w:tblPrEx>
        <w:trPr>
          <w:trHeight w:hRule="exact" w:val="1411"/>
          <w:jc w:val="center"/>
        </w:trPr>
        <w:tc>
          <w:tcPr>
            <w:tcW w:w="1603" w:type="dxa"/>
            <w:tcBorders>
              <w:bottom w:val="single" w:sz="4" w:space="0" w:color="auto"/>
            </w:tcBorders>
            <w:shd w:val="clear" w:color="auto" w:fill="FFFFFF"/>
          </w:tcPr>
          <w:p w14:paraId="3506232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PRP-OMP</w:t>
            </w:r>
          </w:p>
        </w:tc>
        <w:tc>
          <w:tcPr>
            <w:tcW w:w="2021" w:type="dxa"/>
            <w:tcBorders>
              <w:bottom w:val="single" w:sz="4" w:space="0" w:color="auto"/>
            </w:tcBorders>
            <w:shd w:val="clear" w:color="auto" w:fill="FFFFFF"/>
          </w:tcPr>
          <w:p w14:paraId="477F5E38" w14:textId="77777777" w:rsidR="00093A32" w:rsidRDefault="00093A32">
            <w:pPr>
              <w:pStyle w:val="Other0"/>
              <w:spacing w:line="240" w:lineRule="auto"/>
              <w:ind w:firstLine="880"/>
              <w:rPr>
                <w:sz w:val="16"/>
                <w:szCs w:val="16"/>
              </w:rPr>
            </w:pPr>
            <w:r>
              <w:rPr>
                <w:rFonts w:ascii="Times New Roman" w:eastAsia="Times New Roman" w:hAnsi="Times New Roman" w:cs="Times New Roman"/>
                <w:sz w:val="16"/>
                <w:szCs w:val="16"/>
              </w:rPr>
              <w:t>3</w:t>
            </w:r>
          </w:p>
        </w:tc>
        <w:tc>
          <w:tcPr>
            <w:tcW w:w="3298" w:type="dxa"/>
            <w:tcBorders>
              <w:bottom w:val="single" w:sz="4" w:space="0" w:color="auto"/>
            </w:tcBorders>
            <w:shd w:val="clear" w:color="auto" w:fill="FFFFFF"/>
          </w:tcPr>
          <w:p w14:paraId="7C4E5605"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Dos dosis con diferencia de 2 meses, si es factible usar la misma vacuna para la primera y la segunda dosis;</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la tercera dosis se aplica entre los 12 y 15 meses de edad; se puede utilizar cualquier vacuna de conjugado para la tercera dosis</w:t>
            </w:r>
          </w:p>
        </w:tc>
      </w:tr>
    </w:tbl>
    <w:p w14:paraId="0F6CBB85" w14:textId="77777777" w:rsidR="00093A32" w:rsidRDefault="00093A32">
      <w:pPr>
        <w:pStyle w:val="Tablecaption0"/>
        <w:numPr>
          <w:ilvl w:val="0"/>
          <w:numId w:val="64"/>
        </w:numPr>
        <w:tabs>
          <w:tab w:val="left" w:pos="65"/>
        </w:tabs>
        <w:spacing w:line="240" w:lineRule="auto"/>
        <w:ind w:left="82"/>
      </w:pPr>
      <w:r>
        <w:t xml:space="preserve">Consúltese el texto y el cuadro 3-19 sobre más datos de vacunas específicas y explicación de abreviaturas. Las vacunas pueden ser parte de productos mixtos o vacunas reconstituidas, con toxoides de difteria y tétanos y vacuna acelular de tos ferina (DTaP) a condición de que la </w:t>
      </w:r>
      <w:r>
        <w:rPr>
          <w:i/>
          <w:iCs/>
        </w:rPr>
        <w:t xml:space="preserve">US Food and Drug Administration </w:t>
      </w:r>
      <w:r>
        <w:t>haya aprobado la vacuna mixta o reconstituida según la edad de los niños y también se justifique la administración de los otros componentes vacunales.</w:t>
      </w:r>
    </w:p>
    <w:p w14:paraId="59629211" w14:textId="77777777" w:rsidR="00093A32" w:rsidRDefault="00093A32">
      <w:pPr>
        <w:pStyle w:val="Tablecaption0"/>
        <w:numPr>
          <w:ilvl w:val="0"/>
          <w:numId w:val="64"/>
        </w:numPr>
        <w:tabs>
          <w:tab w:val="left" w:pos="74"/>
        </w:tabs>
        <w:spacing w:line="240" w:lineRule="auto"/>
        <w:ind w:left="82"/>
      </w:pPr>
      <w:r>
        <w:t>Es posible que la inocuidad y eficacia de PRP-OMP, PRP-T y HbOC sean equivalentes para niños de 12 meses de vida y mayores.</w:t>
      </w:r>
    </w:p>
    <w:p w14:paraId="358A6B38" w14:textId="77777777" w:rsidR="00093A32" w:rsidRDefault="00093A32">
      <w:pPr>
        <w:pStyle w:val="Tablecaption0"/>
        <w:numPr>
          <w:ilvl w:val="0"/>
          <w:numId w:val="64"/>
        </w:numPr>
        <w:tabs>
          <w:tab w:val="left" w:pos="254"/>
        </w:tabs>
        <w:spacing w:line="240" w:lineRule="auto"/>
        <w:ind w:left="82"/>
      </w:pPr>
      <w:r>
        <w:t>Si hay intercambio de vacunas en la serie primaria, no se necesitan tres dosis y además un refuerzo.</w:t>
      </w:r>
    </w:p>
    <w:p w14:paraId="1A402368" w14:textId="77777777" w:rsidR="00093A32" w:rsidRDefault="00093A32">
      <w:pPr>
        <w:spacing w:after="479" w:line="1" w:lineRule="exact"/>
      </w:pPr>
    </w:p>
    <w:p w14:paraId="299AFB04" w14:textId="77777777" w:rsidR="00093A32" w:rsidRDefault="00093A32">
      <w:pPr>
        <w:pStyle w:val="BodyText"/>
        <w:ind w:left="720" w:firstLine="0"/>
      </w:pPr>
      <w:r>
        <w:t xml:space="preserve">hepatitis A y B, la triple (sarampión-parotiditis, rubéola, </w:t>
      </w:r>
      <w:r>
        <w:rPr>
          <w:i/>
          <w:iCs/>
        </w:rPr>
        <w:t>[</w:t>
      </w:r>
      <w:r>
        <w:rPr>
          <w:rFonts w:ascii="Times New Roman" w:eastAsia="Times New Roman" w:hAnsi="Times New Roman" w:cs="Times New Roman"/>
          <w:i/>
          <w:iCs/>
          <w:sz w:val="16"/>
          <w:szCs w:val="16"/>
        </w:rPr>
        <w:t>measles-mumps-rubella</w:t>
      </w:r>
      <w:r>
        <w:rPr>
          <w:i/>
          <w:iCs/>
        </w:rPr>
        <w:t xml:space="preserve">, </w:t>
      </w:r>
      <w:r>
        <w:t>MMR]) y contra la varicela (véase “Administración simultánea de múltiples vacunas”, sección 1). No se conoce ninguna contraindicación a la administración simultánea de la vacuna de conjugado de Hib y la vacuna meningocócica, si se usan jeringuillas separadas en sitios diferentes.</w:t>
      </w:r>
    </w:p>
    <w:p w14:paraId="399C7EB4" w14:textId="77777777" w:rsidR="00093A32" w:rsidRDefault="00093A32">
      <w:pPr>
        <w:pStyle w:val="BodyText"/>
        <w:ind w:left="380" w:firstLine="0"/>
      </w:pPr>
      <w:r>
        <w:t>Para la vacunación habitual de niños menores de siete meses de vida, conviene seguir las directrices siguientes:</w:t>
      </w:r>
    </w:p>
    <w:p w14:paraId="43B58659" w14:textId="77777777" w:rsidR="00093A32" w:rsidRDefault="00093A32">
      <w:pPr>
        <w:pStyle w:val="BodyText"/>
        <w:numPr>
          <w:ilvl w:val="0"/>
          <w:numId w:val="61"/>
        </w:numPr>
        <w:tabs>
          <w:tab w:val="left" w:pos="714"/>
        </w:tabs>
        <w:ind w:left="720" w:hanging="340"/>
      </w:pPr>
      <w:bookmarkStart w:id="141" w:name="bookmark747"/>
      <w:bookmarkEnd w:id="141"/>
      <w:r>
        <w:rPr>
          <w:rFonts w:ascii="Times New Roman" w:eastAsia="Times New Roman" w:hAnsi="Times New Roman" w:cs="Times New Roman"/>
          <w:i/>
          <w:iCs/>
          <w:sz w:val="16"/>
          <w:szCs w:val="16"/>
        </w:rPr>
        <w:t>Primaria.</w:t>
      </w:r>
      <w:r>
        <w:t xml:space="preserve"> Habrá que seguir un régimen de tres dosis de HbOC (conjugado de proteína CRM197 de difteria) o PRP-T (conjugado de toxoide tetánico), o un régimen de dos dosis de PRP-OMP (cuadro 3-20). Las dosis se aplican a intervalos aproximados de dos meses. Cuando se aplican dosis seriadas de diferentes presentaciones de vacunas o no se tiene la certeza de cuáles productos pudieron haber sido aplicados, se considera que tres dosis de cualquier vacuna de conjugado es suficiente para completar la serie primaria, sea cual sea el régimen utilizado.</w:t>
      </w:r>
    </w:p>
    <w:p w14:paraId="25EFDEB3" w14:textId="77777777" w:rsidR="00093A32" w:rsidRDefault="00093A32">
      <w:pPr>
        <w:pStyle w:val="BodyText"/>
        <w:numPr>
          <w:ilvl w:val="0"/>
          <w:numId w:val="61"/>
        </w:numPr>
        <w:tabs>
          <w:tab w:val="left" w:pos="714"/>
        </w:tabs>
        <w:ind w:left="720" w:hanging="340"/>
      </w:pPr>
      <w:bookmarkStart w:id="142" w:name="bookmark748"/>
      <w:bookmarkEnd w:id="142"/>
      <w:r>
        <w:rPr>
          <w:rFonts w:ascii="Times New Roman" w:eastAsia="Times New Roman" w:hAnsi="Times New Roman" w:cs="Times New Roman"/>
          <w:i/>
          <w:iCs/>
          <w:sz w:val="16"/>
          <w:szCs w:val="16"/>
        </w:rPr>
        <w:t>Refuerzo a los 12 a 15 meses de vida.</w:t>
      </w:r>
      <w:r>
        <w:t xml:space="preserve"> En el caso de niños que han concretado una serie primaria, se recomienda aplicar una dosis extra de la vacuna de conjugado a los 12 a 15 meses de edad, o tan pronto sea posible después de esa fecha. Para tal maniobra es aceptable cualquier vacuna de conjugado o la vacuna mixta de toxoides diftérico y tetánico y la vacuna acelular de tos ferina y </w:t>
      </w:r>
      <w:r>
        <w:rPr>
          <w:rFonts w:ascii="Times New Roman" w:eastAsia="Times New Roman" w:hAnsi="Times New Roman" w:cs="Times New Roman"/>
          <w:i/>
          <w:iCs/>
          <w:sz w:val="16"/>
          <w:szCs w:val="16"/>
        </w:rPr>
        <w:t>Haemophilus influenzae</w:t>
      </w:r>
      <w:r>
        <w:t xml:space="preserve"> tipo b.</w:t>
      </w:r>
    </w:p>
    <w:p w14:paraId="7E3F2EBF" w14:textId="77777777" w:rsidR="00093A32" w:rsidRDefault="00093A32">
      <w:pPr>
        <w:pStyle w:val="BodyText"/>
        <w:ind w:left="380" w:firstLine="0"/>
      </w:pPr>
      <w:r>
        <w:t>Los niños menores de cinco años que no recibieron la vacuna del conjugado de Hib en los primeros seis meses de vida deben ser vacunados con base en los siguientes planes recomendados (véase cuadro 1-6). Para la vacunación acelerada puede dejarse transcurrir un intervalo mínimo de cuatro semanas entre una y otra dosis.</w:t>
      </w:r>
    </w:p>
    <w:p w14:paraId="58F15EA7" w14:textId="77777777" w:rsidR="00093A32" w:rsidRDefault="00093A32">
      <w:pPr>
        <w:pStyle w:val="BodyText"/>
        <w:numPr>
          <w:ilvl w:val="0"/>
          <w:numId w:val="61"/>
        </w:numPr>
        <w:tabs>
          <w:tab w:val="left" w:pos="737"/>
        </w:tabs>
        <w:ind w:left="740" w:hanging="340"/>
      </w:pPr>
      <w:bookmarkStart w:id="143" w:name="bookmark749"/>
      <w:bookmarkEnd w:id="143"/>
      <w:r>
        <w:t>En el caso de niños cuya vacunación se inició entre los siete y 11 meses de vida, los planes recomendados en cuanto a HbOC, PRP-OMP y PRP-T son idénticos e incluyen tres dosis. Las primeras dos dosis se aplican con una diferencia de dos meses, y la tercera o de refuerzo de aplicará cuando el niño tenga 12 a 15 meses de vida, de preferencia dos meses después de la segunda dosis.</w:t>
      </w:r>
    </w:p>
    <w:p w14:paraId="3EC923E1" w14:textId="77777777" w:rsidR="00093A32" w:rsidRDefault="00093A32">
      <w:pPr>
        <w:pStyle w:val="BodyText"/>
        <w:numPr>
          <w:ilvl w:val="0"/>
          <w:numId w:val="61"/>
        </w:numPr>
        <w:tabs>
          <w:tab w:val="left" w:pos="737"/>
        </w:tabs>
        <w:ind w:left="740" w:hanging="340"/>
      </w:pPr>
      <w:bookmarkStart w:id="144" w:name="bookmark750"/>
      <w:bookmarkEnd w:id="144"/>
      <w:r>
        <w:t>En el caso de niños cuya vacunación se emprendió entre los 12 y 14 meses de edad, los regímenes recomendados correspondientes a HbOC, PRP-OMP y PRP-T son idénticos e incluyen dos dosis con una diferencia de dos meses.</w:t>
      </w:r>
    </w:p>
    <w:p w14:paraId="45724834" w14:textId="77777777" w:rsidR="00093A32" w:rsidRDefault="00093A32">
      <w:pPr>
        <w:pStyle w:val="BodyText"/>
        <w:numPr>
          <w:ilvl w:val="0"/>
          <w:numId w:val="61"/>
        </w:numPr>
        <w:tabs>
          <w:tab w:val="left" w:pos="737"/>
        </w:tabs>
        <w:ind w:left="740" w:hanging="340"/>
      </w:pPr>
      <w:bookmarkStart w:id="145" w:name="bookmark751"/>
      <w:bookmarkEnd w:id="145"/>
      <w:r>
        <w:t>En el caso de niños en los que la vacunación se inició entre los 15 y los 59 meses de vida, el régimen recomendado incluye una sola dosis de cualquier vacuna de conjugado aprobada.</w:t>
      </w:r>
    </w:p>
    <w:p w14:paraId="4C48C815" w14:textId="77777777" w:rsidR="00093A32" w:rsidRDefault="00093A32">
      <w:pPr>
        <w:pStyle w:val="BodyText"/>
        <w:numPr>
          <w:ilvl w:val="0"/>
          <w:numId w:val="61"/>
        </w:numPr>
        <w:tabs>
          <w:tab w:val="left" w:pos="737"/>
        </w:tabs>
        <w:ind w:left="740" w:hanging="340"/>
      </w:pPr>
      <w:bookmarkStart w:id="146" w:name="bookmark752"/>
      <w:bookmarkEnd w:id="146"/>
      <w:r>
        <w:t>Si las circunstancias son tales que conviene una vacunación más rápida para ponerse al corriente, el intervalo recomendado entre una y otra dosis es de cuatro semanas.</w:t>
      </w:r>
    </w:p>
    <w:p w14:paraId="1F30BBA0" w14:textId="77777777" w:rsidR="00093A32" w:rsidRDefault="00093A32">
      <w:pPr>
        <w:pStyle w:val="BodyText"/>
        <w:ind w:firstLine="400"/>
      </w:pPr>
      <w:r>
        <w:t>Éstas son algunas circunstancias especiales:</w:t>
      </w:r>
    </w:p>
    <w:p w14:paraId="2B9AB57A" w14:textId="77777777" w:rsidR="00093A32" w:rsidRDefault="00093A32">
      <w:pPr>
        <w:pStyle w:val="BodyText"/>
        <w:numPr>
          <w:ilvl w:val="0"/>
          <w:numId w:val="61"/>
        </w:numPr>
        <w:tabs>
          <w:tab w:val="left" w:pos="737"/>
        </w:tabs>
        <w:ind w:left="740" w:hanging="340"/>
      </w:pPr>
      <w:bookmarkStart w:id="147" w:name="bookmark753"/>
      <w:bookmarkEnd w:id="147"/>
      <w:r>
        <w:rPr>
          <w:rFonts w:ascii="Times New Roman" w:eastAsia="Times New Roman" w:hAnsi="Times New Roman" w:cs="Times New Roman"/>
          <w:i/>
          <w:iCs/>
          <w:sz w:val="16"/>
          <w:szCs w:val="16"/>
        </w:rPr>
        <w:t>Retrasos u omisiones.</w:t>
      </w:r>
      <w:r>
        <w:t xml:space="preserve"> Las recomendaciones para niños con el problema de retraso u omisión en el plan de vacunaciones se basa en datos escasos. Las recomendaciones actuales se resumen en el cuadro 1-6.</w:t>
      </w:r>
    </w:p>
    <w:p w14:paraId="6930E6AE" w14:textId="77777777" w:rsidR="00093A32" w:rsidRDefault="00093A32">
      <w:pPr>
        <w:pStyle w:val="BodyText"/>
        <w:numPr>
          <w:ilvl w:val="0"/>
          <w:numId w:val="61"/>
        </w:numPr>
        <w:tabs>
          <w:tab w:val="left" w:pos="737"/>
        </w:tabs>
        <w:ind w:left="740" w:hanging="340"/>
      </w:pPr>
      <w:bookmarkStart w:id="148" w:name="bookmark754"/>
      <w:bookmarkEnd w:id="148"/>
      <w:r>
        <w:rPr>
          <w:rFonts w:ascii="Times New Roman" w:eastAsia="Times New Roman" w:hAnsi="Times New Roman" w:cs="Times New Roman"/>
          <w:i/>
          <w:iCs/>
          <w:sz w:val="16"/>
          <w:szCs w:val="16"/>
        </w:rPr>
        <w:t>Prematuros.</w:t>
      </w:r>
      <w:r>
        <w:t xml:space="preserve"> En el caso de los prematuros las vacunaciones se basarán en la edad cronológica, y se emprenderán a los dos meses de vida, según lo indicado en el cuadro 3-20. Dichas recomendaciones se basan en los datos publicados que sugieren que incluso los productos de bajísimo peso pueden tener respuestas adecuadas de anticuerpos a las vacunas, si bien las concentraciones de anticuerpos séricos pueden disminuir en los pequeños con enfermedades crónicas, en comparación con lo que muestran los productos a término.</w:t>
      </w:r>
    </w:p>
    <w:p w14:paraId="140E877E" w14:textId="77777777" w:rsidR="00093A32" w:rsidRDefault="00093A32">
      <w:pPr>
        <w:pStyle w:val="BodyText"/>
        <w:numPr>
          <w:ilvl w:val="0"/>
          <w:numId w:val="61"/>
        </w:numPr>
        <w:tabs>
          <w:tab w:val="left" w:pos="737"/>
        </w:tabs>
        <w:spacing w:line="276" w:lineRule="auto"/>
        <w:ind w:left="740" w:hanging="340"/>
      </w:pPr>
      <w:bookmarkStart w:id="149" w:name="bookmark755"/>
      <w:bookmarkEnd w:id="149"/>
      <w:r>
        <w:rPr>
          <w:rFonts w:ascii="Times New Roman" w:eastAsia="Times New Roman" w:hAnsi="Times New Roman" w:cs="Times New Roman"/>
          <w:i/>
          <w:iCs/>
          <w:sz w:val="16"/>
          <w:szCs w:val="16"/>
        </w:rPr>
        <w:t>Niños expuestos a un mayor peligro de enfermedad invasora por Hib debido a anormalidades inmunitarias o disminución de las defensas del hospedador (como sería enfermedad drepanocitica y asplenia anatómica).</w:t>
      </w:r>
      <w:r>
        <w:t xml:space="preserve"> No son necesarias más vacunaciones en los niños con disminución o falta de la función esplénica, que han recibido una serie primaria de vacunaciones contra Hib y un refuerzo a los 12 meses de vida o más. Los niños que han recibido una serie primaria y una dosis de refuerzo y que serán sometidos a la extirpación planeada del bazo</w:t>
      </w:r>
    </w:p>
    <w:p w14:paraId="0C709DEE" w14:textId="77777777" w:rsidR="00093A32" w:rsidRDefault="00093A32">
      <w:pPr>
        <w:pStyle w:val="BodyText"/>
        <w:ind w:left="740" w:firstLine="0"/>
      </w:pPr>
      <w:r>
        <w:t>(p. ej., en caso de enfermedad de Hodgkin, esferocitosis, trombocitopenia inmunitaria o hiperesplenismo), pueden beneficiarse de una dosis complementaria de cualquier vacuna aprobada hecha de conjugados. La dosis se aplicará como mínimo siete a 10 días antes de la operación. Los niños con infección por VIH o deficiencia de inmunoglobulina subclase G2 y quienes reciben quimioterápicos contra cánceres están expuestos a un mayor peligro de enfermedad invasora por Hib. No se sabe si los menores en cuestión recibirán algún beneficio con las dosis adicionales una vez completada la serie primaria de vacunaciones y aplicada la dosis de refuerzo a los 12 meses de vida. Los encargados de la vacunación harán su mejor esfuerzo por completar la vacunación primaria y también la serie de refuerzos.</w:t>
      </w:r>
    </w:p>
    <w:p w14:paraId="57676CEE" w14:textId="77777777" w:rsidR="00093A32" w:rsidRDefault="00093A32">
      <w:pPr>
        <w:pStyle w:val="BodyText"/>
        <w:ind w:left="740" w:firstLine="0"/>
        <w:sectPr w:rsidR="00093A32" w:rsidSect="00093A32">
          <w:headerReference w:type="even" r:id="rId310"/>
          <w:headerReference w:type="default" r:id="rId311"/>
          <w:footerReference w:type="even" r:id="rId312"/>
          <w:footerReference w:type="default" r:id="rId313"/>
          <w:type w:val="continuous"/>
          <w:pgSz w:w="8501" w:h="13022"/>
          <w:pgMar w:top="705" w:right="766" w:bottom="438" w:left="812" w:header="0" w:footer="3" w:gutter="0"/>
          <w:cols w:space="720"/>
          <w:noEndnote/>
          <w:docGrid w:linePitch="360"/>
          <w15:footnoteColumns w:val="1"/>
        </w:sectPr>
      </w:pPr>
      <w:r>
        <w:t xml:space="preserve">En el caso de niños de 12 a 59 meses de edad con un cuadro primario que predispone a la enfermedad por Hib, que no han sido vacunados o que recibieron sólo una dosis de la vacuna del conjugado antes de los 12 meses de </w:t>
      </w:r>
    </w:p>
    <w:p w14:paraId="35CACC84" w14:textId="77777777" w:rsidR="00093A32" w:rsidRDefault="00093A32">
      <w:pPr>
        <w:pStyle w:val="BodyText"/>
        <w:ind w:left="740" w:firstLine="0"/>
      </w:pPr>
      <w:r>
        <w:t>vida, se recomienda aplicar dos dosis de cualquier vacuna de conjugado, con un intervalo de dos meses entre una y otra. En el caso de menores en dicho grupo de edad que recibieron dos dosis antes de los 12 meses de vida, se recomienda una sola dosis complementaria de la vacuna de conjugado.</w:t>
      </w:r>
    </w:p>
    <w:p w14:paraId="4014A691" w14:textId="77777777" w:rsidR="00093A32" w:rsidRDefault="00093A32">
      <w:pPr>
        <w:pStyle w:val="BodyText"/>
        <w:numPr>
          <w:ilvl w:val="0"/>
          <w:numId w:val="61"/>
        </w:numPr>
        <w:tabs>
          <w:tab w:val="left" w:pos="698"/>
        </w:tabs>
        <w:ind w:left="700" w:hanging="340"/>
      </w:pPr>
      <w:bookmarkStart w:id="150" w:name="bookmark756"/>
      <w:bookmarkEnd w:id="150"/>
      <w:r>
        <w:t>Niños no vacunados con un trastorno primario que quizá predisponga a enfermedad por Hib, que tienen más de 59 meses de vida. Los niños en cuestión deben recibir cualquier vacuna aprobada hecha de conjugados. Con base en datos escasos, se sugiere aplicar dos dosis a intervalos de uno o dos meses en caso de niños con infección por VIH o deficiencia de inmunoglobulina G2.</w:t>
      </w:r>
    </w:p>
    <w:p w14:paraId="7346CE82" w14:textId="77777777" w:rsidR="00093A32" w:rsidRDefault="00093A32">
      <w:pPr>
        <w:pStyle w:val="BodyText"/>
        <w:numPr>
          <w:ilvl w:val="0"/>
          <w:numId w:val="61"/>
        </w:numPr>
        <w:tabs>
          <w:tab w:val="left" w:pos="698"/>
        </w:tabs>
        <w:ind w:left="700" w:hanging="340"/>
      </w:pPr>
      <w:bookmarkStart w:id="151" w:name="bookmark757"/>
      <w:bookmarkEnd w:id="151"/>
      <w:r>
        <w:t xml:space="preserve">Infección invasora por </w:t>
      </w:r>
      <w:r>
        <w:rPr>
          <w:rFonts w:ascii="Times New Roman" w:eastAsia="Times New Roman" w:hAnsi="Times New Roman" w:cs="Times New Roman"/>
          <w:i/>
          <w:iCs/>
          <w:sz w:val="16"/>
          <w:szCs w:val="16"/>
        </w:rPr>
        <w:t>Haemophilus influenzae</w:t>
      </w:r>
      <w:r>
        <w:t xml:space="preserve"> de tipo b. Los niños que terminan por mostrar la enfermedad invasora cuando tienen menos de 24 meses de vida, por lo regular tienen concentraciones bajas de anticuerpos anticapsulares en las muestras de suero de convalecencia, y en ellos persiste a veces el peligro de que presenten un segundo episodio de la enfermedad. Habrá que vacunarlos conforme al plan para niños no vacunados, según la edad, y como si no hubieran recibido previamente ninguna dosis de vacuna contra Hib (véanse cuadros 1-6 y 3-20). La vacunación se emprenderá un mes después de que comenzó la enfermedad o lo más pronto posible después de esa fecha. Los menores que terminaron por mostrar enfermedad a los 24 meses o más no necesitan la vacunación porque la enfermedad casi siempre induce una respuesta inmunitaria protectora, de tal forma que son muy raros los segundos episodios de la enfermedad en dicho grupo de edad.</w:t>
      </w:r>
    </w:p>
    <w:p w14:paraId="7E6D3627" w14:textId="77777777" w:rsidR="00093A32" w:rsidRDefault="00093A32">
      <w:pPr>
        <w:pStyle w:val="BodyText"/>
        <w:ind w:left="700" w:firstLine="340"/>
      </w:pPr>
      <w:r>
        <w:t>Es importante hacer una valoración inmunológica en niños que presentan enfermedad invasora por Hib a pesar de haber recibido dos o tres dosis de la vacuna, así como a los menores con un cuadro invasor repetitivo atribuible a cepas de tipo b.</w:t>
      </w:r>
    </w:p>
    <w:p w14:paraId="3EC369C8" w14:textId="77777777" w:rsidR="00093A32" w:rsidRDefault="00093A32">
      <w:pPr>
        <w:pStyle w:val="BodyText"/>
        <w:spacing w:after="80" w:line="302" w:lineRule="auto"/>
        <w:ind w:firstLine="360"/>
      </w:pPr>
      <w:r>
        <w:rPr>
          <w:rFonts w:ascii="Arial" w:eastAsia="Arial" w:hAnsi="Arial" w:cs="Arial"/>
          <w:b/>
          <w:bCs/>
          <w:i/>
          <w:iCs/>
          <w:sz w:val="15"/>
          <w:szCs w:val="15"/>
        </w:rPr>
        <w:t>Notificaciones.</w:t>
      </w:r>
      <w:r>
        <w:t xml:space="preserve"> Todos los casos de enfermedad invasora por </w:t>
      </w:r>
      <w:r>
        <w:rPr>
          <w:rFonts w:ascii="Times New Roman" w:eastAsia="Times New Roman" w:hAnsi="Times New Roman" w:cs="Times New Roman"/>
          <w:i/>
          <w:iCs/>
          <w:sz w:val="16"/>
          <w:szCs w:val="16"/>
        </w:rPr>
        <w:t>H. influenzae,</w:t>
      </w:r>
      <w:r>
        <w:t xml:space="preserve"> incluidos los causados por tipo b y no causados por este tipo, deben ser notificados a los </w:t>
      </w:r>
      <w:r>
        <w:rPr>
          <w:rFonts w:ascii="Times New Roman" w:eastAsia="Times New Roman" w:hAnsi="Times New Roman" w:cs="Times New Roman"/>
          <w:i/>
          <w:iCs/>
          <w:sz w:val="16"/>
          <w:szCs w:val="16"/>
        </w:rPr>
        <w:t>Centers for Disease Control and Prevention</w:t>
      </w:r>
      <w:r>
        <w:t xml:space="preserve"> a través de los departamentos sanitarios locales o estatales.</w:t>
      </w:r>
    </w:p>
    <w:p w14:paraId="69BE01FC" w14:textId="77777777" w:rsidR="00093A32" w:rsidRDefault="00093A32">
      <w:pPr>
        <w:pStyle w:val="Bodytext70"/>
        <w:spacing w:after="0"/>
      </w:pPr>
      <w:r>
        <w:t>Hanta, virus, síndrome pulmonar</w:t>
      </w:r>
    </w:p>
    <w:p w14:paraId="395F02B4"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Al atacar a seres humanos, estos virus originan el síndrome pulmonar por virus Hanta </w:t>
      </w:r>
      <w:r>
        <w:rPr>
          <w:i/>
          <w:iCs/>
        </w:rPr>
        <w:t>(</w:t>
      </w:r>
      <w:r>
        <w:rPr>
          <w:rFonts w:ascii="Times New Roman" w:eastAsia="Times New Roman" w:hAnsi="Times New Roman" w:cs="Times New Roman"/>
          <w:i/>
          <w:iCs/>
          <w:sz w:val="16"/>
          <w:szCs w:val="16"/>
        </w:rPr>
        <w:t>hantaviruspulmonary syndrome</w:t>
      </w:r>
      <w:r>
        <w:rPr>
          <w:i/>
          <w:iCs/>
        </w:rPr>
        <w:t>,</w:t>
      </w:r>
      <w:r>
        <w:t xml:space="preserve"> HPS), un síndrome que incluye edema pulmonar no cardiógeno o fiebre hemorrágica con síndrome renal </w:t>
      </w:r>
      <w:r>
        <w:rPr>
          <w:i/>
          <w:iCs/>
        </w:rPr>
        <w:t>(</w:t>
      </w:r>
      <w:r>
        <w:rPr>
          <w:rFonts w:ascii="Times New Roman" w:eastAsia="Times New Roman" w:hAnsi="Times New Roman" w:cs="Times New Roman"/>
          <w:i/>
          <w:iCs/>
          <w:sz w:val="16"/>
          <w:szCs w:val="16"/>
        </w:rPr>
        <w:t>hemorrhagic fever with renal syndrome</w:t>
      </w:r>
      <w:r>
        <w:rPr>
          <w:i/>
          <w:iCs/>
        </w:rPr>
        <w:t>,</w:t>
      </w:r>
      <w:r>
        <w:t xml:space="preserve"> HFRS) (véase “Hemorrágicas, fiebres, y síndromes similares” en esta sección). El cuadro prodrómico de HPS dura tres a siete días y se caracteriza por fiebre; escalofríos; cefalea; mialgias de hombros, zona baja del dorso y muslos; náuseas, vómitos, diarrea y mareos. En los primeros tres a siete días no aparecen signos o síntomas de vías respiratorias, y después de esa fecha surgen en forma repentina edema pulmonar e hipoxemia intensa que evolucionan en cuestión de horas. En casos graves hay hipotensión persistente causada por disfunción del miocardio.</w:t>
      </w:r>
    </w:p>
    <w:p w14:paraId="0CF78B49" w14:textId="77777777" w:rsidR="00093A32" w:rsidRDefault="00093A32">
      <w:pPr>
        <w:pStyle w:val="BodyText"/>
        <w:ind w:firstLine="360"/>
      </w:pPr>
      <w:r>
        <w:t>El edema pulmonar intersticial y alveolar extenso y bilateral, así como los derrames pleurales, son resultado de la fuga difusa por capilares pulmonares, y al parecer son mediados por mecanismos inmunitarios. A menudo se necesitan intubación y ventilación asistida sólo dos a cuatro días; el comienzo de la diuresis y la mejoría clínica rápida anuncian la resolución.</w:t>
      </w:r>
    </w:p>
    <w:p w14:paraId="0FA72579" w14:textId="77777777" w:rsidR="00093A32" w:rsidRDefault="00093A32">
      <w:pPr>
        <w:pStyle w:val="BodyText"/>
        <w:ind w:firstLine="360"/>
      </w:pPr>
      <w:r>
        <w:t>La depresión profunda del miocardio es diferente de la observada en el choque séptico; los índices cardiacos y el índice de volumen sistólico son bajos; la presión vida, se recomienda aplicar dos dosis de cualquier vacuna de conjugado, con un intervalo de dos meses entre una y otra. En el caso de menores en dicho grupo de edad que recibieron dos dosis antes de los 12 meses de vida, se recomienda una sola dosis complementaria de la vacuna de conjugado.</w:t>
      </w:r>
    </w:p>
    <w:p w14:paraId="1A553E0B" w14:textId="77777777" w:rsidR="00093A32" w:rsidRDefault="00093A32">
      <w:pPr>
        <w:pStyle w:val="BodyText"/>
        <w:numPr>
          <w:ilvl w:val="0"/>
          <w:numId w:val="61"/>
        </w:numPr>
        <w:tabs>
          <w:tab w:val="left" w:pos="698"/>
        </w:tabs>
        <w:ind w:left="700" w:hanging="340"/>
      </w:pPr>
      <w:bookmarkStart w:id="152" w:name="bookmark758"/>
      <w:bookmarkEnd w:id="152"/>
      <w:r>
        <w:t>Niños no vacunados con un trastorno primario que quizá predisponga a enfermedad por Hib, que tienen más de 59 meses de vida. Los niños en cuestión deben recibir cualquier vacuna aprobada hecha de conjugados. Con base en datos escasos, se sugiere aplicar dos dosis a intervalos de uno o dos meses en caso de niños con infección por VIH o deficiencia de inmunoglobulina G2.</w:t>
      </w:r>
    </w:p>
    <w:p w14:paraId="5339F07B" w14:textId="77777777" w:rsidR="00093A32" w:rsidRDefault="00093A32">
      <w:pPr>
        <w:pStyle w:val="BodyText"/>
        <w:numPr>
          <w:ilvl w:val="0"/>
          <w:numId w:val="61"/>
        </w:numPr>
        <w:tabs>
          <w:tab w:val="left" w:pos="698"/>
        </w:tabs>
        <w:ind w:left="700" w:hanging="340"/>
      </w:pPr>
      <w:bookmarkStart w:id="153" w:name="bookmark759"/>
      <w:bookmarkEnd w:id="153"/>
      <w:r>
        <w:t xml:space="preserve">Infección invasora por </w:t>
      </w:r>
      <w:r>
        <w:rPr>
          <w:rFonts w:ascii="Times New Roman" w:eastAsia="Times New Roman" w:hAnsi="Times New Roman" w:cs="Times New Roman"/>
          <w:i/>
          <w:iCs/>
          <w:sz w:val="16"/>
          <w:szCs w:val="16"/>
        </w:rPr>
        <w:t>Haemophilus influenzae</w:t>
      </w:r>
      <w:r>
        <w:t xml:space="preserve"> de tipo b. Los niños que terminan por mostrar la enfermedad invasora cuando tienen menos de 24 meses de vida, por lo regular tienen concentraciones bajas de anticuerpos anticapsulares en las muestras de suero de convalecencia, y en ellos persiste a veces el peligro de que presenten un segundo episodio de la enfermedad. Habrá que vacunarlos conforme al plan para niños no vacunados, según la edad, y como si no hubieran recibido previamente ninguna dosis de vacuna contra Hib (véanse cuadros 1-6 y 3-20). La vacunación se emprenderá un mes después de que comenzó la enfermedad o lo más pronto posible después de esa fecha. Los menores que terminaron por mostrar enfermedad a los 24 meses o más no necesitan la vacunación porque la enfermedad casi siempre induce una respuesta inmunitaria protectora, de tal forma que son muy raros los segundos episodios de la enfermedad en dicho grupo de edad.</w:t>
      </w:r>
    </w:p>
    <w:p w14:paraId="70CB7945" w14:textId="77777777" w:rsidR="00093A32" w:rsidRDefault="00093A32">
      <w:pPr>
        <w:pStyle w:val="BodyText"/>
        <w:ind w:left="700" w:firstLine="340"/>
      </w:pPr>
      <w:r>
        <w:t>Es importante hacer una valoración inmunológica en niños que presentan enfermedad invasora por Hib a pesar de haber recibido dos o tres dosis de la vacuna, así como a los menores con un cuadro invasor repetitivo atribuible a cepas de tipo b.</w:t>
      </w:r>
    </w:p>
    <w:p w14:paraId="48F83D0F" w14:textId="77777777" w:rsidR="00093A32" w:rsidRDefault="00093A32">
      <w:pPr>
        <w:pStyle w:val="BodyText"/>
        <w:spacing w:after="80" w:line="302" w:lineRule="auto"/>
        <w:ind w:firstLine="360"/>
      </w:pPr>
      <w:r>
        <w:rPr>
          <w:rFonts w:ascii="Arial" w:eastAsia="Arial" w:hAnsi="Arial" w:cs="Arial"/>
          <w:b/>
          <w:bCs/>
          <w:i/>
          <w:iCs/>
          <w:sz w:val="15"/>
          <w:szCs w:val="15"/>
        </w:rPr>
        <w:t>Notificaciones.</w:t>
      </w:r>
      <w:r>
        <w:t xml:space="preserve"> Todos los casos de enfermedad invasora por </w:t>
      </w:r>
      <w:r>
        <w:rPr>
          <w:rFonts w:ascii="Times New Roman" w:eastAsia="Times New Roman" w:hAnsi="Times New Roman" w:cs="Times New Roman"/>
          <w:i/>
          <w:iCs/>
          <w:sz w:val="16"/>
          <w:szCs w:val="16"/>
        </w:rPr>
        <w:t>H. influenzae,</w:t>
      </w:r>
      <w:r>
        <w:t xml:space="preserve"> incluidos los causados por tipo b y no causados por este tipo, deben ser notificados a los </w:t>
      </w:r>
      <w:r>
        <w:rPr>
          <w:rFonts w:ascii="Times New Roman" w:eastAsia="Times New Roman" w:hAnsi="Times New Roman" w:cs="Times New Roman"/>
          <w:i/>
          <w:iCs/>
          <w:sz w:val="16"/>
          <w:szCs w:val="16"/>
        </w:rPr>
        <w:t>Centers for Disease Control and Prevention</w:t>
      </w:r>
      <w:r>
        <w:t xml:space="preserve"> a través de los departamentos sanitarios locales o estatales.</w:t>
      </w:r>
    </w:p>
    <w:p w14:paraId="764B3EFD" w14:textId="77777777" w:rsidR="00093A32" w:rsidRDefault="00093A32">
      <w:pPr>
        <w:pStyle w:val="Bodytext70"/>
        <w:spacing w:after="0"/>
      </w:pPr>
      <w:r>
        <w:t>Hanta, virus, síndrome pulmonar</w:t>
      </w:r>
    </w:p>
    <w:p w14:paraId="3FBC683F"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Al atacar a seres humanos, estos virus originan el síndrome pulmonar por virus Hanta </w:t>
      </w:r>
      <w:r>
        <w:rPr>
          <w:i/>
          <w:iCs/>
        </w:rPr>
        <w:t>(</w:t>
      </w:r>
      <w:r>
        <w:rPr>
          <w:rFonts w:ascii="Times New Roman" w:eastAsia="Times New Roman" w:hAnsi="Times New Roman" w:cs="Times New Roman"/>
          <w:i/>
          <w:iCs/>
          <w:sz w:val="16"/>
          <w:szCs w:val="16"/>
        </w:rPr>
        <w:t>hantaviruspulmonary syndrome</w:t>
      </w:r>
      <w:r>
        <w:rPr>
          <w:i/>
          <w:iCs/>
        </w:rPr>
        <w:t>,</w:t>
      </w:r>
      <w:r>
        <w:t xml:space="preserve"> HPS), un síndrome que incluye edema pulmonar no cardiógeno o fiebre hemorrágica con síndrome renal </w:t>
      </w:r>
      <w:r>
        <w:rPr>
          <w:i/>
          <w:iCs/>
        </w:rPr>
        <w:t>(</w:t>
      </w:r>
      <w:r>
        <w:rPr>
          <w:rFonts w:ascii="Times New Roman" w:eastAsia="Times New Roman" w:hAnsi="Times New Roman" w:cs="Times New Roman"/>
          <w:i/>
          <w:iCs/>
          <w:sz w:val="16"/>
          <w:szCs w:val="16"/>
        </w:rPr>
        <w:t>hemorrhagic fever with renal syndrome</w:t>
      </w:r>
      <w:r>
        <w:rPr>
          <w:i/>
          <w:iCs/>
        </w:rPr>
        <w:t>,</w:t>
      </w:r>
      <w:r>
        <w:t xml:space="preserve"> HFRS) (véase “Hemorrágicas, fiebres, y síndromes similares” en esta sección). El cuadro prodrómico de HPS dura tres a siete días y se caracteriza por fiebre; escalofríos; cefalea; mialgias de hombros, zona baja del dorso y muslos; náuseas, vómitos, diarrea y mareos. En los primeros tres a siete días no aparecen signos o síntomas de vías respiratorias, y después de esa fecha surgen en forma repentina edema pulmonar e hipoxemia intensa que evolucionan en cuestión de horas. En casos graves hay hipotensión persistente causada por disfunción del miocardio.</w:t>
      </w:r>
    </w:p>
    <w:p w14:paraId="39F807F0" w14:textId="77777777" w:rsidR="00093A32" w:rsidRDefault="00093A32">
      <w:pPr>
        <w:pStyle w:val="BodyText"/>
        <w:ind w:firstLine="360"/>
      </w:pPr>
      <w:r>
        <w:t>El edema pulmonar intersticial y alveolar extenso y bilateral, así como los derrames pleurales, son resultado de la fuga difusa por capilares pulmonares, y al parecer son mediados por mecanismos inmunitarios. A menudo se necesitan intubación y ventilación asistida sólo dos a cuatro días; el comienzo de la diuresis y la mejoría clínica rápida anuncian la resolución.</w:t>
      </w:r>
    </w:p>
    <w:p w14:paraId="7B554DDD" w14:textId="77777777" w:rsidR="00093A32" w:rsidRDefault="00093A32">
      <w:pPr>
        <w:pStyle w:val="BodyText"/>
        <w:ind w:firstLine="360"/>
        <w:sectPr w:rsidR="00093A32" w:rsidSect="00093A32">
          <w:headerReference w:type="even" r:id="rId314"/>
          <w:headerReference w:type="default" r:id="rId315"/>
          <w:footerReference w:type="even" r:id="rId316"/>
          <w:footerReference w:type="default" r:id="rId317"/>
          <w:type w:val="continuous"/>
          <w:pgSz w:w="8501" w:h="13022"/>
          <w:pgMar w:top="705" w:right="766" w:bottom="438" w:left="812" w:header="0" w:footer="10" w:gutter="0"/>
          <w:cols w:space="720"/>
          <w:noEndnote/>
          <w:docGrid w:linePitch="360"/>
          <w15:footnoteColumns w:val="1"/>
        </w:sectPr>
      </w:pPr>
      <w:r>
        <w:t xml:space="preserve">La depresión profunda del miocardio es diferente de la observada en el choque séptico; los índices cardiacos y el índice de volumen sistólico son bajos; la presión </w:t>
      </w:r>
    </w:p>
    <w:p w14:paraId="129902A9" w14:textId="77777777" w:rsidR="00093A32" w:rsidRDefault="00093A32">
      <w:pPr>
        <w:pStyle w:val="BodyText"/>
        <w:ind w:firstLine="0"/>
      </w:pPr>
      <w:r>
        <w:t>capilar pulmonar es normal y aumenta la resistencia vascular sistémica. Los indicadores de mal pronóstico comprenden hipotensión persistente, hemoconcentración notable, un índice cardiaco menor de dos y acidosis láctica de comienzo repentino en que hay una concentración de lactatos en suero mayor de 4 mmol/L (36 mg/100 ml).</w:t>
      </w:r>
    </w:p>
    <w:p w14:paraId="1307CC1D" w14:textId="77777777" w:rsidR="00093A32" w:rsidRDefault="00093A32">
      <w:pPr>
        <w:pStyle w:val="BodyText"/>
        <w:spacing w:line="276" w:lineRule="auto"/>
        <w:ind w:firstLine="360"/>
      </w:pPr>
      <w:r>
        <w:t xml:space="preserve">La tasa de mortalidad de pacientes con HPS es de 45%. En los adultos es rara la enfermedad asintomática y benigna, pero algunos datos escasos sugieren que tales formas pueden ser más comunes en niños. Pocas veces surgen secuelas graves. </w:t>
      </w:r>
      <w:r>
        <w:rPr>
          <w:b/>
          <w:bCs/>
        </w:rPr>
        <w:t>C</w:t>
      </w:r>
      <w:r>
        <w:rPr>
          <w:b/>
          <w:bCs/>
          <w:sz w:val="13"/>
          <w:szCs w:val="13"/>
        </w:rPr>
        <w:t>AUSAS</w:t>
      </w:r>
      <w:r>
        <w:rPr>
          <w:b/>
          <w:bCs/>
        </w:rPr>
        <w:t xml:space="preserve">: </w:t>
      </w:r>
      <w:r>
        <w:t xml:space="preserve">Los virus Hanta (Hantavirus) son partículas de RNA de la familia Bunyaviridae. Dentro del género correspondiente, el virus Sin Nombre </w:t>
      </w:r>
      <w:r>
        <w:rPr>
          <w:i/>
          <w:iCs/>
        </w:rPr>
        <w:t>(</w:t>
      </w:r>
      <w:r>
        <w:rPr>
          <w:rFonts w:ascii="Times New Roman" w:eastAsia="Times New Roman" w:hAnsi="Times New Roman" w:cs="Times New Roman"/>
          <w:i/>
          <w:iCs/>
          <w:sz w:val="16"/>
          <w:szCs w:val="16"/>
        </w:rPr>
        <w:t>Sin Nombre virus,</w:t>
      </w:r>
      <w:r>
        <w:t xml:space="preserve"> SNV) es la causa principal de HPS en la región de las “cuatro esquinas” de Estados Unidos. Algunos casos esporádicos en Louisiana, Texas, Florida y Nueva York han provenido de virus Bayou, Black Creek Canal y New York. En años recientes, en América del Sur se ha señalado la aparición de nuevos serotipos, que incluyen el virus de los Andes vinculado con un síndrome pulmonar por Hanta virus.</w:t>
      </w:r>
    </w:p>
    <w:p w14:paraId="2D2E2949" w14:textId="77777777" w:rsidR="00093A32" w:rsidRDefault="00093A32">
      <w:pPr>
        <w:pStyle w:val="BodyText"/>
        <w:ind w:firstLine="0"/>
      </w:pPr>
      <w:r>
        <w:rPr>
          <w:b/>
          <w:bCs/>
        </w:rPr>
        <w:t>A</w:t>
      </w:r>
      <w:r>
        <w:rPr>
          <w:b/>
          <w:bCs/>
          <w:sz w:val="13"/>
          <w:szCs w:val="13"/>
        </w:rPr>
        <w:t>SPECTOS EPIDEMIOLÓGICOS</w:t>
      </w:r>
      <w:r>
        <w:rPr>
          <w:b/>
          <w:bCs/>
        </w:rPr>
        <w:t xml:space="preserve">: </w:t>
      </w:r>
      <w:r>
        <w:t>Los roedores, que son los hospedadores naturales de los virus Hanta, adquieren una infección crónica, asintomática y permanente con viruria duradera y virus en la saliva. Los seres humanos se contagian por contacto directo con los roedores infectados, los excrementos de ellos, nidos o al inhalar partículas en aerosol, con virus de la orina, los excrementos o la saliva de tales animales. En raras ocasiones la infección proviene de mordeduras de dichos animales o contaminación de la piel con alguna solución de continuidad, con las excreta. No se ha demostrado la transmisión directa de una persona a otra en Estados Unidos, pero de la Patagonia, América del Sur, se han notificado unos cuantos casos de ese mecanismo de propagación del virus de los Andes. Entre las actividades peligrosas están manipular o atrapar roedores, limpiar o penetrar en estructuras cerradas, rara vez usadas e infestadas por roedores, limpiar zonas de almacenamiento de comida o refugio de animales, arar a mano o vivir en un sitio donde haya una gran cantidad de ratones en el interior o en la cercanía de dicho hogar. Para los “mochileros” o personas que acampan, dormir en una estructura habitada por roedores también se ha vinculado con la aparición de HPS. También la población de roedores aumenta extraordinariamente cuando surgen condiciones climáticas que originan precipitación pluvial abundantísima y con ello una mayor cantidad de alimentos para tales animales. Al aumentar la población de roedores surge un contacto más frecuente entre dos ratones infectados y los seres humanos, lo que pudiera explicar algunos de los brotes identificados recientemente. Casi todos los casos de infección se observan en la primavera y el verano, y el sitio geográfico depende del hábitat del roedor portador del virus.</w:t>
      </w:r>
    </w:p>
    <w:p w14:paraId="5EF2AA90" w14:textId="77777777" w:rsidR="00093A32" w:rsidRDefault="00093A32">
      <w:pPr>
        <w:pStyle w:val="BodyText"/>
        <w:ind w:firstLine="360"/>
        <w:rPr>
          <w:sz w:val="16"/>
          <w:szCs w:val="16"/>
        </w:rPr>
      </w:pPr>
      <w:r>
        <w:t xml:space="preserve">El virus Sin Nombre es transmitido por el ratón </w:t>
      </w:r>
      <w:r>
        <w:rPr>
          <w:rFonts w:ascii="Times New Roman" w:eastAsia="Times New Roman" w:hAnsi="Times New Roman" w:cs="Times New Roman"/>
          <w:i/>
          <w:iCs/>
          <w:sz w:val="16"/>
          <w:szCs w:val="16"/>
        </w:rPr>
        <w:t>Promyscus maniculatus;</w:t>
      </w:r>
      <w:r>
        <w:t xml:space="preserve"> el virus Black Creek Canal lo es por la rata de algodón </w:t>
      </w:r>
      <w:r>
        <w:rPr>
          <w:rFonts w:ascii="Times New Roman" w:eastAsia="Times New Roman" w:hAnsi="Times New Roman" w:cs="Times New Roman"/>
          <w:i/>
          <w:iCs/>
          <w:sz w:val="16"/>
          <w:szCs w:val="16"/>
        </w:rPr>
        <w:t>Sigmodon hispidus;</w:t>
      </w:r>
      <w:r>
        <w:t xml:space="preserve"> el virus Bayou es transmitido por la rata del arroz </w:t>
      </w:r>
      <w:r>
        <w:rPr>
          <w:rFonts w:ascii="Times New Roman" w:eastAsia="Times New Roman" w:hAnsi="Times New Roman" w:cs="Times New Roman"/>
          <w:i/>
          <w:iCs/>
          <w:sz w:val="16"/>
          <w:szCs w:val="16"/>
        </w:rPr>
        <w:t>Oryzomyspalustris;</w:t>
      </w:r>
      <w:r>
        <w:t xml:space="preserve"> y el virus Nueva York lo es por el ratón de patas blancas </w:t>
      </w:r>
      <w:r>
        <w:rPr>
          <w:rFonts w:ascii="Times New Roman" w:eastAsia="Times New Roman" w:hAnsi="Times New Roman" w:cs="Times New Roman"/>
          <w:i/>
          <w:iCs/>
          <w:sz w:val="16"/>
          <w:szCs w:val="16"/>
        </w:rPr>
        <w:t>Peromyscus leucopus.</w:t>
      </w:r>
    </w:p>
    <w:p w14:paraId="1E86365F" w14:textId="77777777" w:rsidR="00093A32" w:rsidRDefault="00093A32">
      <w:pPr>
        <w:pStyle w:val="BodyText"/>
        <w:ind w:firstLine="360"/>
      </w:pPr>
      <w:r>
        <w:t xml:space="preserve">El </w:t>
      </w:r>
      <w:r>
        <w:rPr>
          <w:b/>
          <w:bCs/>
        </w:rPr>
        <w:t xml:space="preserve">periodo de incubación </w:t>
      </w:r>
      <w:r>
        <w:t>puede ser de una a seis semanas después de la exposición a roedores infectados, su saliva o sus excreta, pero no se ha definido con precisión.</w:t>
      </w:r>
    </w:p>
    <w:p w14:paraId="1DE0AF1C" w14:textId="77777777" w:rsidR="00093A32" w:rsidRDefault="00093A32">
      <w:pPr>
        <w:pStyle w:val="BodyText"/>
        <w:ind w:firstLine="0"/>
      </w:pPr>
      <w:r>
        <w:rPr>
          <w:b/>
          <w:bCs/>
        </w:rPr>
        <w:t>M</w:t>
      </w:r>
      <w:r>
        <w:rPr>
          <w:b/>
          <w:bCs/>
          <w:sz w:val="13"/>
          <w:szCs w:val="13"/>
        </w:rPr>
        <w:t>ÉTODOS DIAGNÓSTICOS</w:t>
      </w:r>
      <w:r>
        <w:rPr>
          <w:b/>
          <w:bCs/>
        </w:rPr>
        <w:t xml:space="preserve">: </w:t>
      </w:r>
      <w:r>
        <w:t>Entre los datos característicos de estudios de laboratorio están leucocitosis a base de neutrófilos con granulocitos inmaduros, una cifra de inmunoblastos mayor de 10% (citoplasma basófilo, nucleolos notables y una proporción núcleo-citoplasma mayor), trombocitopenia y un mayor valor hematócrito. En los casos en que el paciente ha fallecido, se ha identificado el virus en casi todos los órganos por medio de tinción inmunohistoquímica de células del endotelio capilar. Se ha detectado uniformemente el RNA del virus Sin Nombre por la reacción en cadena de polimerasa-transcriptasa inversa, en mononucleares de sangre periférica y otras muestras clínicas, desde los primeros días de hospitalización hasta 10 a 21 días después del comienzo de los síntomas; se desconoce la duración de la viremia. En el líquido de lavado broncoalveolar no es fácil detectar RNA vírico.</w:t>
      </w:r>
    </w:p>
    <w:p w14:paraId="4FAA7B6B" w14:textId="77777777" w:rsidR="00093A32" w:rsidRDefault="00093A32">
      <w:pPr>
        <w:pStyle w:val="BodyText"/>
        <w:ind w:firstLine="360"/>
      </w:pPr>
      <w:r>
        <w:t xml:space="preserve">Desde el comienzo de la enfermedad clínica se detectan anticuerpos G y M de inmunoglobulinas específicas contra el virus Hanta. Una prueba diagnóstica rápida puede facilitar el inicio inmediato de medidas de sostén adecuadas, la transferencia oportuna a una institución de tercer nivel (terciaria) y la incorporación posible a investigaciones con antivíricos. El método de inmunotransferencia rápida (inmunoblot) es una técnica sencilla similar a la de las tiras colorimétricas; su realización requiere unas 5 h, equipo mínimo y se puede hacer en laboratorios de zonas rurales. El inmunoanálisis enzimático (practicado en muchos departamentos de salud estatales y en los </w:t>
      </w:r>
      <w:r>
        <w:rPr>
          <w:rFonts w:ascii="Times New Roman" w:eastAsia="Times New Roman" w:hAnsi="Times New Roman" w:cs="Times New Roman"/>
          <w:i/>
          <w:iCs/>
          <w:sz w:val="16"/>
          <w:szCs w:val="16"/>
        </w:rPr>
        <w:t>Centers for Disease Control and Prevention</w:t>
      </w:r>
      <w:r>
        <w:rPr>
          <w:i/>
          <w:iCs/>
        </w:rPr>
        <w:t>)</w:t>
      </w:r>
      <w:r>
        <w:t xml:space="preserve"> y el método Western son estudios que utilizan antígenos recombinantes y tienen un alto grado de especificidad para detectar los anticuerpos compuestos de IgG e IgM. El cultivo de virus no facilita el diagnóstico y se practica sólo en laboratorios de investigación que cuentan con instalaciones especializadas para proteger a sus trabajadores.</w:t>
      </w:r>
    </w:p>
    <w:p w14:paraId="5A4DA531" w14:textId="77777777" w:rsidR="00093A32" w:rsidRDefault="00093A32">
      <w:pPr>
        <w:pStyle w:val="BodyText"/>
        <w:ind w:firstLine="0"/>
      </w:pPr>
      <w:r>
        <w:rPr>
          <w:b/>
          <w:bCs/>
        </w:rPr>
        <w:t>T</w:t>
      </w:r>
      <w:r>
        <w:rPr>
          <w:b/>
          <w:bCs/>
          <w:sz w:val="13"/>
          <w:szCs w:val="13"/>
        </w:rPr>
        <w:t>RATAMIENTO</w:t>
      </w:r>
      <w:r>
        <w:rPr>
          <w:b/>
          <w:bCs/>
        </w:rPr>
        <w:t xml:space="preserve">: </w:t>
      </w:r>
      <w:r>
        <w:t>Los sujetos en quienes se sospecha infección por HPS deben ser transferidos inmediatamente a una institución de nivel terciario. Para la recuperación son de máxima importancia las medidas de sostén contra edema pulmonar, hipoxia grave e hipotensión en las primeras 24 a 48 h. También es determinante la colocación de un catéter en arteria pulmonar, “arrastrado” por flujo para vigilar la administración de líquidos, así como el empleo de fármacos de apoyo inotrópico, vasopresores y un control cuidadoso de la ventilación.</w:t>
      </w:r>
    </w:p>
    <w:p w14:paraId="6FC72329" w14:textId="77777777" w:rsidR="00093A32" w:rsidRDefault="00093A32">
      <w:pPr>
        <w:pStyle w:val="BodyText"/>
        <w:spacing w:line="276" w:lineRule="auto"/>
        <w:ind w:firstLine="360"/>
      </w:pPr>
      <w:r>
        <w:t xml:space="preserve">Con la oxigenación por membrana extracorporal </w:t>
      </w:r>
      <w:r>
        <w:rPr>
          <w:i/>
          <w:iCs/>
        </w:rPr>
        <w:t>(</w:t>
      </w:r>
      <w:r>
        <w:rPr>
          <w:rFonts w:ascii="Times New Roman" w:eastAsia="Times New Roman" w:hAnsi="Times New Roman" w:cs="Times New Roman"/>
          <w:i/>
          <w:iCs/>
          <w:sz w:val="16"/>
          <w:szCs w:val="16"/>
        </w:rPr>
        <w:t>extracorporeal membrane oxygenation</w:t>
      </w:r>
      <w:r>
        <w:rPr>
          <w:i/>
          <w:iCs/>
        </w:rPr>
        <w:t>,</w:t>
      </w:r>
      <w:r>
        <w:t xml:space="preserve"> ECMO) se puede lograr apoyo de corto plazo particularmente importante en caso del síndrome grave de “fuga capilar” en los pulmones. ECMO venoarterial, con la cual también se puede obtener apoyo circulatorio, ha generado resultados tempranos alentadores con mejoría hemodinámica rápida impresionante en los pacientes después que han transcurrido sólo 12 h, y una duración total de sólo cuatro a cinco días.</w:t>
      </w:r>
    </w:p>
    <w:p w14:paraId="459CDE58" w14:textId="77777777" w:rsidR="00093A32" w:rsidRDefault="00093A32">
      <w:pPr>
        <w:pStyle w:val="BodyText"/>
        <w:ind w:firstLine="360"/>
      </w:pPr>
      <w:r>
        <w:t>La ribavirina es activa in vitro contra los virus Hanta aislados que incluyen SNV (virus Sin Nombre). Está en marcha una evaluación de la ribavirina en seres humanos y de tipo comparativo.</w:t>
      </w:r>
    </w:p>
    <w:p w14:paraId="2E0AB8F3" w14:textId="77777777" w:rsidR="00093A32" w:rsidRDefault="00093A32">
      <w:pPr>
        <w:pStyle w:val="BodyText"/>
        <w:spacing w:after="220"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estos casos se recomienda seguir las precauciones estándar. El síndrome pulmonar por virus Hanta no se ha vinculado con la transmisión nosocomial o de persona a persona en Estados Unidos.</w:t>
      </w:r>
    </w:p>
    <w:p w14:paraId="6C661A17"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2403E010" w14:textId="77777777" w:rsidR="00093A32" w:rsidRDefault="00093A32">
      <w:pPr>
        <w:pStyle w:val="BodyText"/>
        <w:spacing w:line="288" w:lineRule="auto"/>
        <w:ind w:firstLine="0"/>
      </w:pPr>
      <w:r>
        <w:rPr>
          <w:rFonts w:ascii="Arial" w:eastAsia="Arial" w:hAnsi="Arial" w:cs="Arial"/>
          <w:b/>
          <w:bCs/>
          <w:i/>
          <w:iCs/>
          <w:sz w:val="15"/>
          <w:szCs w:val="15"/>
        </w:rPr>
        <w:t>Cuidado de personas expuestas.</w:t>
      </w:r>
      <w:r>
        <w:t xml:space="preserve"> Conviene someter a los individuos a exámenes clínicos seriados para la vigilancia cuando hay un peligro considerable de infección después de una exposición de alto riesgo (véase antes en este resumen “Aspectos epidemiológicos”).</w:t>
      </w:r>
    </w:p>
    <w:p w14:paraId="43B79B75" w14:textId="77777777" w:rsidR="00093A32" w:rsidRDefault="00093A32">
      <w:pPr>
        <w:pStyle w:val="BodyText"/>
        <w:spacing w:line="276" w:lineRule="auto"/>
        <w:ind w:firstLine="360"/>
        <w:sectPr w:rsidR="00093A32" w:rsidSect="00093A32">
          <w:headerReference w:type="even" r:id="rId318"/>
          <w:headerReference w:type="default" r:id="rId319"/>
          <w:footerReference w:type="even" r:id="rId320"/>
          <w:footerReference w:type="default" r:id="rId321"/>
          <w:headerReference w:type="first" r:id="rId322"/>
          <w:footerReference w:type="first" r:id="rId323"/>
          <w:pgSz w:w="8501" w:h="13022"/>
          <w:pgMar w:top="705" w:right="766" w:bottom="438" w:left="812" w:header="0" w:footer="3" w:gutter="0"/>
          <w:cols w:space="720"/>
          <w:noEndnote/>
          <w:titlePg/>
          <w:docGrid w:linePitch="360"/>
          <w15:footnoteColumns w:val="1"/>
        </w:sectPr>
      </w:pPr>
      <w:r>
        <w:rPr>
          <w:rFonts w:ascii="Arial" w:eastAsia="Arial" w:hAnsi="Arial" w:cs="Arial"/>
          <w:b/>
          <w:bCs/>
          <w:i/>
          <w:iCs/>
          <w:sz w:val="15"/>
          <w:szCs w:val="15"/>
        </w:rPr>
        <w:t>Control ambiental.</w:t>
      </w:r>
      <w:r>
        <w:t xml:space="preserve"> Las infecciones por virus Hanta aparecen más bien en adultos y se relacionan con actividades domésticas, ocupacionales o de recreo en las que los seres humanos se ponen en contacto con los roedores infectados, por lo común en medios rurales. No es factible erradicar el reservorio de hospedadores. La estrategia actual para erradicar la enfermedad y evitarla es la disminución de los riesgos por medio de </w:t>
      </w:r>
    </w:p>
    <w:p w14:paraId="75D3A294" w14:textId="77777777" w:rsidR="00093A32" w:rsidRDefault="00093A32">
      <w:pPr>
        <w:pStyle w:val="BodyText"/>
        <w:spacing w:line="276" w:lineRule="auto"/>
        <w:ind w:firstLine="0"/>
      </w:pPr>
      <w:r>
        <w:t>prácticas higiénicas ambientales que impidan que los roedores colonicen el hogar y el entorno de trabajo y que se lleve al mínimo la dispersión de aerosoles, así como el contacto con los virus en la saliva y las excreta. Los virus Hanta, por tener una cubierta lípida, son susceptibles a casi todos los desinfectantes, incluidas las soluciones diluidas de limpieza (blanqueadores), detergentes y casi todos los desinfectantes caseros.</w:t>
      </w:r>
    </w:p>
    <w:p w14:paraId="5311081E" w14:textId="77777777" w:rsidR="00093A32" w:rsidRDefault="00093A32">
      <w:pPr>
        <w:pStyle w:val="BodyText"/>
        <w:ind w:firstLine="380"/>
      </w:pPr>
      <w:r>
        <w:t>Las medidas para disminuir la exposición en el hogar y en el sitio de trabajo incluyen eliminar alimentos asequibles para los roedores en estructuras utilizadas por los seres humanos; limitar los sitios en que haya posibilidad de anidar; sellar orificios y otros puntos de penetración de los roedores y utilizar “trampas ratoneras” y rodenticidas. Otros métodos incluyen el uso de una solución blanqueadora al 10% para desinfectar a los roedores muertos, y usar guantes de caucho antes de manipular a los animales atrapados o fallecidos. Antes de penetrar en zonas infectadas por los roedores habrá que abrir puertas y ventanas para ventilarlas. Las personas que penetran en tales áreas deben abstenerse de revolver o de respirar polvo que pueda estar contaminado. Las zonas polvosas o sucias deben ser humedecidas con un limpiador al 10% u otra solución desinfectante antes de limpiarlas. No se utilizarán escobas ni aspiradoras para limpiar áreas infectadas por roedores.</w:t>
      </w:r>
    </w:p>
    <w:p w14:paraId="4F714695" w14:textId="77777777" w:rsidR="00093A32" w:rsidRDefault="00093A32">
      <w:pPr>
        <w:pStyle w:val="BodyText"/>
        <w:ind w:firstLine="380"/>
      </w:pPr>
      <w:r>
        <w:t>No se cuenta con medidas quimioprofilácticas ni vacunas eficaces.</w:t>
      </w:r>
    </w:p>
    <w:p w14:paraId="47AD9A3F" w14:textId="77777777" w:rsidR="00093A32" w:rsidRDefault="00093A32">
      <w:pPr>
        <w:pStyle w:val="BodyText"/>
        <w:spacing w:after="60" w:line="298" w:lineRule="auto"/>
        <w:ind w:firstLine="380"/>
      </w:pPr>
      <w:r>
        <w:rPr>
          <w:rFonts w:ascii="Arial" w:eastAsia="Arial" w:hAnsi="Arial" w:cs="Arial"/>
          <w:b/>
          <w:bCs/>
          <w:i/>
          <w:iCs/>
          <w:sz w:val="15"/>
          <w:szCs w:val="15"/>
        </w:rPr>
        <w:t>Notificación a servicios sanitarios.</w:t>
      </w:r>
      <w:r>
        <w:t xml:space="preserve"> Los casos confirmados deben ser notificados de inmediato a las autoridades locales y estatales de servicios sanitarios públicos.</w:t>
      </w:r>
    </w:p>
    <w:p w14:paraId="6A032DBD" w14:textId="77777777" w:rsidR="00093A32" w:rsidRDefault="00093A32">
      <w:pPr>
        <w:pStyle w:val="Bodytext70"/>
        <w:spacing w:after="0"/>
      </w:pPr>
      <w:r>
        <w:rPr>
          <w:i/>
          <w:iCs/>
        </w:rPr>
        <w:t>Helicobacter pylori,</w:t>
      </w:r>
      <w:r>
        <w:t xml:space="preserve"> infecciones</w:t>
      </w:r>
    </w:p>
    <w:p w14:paraId="16FE971C"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Infección aguda que se manifiesta por dolor en zona epigástrica, náuseas, vómitos, hematemesis y presencia de sangre en los excrementos (positividad al guayaco). Los síntomas suelen mostrar resolución en término de días a pesar de que el microorganismo persiste durante años o permanentemente. </w:t>
      </w:r>
      <w:r>
        <w:rPr>
          <w:rFonts w:ascii="Times New Roman" w:eastAsia="Times New Roman" w:hAnsi="Times New Roman" w:cs="Times New Roman"/>
          <w:i/>
          <w:iCs/>
          <w:sz w:val="16"/>
          <w:szCs w:val="16"/>
        </w:rPr>
        <w:t>Helicobacter pylori</w:t>
      </w:r>
      <w:r>
        <w:t xml:space="preserve"> origina gastritis activa crónica y agrava el peligro de úlceras duodenales y gástricas; la persistencia incrementa el riesgo de cáncer en estómago. La infección por </w:t>
      </w:r>
      <w:r>
        <w:rPr>
          <w:rFonts w:ascii="Times New Roman" w:eastAsia="Times New Roman" w:hAnsi="Times New Roman" w:cs="Times New Roman"/>
          <w:i/>
          <w:iCs/>
          <w:sz w:val="16"/>
          <w:szCs w:val="16"/>
        </w:rPr>
        <w:t>Helicobacter pylori</w:t>
      </w:r>
      <w:r>
        <w:t xml:space="preserve"> no se vincula con gastritis autoinmunitaria o química.</w:t>
      </w:r>
    </w:p>
    <w:p w14:paraId="3FF7D2C8"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Helicobacter pylori</w:t>
      </w:r>
      <w:r>
        <w:t xml:space="preserve"> es un bacilo microaerófilo en forma de U, curvo, en espiral y gramnegativo que en un extremo tiene dos a seis flagelos con una cubierta. </w:t>
      </w: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Helicobacter pylori</w:t>
      </w:r>
      <w:r>
        <w:t xml:space="preserve"> ha sido aislado de seres humanos y otros primates. No se ha demostrado que haya un reservorio en animales para su transmisión a seres humanos. Se desconocen las vías de transmisión de los microorganismos a partir de seres humanos infectados, pero puede haber transmisión fecal-oral. Las cifras de infección son reducidas en niños de países con abundantes recursos, pero la prevalencia aumenta hasta los 60 años de vida. Casi todos los portadores son asintomáticos, pero prácticamente todas las personas infectadas muestran signos histológicos de gastritis crónica. La infección se contagia en edad más temprana en países con recursos limitados y en personas de grupos socioeconómicos más bajos.</w:t>
      </w:r>
    </w:p>
    <w:p w14:paraId="215E12AF" w14:textId="77777777" w:rsidR="00093A32" w:rsidRDefault="00093A32">
      <w:pPr>
        <w:pStyle w:val="BodyText"/>
        <w:ind w:firstLine="380"/>
      </w:pPr>
      <w:r>
        <w:t xml:space="preserve">Se desconoce el </w:t>
      </w:r>
      <w:r>
        <w:rPr>
          <w:b/>
          <w:bCs/>
        </w:rPr>
        <w:t>periodo de incubación.</w:t>
      </w:r>
    </w:p>
    <w:p w14:paraId="30FF76C0" w14:textId="77777777" w:rsidR="00093A32" w:rsidRDefault="00093A32">
      <w:pPr>
        <w:pStyle w:val="BodyText"/>
        <w:ind w:firstLine="0"/>
      </w:pPr>
      <w:r>
        <w:rPr>
          <w:b/>
          <w:bCs/>
        </w:rPr>
        <w:t>M</w:t>
      </w:r>
      <w:r>
        <w:rPr>
          <w:b/>
          <w:bCs/>
          <w:sz w:val="13"/>
          <w:szCs w:val="13"/>
        </w:rPr>
        <w:t>ÉTODOS DIAGNÓSTICOS</w:t>
      </w:r>
      <w:r>
        <w:rPr>
          <w:b/>
          <w:bCs/>
        </w:rPr>
        <w:t xml:space="preserve">: </w:t>
      </w:r>
      <w:r>
        <w:t xml:space="preserve">La infección por </w:t>
      </w:r>
      <w:r>
        <w:rPr>
          <w:rFonts w:ascii="Times New Roman" w:eastAsia="Times New Roman" w:hAnsi="Times New Roman" w:cs="Times New Roman"/>
          <w:i/>
          <w:iCs/>
          <w:sz w:val="16"/>
          <w:szCs w:val="16"/>
        </w:rPr>
        <w:t>Helicobacter pylori</w:t>
      </w:r>
      <w:r>
        <w:t xml:space="preserve"> se diagnostica por cultivo del tejido gástrico de biopsia, en medios no selectivos (como agar chocolate) o selectivos (Skirrow) a 37°C, en un entorno microaeróbico durante dos a cinco días. Es posible visualizar los gérmenes en los cortes histológicos teñidos con plata de Warthin-Starry, Steiner, Giemsa o Genta. La infección por </w:t>
      </w:r>
      <w:r>
        <w:rPr>
          <w:rFonts w:ascii="Times New Roman" w:eastAsia="Times New Roman" w:hAnsi="Times New Roman" w:cs="Times New Roman"/>
          <w:i/>
          <w:iCs/>
          <w:sz w:val="16"/>
          <w:szCs w:val="16"/>
        </w:rPr>
        <w:t>H. pylori</w:t>
      </w:r>
      <w:r>
        <w:t xml:space="preserve"> se diagnostica, pero no se le descarta, con base en las imágenes obtenidas después de tinción con hematoxilina- eosina. Dada la producción de ureasa por </w:t>
      </w:r>
      <w:r>
        <w:rPr>
          <w:rFonts w:ascii="Times New Roman" w:eastAsia="Times New Roman" w:hAnsi="Times New Roman" w:cs="Times New Roman"/>
          <w:i/>
          <w:iCs/>
          <w:sz w:val="16"/>
          <w:szCs w:val="16"/>
        </w:rPr>
        <w:t>Helicobacter,</w:t>
      </w:r>
      <w:r>
        <w:t xml:space="preserve"> se puede llegar a un diagnóstico prácticas higiénicas ambientales que impidan que los roedores colonicen el hogar y el entorno de trabajo y que se lleve al mínimo la dispersión de aerosoles, así como el contacto con los virus en la saliva y las excreta. Los virus Hanta, por tener una cubierta lípida, son susceptibles a casi todos los desinfectantes, incluidas las soluciones diluidas de limpieza (blanqueadores), detergentes y casi todos los desinfectantes caseros.</w:t>
      </w:r>
    </w:p>
    <w:p w14:paraId="537B7FE9" w14:textId="77777777" w:rsidR="00093A32" w:rsidRDefault="00093A32">
      <w:pPr>
        <w:pStyle w:val="BodyText"/>
        <w:ind w:firstLine="380"/>
      </w:pPr>
      <w:r>
        <w:t>Las medidas para disminuir la exposición en el hogar y en el sitio de trabajo incluyen eliminar alimentos asequibles para los roedores en estructuras utilizadas por los seres humanos; limitar los sitios en que haya posibilidad de anidar; sellar orificios y otros puntos de penetración de los roedores y utilizar “trampas ratoneras” y rodenticidas. Otros métodos incluyen el uso de una solución blanqueadora al 10% para desinfectar a los roedores muertos, y usar guantes de caucho antes de manipular a los animales atrapados o fallecidos. Antes de penetrar en zonas infectadas por los roedores habrá que abrir puertas y ventanas para ventilarlas. Las personas que penetran en tales áreas deben abstenerse de revolver o de respirar polvo que pueda estar contaminado. Las zonas polvosas o sucias deben ser humedecidas con un limpiador al 10% u otra solución desinfectante antes de limpiarlas. No se utilizarán escobas ni aspiradoras para limpiar áreas infectadas por roedores.</w:t>
      </w:r>
    </w:p>
    <w:p w14:paraId="43E6F785" w14:textId="77777777" w:rsidR="00093A32" w:rsidRDefault="00093A32">
      <w:pPr>
        <w:pStyle w:val="BodyText"/>
        <w:ind w:firstLine="380"/>
      </w:pPr>
      <w:r>
        <w:t>No se cuenta con medidas quimioprofilácticas ni vacunas eficaces.</w:t>
      </w:r>
    </w:p>
    <w:p w14:paraId="0EB2760C" w14:textId="77777777" w:rsidR="00093A32" w:rsidRDefault="00093A32">
      <w:pPr>
        <w:pStyle w:val="BodyText"/>
        <w:spacing w:after="60" w:line="298" w:lineRule="auto"/>
        <w:ind w:firstLine="380"/>
      </w:pPr>
      <w:r>
        <w:rPr>
          <w:rFonts w:ascii="Arial" w:eastAsia="Arial" w:hAnsi="Arial" w:cs="Arial"/>
          <w:b/>
          <w:bCs/>
          <w:i/>
          <w:iCs/>
          <w:sz w:val="15"/>
          <w:szCs w:val="15"/>
        </w:rPr>
        <w:t>Notificación a servicios sanitarios.</w:t>
      </w:r>
      <w:r>
        <w:t xml:space="preserve"> Los casos confirmados deben ser notificados de inmediato a las autoridades locales y estatales de servicios sanitarios públicos.</w:t>
      </w:r>
    </w:p>
    <w:p w14:paraId="6F675DD5" w14:textId="77777777" w:rsidR="00093A32" w:rsidRDefault="00093A32">
      <w:pPr>
        <w:pStyle w:val="Bodytext70"/>
        <w:spacing w:after="0"/>
      </w:pPr>
      <w:r>
        <w:rPr>
          <w:i/>
          <w:iCs/>
        </w:rPr>
        <w:t>Helicobacter pylori,</w:t>
      </w:r>
      <w:r>
        <w:t xml:space="preserve"> infecciones</w:t>
      </w:r>
    </w:p>
    <w:p w14:paraId="6B87AC69"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Infección aguda que se manifiesta por dolor en zona epigástrica, náuseas, vómitos, hematemesis y presencia de sangre en los excrementos (positividad al guayaco). Los síntomas suelen mostrar resolución en término de días a pesar de que el microorganismo persiste durante años o permanentemente. </w:t>
      </w:r>
      <w:r>
        <w:rPr>
          <w:rFonts w:ascii="Times New Roman" w:eastAsia="Times New Roman" w:hAnsi="Times New Roman" w:cs="Times New Roman"/>
          <w:i/>
          <w:iCs/>
          <w:sz w:val="16"/>
          <w:szCs w:val="16"/>
        </w:rPr>
        <w:t>Helicobacter pylori</w:t>
      </w:r>
      <w:r>
        <w:t xml:space="preserve"> origina gastritis activa crónica y agrava el peligro de úlceras duodenales y gástricas; la persistencia incrementa el riesgo de cáncer en estómago. La infección por </w:t>
      </w:r>
      <w:r>
        <w:rPr>
          <w:rFonts w:ascii="Times New Roman" w:eastAsia="Times New Roman" w:hAnsi="Times New Roman" w:cs="Times New Roman"/>
          <w:i/>
          <w:iCs/>
          <w:sz w:val="16"/>
          <w:szCs w:val="16"/>
        </w:rPr>
        <w:t>Helicobacter pylori</w:t>
      </w:r>
      <w:r>
        <w:t xml:space="preserve"> no se vincula con gastritis autoinmunitaria o química.</w:t>
      </w:r>
    </w:p>
    <w:p w14:paraId="4EEE380C"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Helicobacter pylori</w:t>
      </w:r>
      <w:r>
        <w:t xml:space="preserve"> es un bacilo microaerófilo en forma de U, curvo, en espiral y gramnegativo que en un extremo tiene dos a seis flagelos con una cubierta. </w:t>
      </w: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Helicobacter pylori</w:t>
      </w:r>
      <w:r>
        <w:t xml:space="preserve"> ha sido aislado de seres humanos y otros primates. No se ha demostrado que haya un reservorio en animales para su transmisión a seres humanos. Se desconocen las vías de transmisión de los microorganismos a partir de seres humanos infectados, pero puede haber transmisión fecal-oral. Las cifras de infección son reducidas en niños de países con abundantes recursos, pero la prevalencia aumenta hasta los 60 años de vida. Casi todos los portadores son asintomáticos, pero prácticamente todas las personas infectadas muestran signos histológicos de gastritis crónica. La infección se contagia en edad más temprana en países con recursos limitados y en personas de grupos socioeconómicos más bajos.</w:t>
      </w:r>
    </w:p>
    <w:p w14:paraId="23E90099" w14:textId="77777777" w:rsidR="00093A32" w:rsidRDefault="00093A32">
      <w:pPr>
        <w:pStyle w:val="BodyText"/>
        <w:ind w:firstLine="380"/>
      </w:pPr>
      <w:r>
        <w:t xml:space="preserve">Se desconoce el </w:t>
      </w:r>
      <w:r>
        <w:rPr>
          <w:b/>
          <w:bCs/>
        </w:rPr>
        <w:t>periodo de incubación.</w:t>
      </w:r>
    </w:p>
    <w:p w14:paraId="3CC8B810" w14:textId="77777777" w:rsidR="00093A32" w:rsidRDefault="00093A32">
      <w:pPr>
        <w:pStyle w:val="BodyText"/>
        <w:ind w:firstLine="0"/>
        <w:sectPr w:rsidR="00093A32" w:rsidSect="00093A32">
          <w:headerReference w:type="even" r:id="rId324"/>
          <w:headerReference w:type="default" r:id="rId325"/>
          <w:footerReference w:type="even" r:id="rId326"/>
          <w:footerReference w:type="default" r:id="rId327"/>
          <w:type w:val="continuous"/>
          <w:pgSz w:w="8501" w:h="13022"/>
          <w:pgMar w:top="705" w:right="766" w:bottom="438" w:left="812" w:header="0" w:footer="10" w:gutter="0"/>
          <w:cols w:space="720"/>
          <w:noEndnote/>
          <w:docGrid w:linePitch="360"/>
          <w15:footnoteColumns w:val="1"/>
        </w:sectPr>
      </w:pPr>
      <w:r>
        <w:rPr>
          <w:b/>
          <w:bCs/>
        </w:rPr>
        <w:t>M</w:t>
      </w:r>
      <w:r>
        <w:rPr>
          <w:b/>
          <w:bCs/>
          <w:sz w:val="13"/>
          <w:szCs w:val="13"/>
        </w:rPr>
        <w:t>ÉTODOS DIAGNÓSTICOS</w:t>
      </w:r>
      <w:r>
        <w:rPr>
          <w:b/>
          <w:bCs/>
        </w:rPr>
        <w:t xml:space="preserve">: </w:t>
      </w:r>
      <w:r>
        <w:t xml:space="preserve">La infección por </w:t>
      </w:r>
      <w:r>
        <w:rPr>
          <w:rFonts w:ascii="Times New Roman" w:eastAsia="Times New Roman" w:hAnsi="Times New Roman" w:cs="Times New Roman"/>
          <w:i/>
          <w:iCs/>
          <w:sz w:val="16"/>
          <w:szCs w:val="16"/>
        </w:rPr>
        <w:t>Helicobacter pylori</w:t>
      </w:r>
      <w:r>
        <w:t xml:space="preserve"> se diagnostica por cultivo del tejido gástrico de biopsia, en medios no selectivos (como agar chocolate) o selectivos (Skirrow) a 37°C, en un entorno microaeróbico durante dos a cinco días. Es posible visualizar los gérmenes en los cortes histológicos teñidos con plata de Warthin-Starry, Steiner, Giemsa o Genta. La infección por </w:t>
      </w:r>
      <w:r>
        <w:rPr>
          <w:rFonts w:ascii="Times New Roman" w:eastAsia="Times New Roman" w:hAnsi="Times New Roman" w:cs="Times New Roman"/>
          <w:i/>
          <w:iCs/>
          <w:sz w:val="16"/>
          <w:szCs w:val="16"/>
        </w:rPr>
        <w:t>H. pylori</w:t>
      </w:r>
      <w:r>
        <w:t xml:space="preserve"> se diagnostica, pero no se le descarta, con base en las imágenes obtenidas después de tinción con hematoxilina- eosina. Dada la producción de ureasa por </w:t>
      </w:r>
      <w:r>
        <w:rPr>
          <w:rFonts w:ascii="Times New Roman" w:eastAsia="Times New Roman" w:hAnsi="Times New Roman" w:cs="Times New Roman"/>
          <w:i/>
          <w:iCs/>
          <w:sz w:val="16"/>
          <w:szCs w:val="16"/>
        </w:rPr>
        <w:t>Helicobacter,</w:t>
      </w:r>
      <w:r>
        <w:t xml:space="preserve"> se puede llegar a un diagnóstico </w:t>
      </w:r>
    </w:p>
    <w:p w14:paraId="7B4A066A" w14:textId="77777777" w:rsidR="00093A32" w:rsidRDefault="00093A32">
      <w:pPr>
        <w:pStyle w:val="BodyText"/>
        <w:ind w:firstLine="0"/>
      </w:pPr>
      <w:r>
        <w:t>microbiològico rápido y específico con la prueba de la ureasa en una muestra de estómago. Para realizar cada una de las pruebas mencionadas se necesita endoscopia y biopsia. Entre los métodos no penetrantes asequibles en el comercio están los que se hacen en el aliento o la sangre, que detectan el bióxido de carbono marcado en el aire espirado o la sangre después que el sujeto ingiere urea marcada isotóxicamente, y también las pruebas serológicas en busca de la presencia de inmunoglobulina G específica del agente patógeno. Cada uno de estos estudios comerciales posee sensibilidad y especificidad de 95% o más. También se ha creado un estudio para buscar antígenos en excrementos.</w:t>
      </w:r>
    </w:p>
    <w:p w14:paraId="61E51115" w14:textId="77777777" w:rsidR="00093A32" w:rsidRDefault="00093A32">
      <w:pPr>
        <w:pStyle w:val="BodyText"/>
        <w:spacing w:line="271" w:lineRule="auto"/>
        <w:ind w:firstLine="0"/>
      </w:pPr>
      <w:r>
        <w:rPr>
          <w:b/>
          <w:bCs/>
        </w:rPr>
        <w:t>T</w:t>
      </w:r>
      <w:r>
        <w:rPr>
          <w:b/>
          <w:bCs/>
          <w:sz w:val="13"/>
          <w:szCs w:val="13"/>
        </w:rPr>
        <w:t>RATAMIENTO</w:t>
      </w:r>
      <w:r>
        <w:rPr>
          <w:b/>
          <w:bCs/>
        </w:rPr>
        <w:t xml:space="preserve">: </w:t>
      </w:r>
      <w:r>
        <w:t xml:space="preserve">Se recomienda emprender tratamiento sólo en sujetos infectados que han tenido el antecedente de enfermedad ulceropéptica activa, linfoma de tejido linfoide vinculado con la mucosa gástrica o cáncer gástrico temprano. </w:t>
      </w:r>
      <w:r>
        <w:rPr>
          <w:rFonts w:ascii="Times New Roman" w:eastAsia="Times New Roman" w:hAnsi="Times New Roman" w:cs="Times New Roman"/>
          <w:i/>
          <w:iCs/>
          <w:sz w:val="16"/>
          <w:szCs w:val="16"/>
        </w:rPr>
        <w:t>Helicobacter pylori</w:t>
      </w:r>
      <w:r>
        <w:t xml:space="preserve"> es susceptible a diversos agentes antimicrobianos, que incluyen amoxicilina, tetraciclina, metronidazol, claritromicina y sales de salicilato de bismuto, pero ninguno de ellos ha tenido eficacia terapéutica como agente único. El tratamiento contra la infección por dicho microorganismo comprende como mínimo siete días de terapia, aunque las cifras de erradicación son mayores con los regímenes de 14 días. Los regímenes eficaces incluyen dos antimicrobianos (como amoxicilina, claritromicina, o metronidazol) y además, subsalicilato de bismuto o un inhibidor de la bomba de protones (lansoprazol, omeprazol, esometrazon o rabeprazol sódico). Los regímenes en cuestión eliminan el microorganismo, curan la úlcera y evitan la reaparición. Se desconoce la tolerancia y la eficacia de los regímenes mencionados en los niños, aunque ellos han sido tratados con un inhibidor de la bomba de protones y, además, dos antimicrobianos. Las terapias originarán cifras de erradicación de 61 a 94% en los adultos, según el régimen usado. En Estados Unidos, la </w:t>
      </w:r>
      <w:r>
        <w:rPr>
          <w:rFonts w:ascii="Times New Roman" w:eastAsia="Times New Roman" w:hAnsi="Times New Roman" w:cs="Times New Roman"/>
          <w:i/>
          <w:iCs/>
          <w:sz w:val="16"/>
          <w:szCs w:val="16"/>
        </w:rPr>
        <w:t xml:space="preserve">Food and Drug Administration </w:t>
      </w:r>
      <w:r>
        <w:t>ha aprobado el tratamiento de siete días con rabeprazol más dos antimicrobianos (amoxicilina y claritromicina).</w:t>
      </w:r>
    </w:p>
    <w:p w14:paraId="2BCD4725"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7D2F1B39" w14:textId="77777777" w:rsidR="00093A32" w:rsidRDefault="00093A32">
      <w:pPr>
        <w:pStyle w:val="BodyText"/>
        <w:spacing w:after="100"/>
        <w:ind w:firstLine="0"/>
      </w:pPr>
      <w:r>
        <w:rPr>
          <w:b/>
          <w:bCs/>
        </w:rPr>
        <w:t>M</w:t>
      </w:r>
      <w:r>
        <w:rPr>
          <w:b/>
          <w:bCs/>
          <w:sz w:val="13"/>
          <w:szCs w:val="13"/>
        </w:rPr>
        <w:t>EDIDAS DE PREVENCIÓN</w:t>
      </w:r>
      <w:r>
        <w:rPr>
          <w:b/>
          <w:bCs/>
        </w:rPr>
        <w:t xml:space="preserve">: </w:t>
      </w:r>
      <w:r>
        <w:t>Conviene desinfectar los gastroscopios para evitar la transmisión del microorganismo de un paciente a otro.</w:t>
      </w:r>
    </w:p>
    <w:p w14:paraId="1334502C" w14:textId="77777777" w:rsidR="00093A32" w:rsidRDefault="00093A32">
      <w:pPr>
        <w:pStyle w:val="Bodytext70"/>
        <w:spacing w:after="0"/>
      </w:pPr>
      <w:r>
        <w:t>Hemorrágicas, fiebres, por arenavirus</w:t>
      </w:r>
    </w:p>
    <w:p w14:paraId="58F46234" w14:textId="77777777" w:rsidR="00093A32" w:rsidRDefault="00093A32">
      <w:pPr>
        <w:pStyle w:val="BodyText"/>
        <w:spacing w:line="271" w:lineRule="auto"/>
        <w:ind w:firstLine="0"/>
      </w:pPr>
      <w:r>
        <w:rPr>
          <w:b/>
          <w:bCs/>
        </w:rPr>
        <w:t>M</w:t>
      </w:r>
      <w:r>
        <w:rPr>
          <w:b/>
          <w:bCs/>
          <w:sz w:val="13"/>
          <w:szCs w:val="13"/>
        </w:rPr>
        <w:t>ANIFESTACIONES CLÍNICAS</w:t>
      </w:r>
      <w:r>
        <w:rPr>
          <w:b/>
          <w:bCs/>
        </w:rPr>
        <w:t xml:space="preserve">: </w:t>
      </w:r>
      <w:r>
        <w:t xml:space="preserve">Los arenavirus incluyen el de la coriomeningitis linfocítica y los agentes de cinco fiebres hemorrágicas: boliviana, argentina, la vinculada con el virus Sabia, la venezolana y la de Lassa. La intensidad de las enfermedades zoonóticas mencionadas varía de leve, aguda y febril hasta cuadros graves en que el choque es la manifestación más notable. Entre los primeros síntomas en todas las infecciones se observan a menudo fiebre, cefalea, mialgia, congestión conjuntival y dolor abdominal. La coriomeningitis linfocítica origina meningitis aséptica que puede acompañarse de complicaciones muy diversas. Las petequias en axilas son comunes en las fiebres hemorrágica argentina </w:t>
      </w:r>
      <w:r>
        <w:rPr>
          <w:i/>
          <w:iCs/>
        </w:rPr>
        <w:t>(</w:t>
      </w:r>
      <w:r>
        <w:rPr>
          <w:rFonts w:ascii="Times New Roman" w:eastAsia="Times New Roman" w:hAnsi="Times New Roman" w:cs="Times New Roman"/>
          <w:i/>
          <w:iCs/>
          <w:sz w:val="16"/>
          <w:szCs w:val="16"/>
        </w:rPr>
        <w:t>Argentine hemorrhagic fever</w:t>
      </w:r>
      <w:r>
        <w:rPr>
          <w:i/>
          <w:iCs/>
        </w:rPr>
        <w:t>,</w:t>
      </w:r>
      <w:r>
        <w:t xml:space="preserve"> AHF), boliviana </w:t>
      </w:r>
      <w:r>
        <w:rPr>
          <w:i/>
          <w:iCs/>
        </w:rPr>
        <w:t>(</w:t>
      </w:r>
      <w:r>
        <w:rPr>
          <w:rFonts w:ascii="Times New Roman" w:eastAsia="Times New Roman" w:hAnsi="Times New Roman" w:cs="Times New Roman"/>
          <w:i/>
          <w:iCs/>
          <w:sz w:val="16"/>
          <w:szCs w:val="16"/>
        </w:rPr>
        <w:t>Bolivian hemorrhagic fever</w:t>
      </w:r>
      <w:r>
        <w:rPr>
          <w:i/>
          <w:iCs/>
        </w:rPr>
        <w:t>,</w:t>
      </w:r>
      <w:r>
        <w:t xml:space="preserve"> BHF), y venezolana </w:t>
      </w:r>
      <w:r>
        <w:rPr>
          <w:i/>
          <w:iCs/>
        </w:rPr>
        <w:t>(</w:t>
      </w:r>
      <w:r>
        <w:rPr>
          <w:rFonts w:ascii="Times New Roman" w:eastAsia="Times New Roman" w:hAnsi="Times New Roman" w:cs="Times New Roman"/>
          <w:i/>
          <w:iCs/>
          <w:sz w:val="16"/>
          <w:szCs w:val="16"/>
        </w:rPr>
        <w:t>Venezuelan hemorrhagic fever</w:t>
      </w:r>
      <w:r>
        <w:rPr>
          <w:i/>
          <w:iCs/>
        </w:rPr>
        <w:t>,</w:t>
      </w:r>
      <w:r>
        <w:t xml:space="preserve"> VHF); en la fiebre de Lassa suele observarse faringitis exudativa. En casos graves a veces aparece hemorragia en mucosas como consecuencia del daño vascular, la trombocitopenia y la disfunción de plaquetas. Es frecuente la aparición de proteinuria, pero poco común la insuficiencia renal. Las concentraciones cada vez mayores de aspartato transaminasa en suero pueden predecir un resultado adverso o letal en la fiebre de Lassa. Surge choque microbiològico rápido y específico con la prueba de la ureasa en una muestra de estómago. Para realizar cada una de las pruebas mencionadas se necesita endoscopia y biopsia. Entre los métodos no penetrantes asequibles en el comercio están los que se hacen en el aliento o la sangre, que detectan el bióxido de carbono marcado en el aire espirado o la sangre después que el sujeto ingiere urea marcada isotóxicamente, y también las pruebas serológicas en busca de la presencia de inmunoglobulina G específica del agente patógeno. Cada uno de estos estudios comerciales posee sensibilidad y especificidad de 95% o más. También se ha creado un estudio para buscar antígenos en excrementos.</w:t>
      </w:r>
    </w:p>
    <w:p w14:paraId="326843E7" w14:textId="77777777" w:rsidR="00093A32" w:rsidRDefault="00093A32">
      <w:pPr>
        <w:pStyle w:val="BodyText"/>
        <w:spacing w:line="271" w:lineRule="auto"/>
        <w:ind w:firstLine="0"/>
      </w:pPr>
      <w:r>
        <w:rPr>
          <w:b/>
          <w:bCs/>
        </w:rPr>
        <w:t>T</w:t>
      </w:r>
      <w:r>
        <w:rPr>
          <w:b/>
          <w:bCs/>
          <w:sz w:val="13"/>
          <w:szCs w:val="13"/>
        </w:rPr>
        <w:t>RATAMIENTO</w:t>
      </w:r>
      <w:r>
        <w:rPr>
          <w:b/>
          <w:bCs/>
        </w:rPr>
        <w:t xml:space="preserve">: </w:t>
      </w:r>
      <w:r>
        <w:t xml:space="preserve">Se recomienda emprender tratamiento sólo en sujetos infectados que han tenido el antecedente de enfermedad ulceropéptica activa, linfoma de tejido linfoide vinculado con la mucosa gástrica o cáncer gástrico temprano. </w:t>
      </w:r>
      <w:r>
        <w:rPr>
          <w:rFonts w:ascii="Times New Roman" w:eastAsia="Times New Roman" w:hAnsi="Times New Roman" w:cs="Times New Roman"/>
          <w:i/>
          <w:iCs/>
          <w:sz w:val="16"/>
          <w:szCs w:val="16"/>
        </w:rPr>
        <w:t>Helicobacter pylori</w:t>
      </w:r>
      <w:r>
        <w:t xml:space="preserve"> es susceptible a diversos agentes antimicrobianos, que incluyen amoxicilina, tetraciclina, metronidazol, claritromicina y sales de salicilato de bismuto, pero ninguno de ellos ha tenido eficacia terapéutica como agente único. El tratamiento contra la infección por dicho microorganismo comprende como mínimo siete días de terapia, aunque las cifras de erradicación son mayores con los regímenes de 14 días. Los regímenes eficaces incluyen dos antimicrobianos (como amoxicilina, claritromicina, o metronidazol) y además, subsalicilato de bismuto o un inhibidor de la bomba de protones (lansoprazol, omeprazol, esometrazon o rabeprazol sódico). Los regímenes en cuestión eliminan el microorganismo, curan la úlcera y evitan la reaparición. Se desconoce la tolerancia y la eficacia de los regímenes mencionados en los niños, aunque ellos han sido tratados con un inhibidor de la bomba de protones y, además, dos antimicrobianos. Las terapias originarán cifras de erradicación de 61 a 94% en los adultos, según el régimen usado. En Estados Unidos, la </w:t>
      </w:r>
      <w:r>
        <w:rPr>
          <w:rFonts w:ascii="Times New Roman" w:eastAsia="Times New Roman" w:hAnsi="Times New Roman" w:cs="Times New Roman"/>
          <w:i/>
          <w:iCs/>
          <w:sz w:val="16"/>
          <w:szCs w:val="16"/>
        </w:rPr>
        <w:t xml:space="preserve">Food and Drug Administration </w:t>
      </w:r>
      <w:r>
        <w:t>ha aprobado el tratamiento de siete días con rabeprazol más dos antimicrobianos (amoxicilina y claritromicina).</w:t>
      </w:r>
    </w:p>
    <w:p w14:paraId="6501B4AE"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0D7D6728" w14:textId="77777777" w:rsidR="00093A32" w:rsidRDefault="00093A32">
      <w:pPr>
        <w:pStyle w:val="BodyText"/>
        <w:spacing w:after="100"/>
        <w:ind w:firstLine="0"/>
      </w:pPr>
      <w:r>
        <w:rPr>
          <w:b/>
          <w:bCs/>
        </w:rPr>
        <w:t>M</w:t>
      </w:r>
      <w:r>
        <w:rPr>
          <w:b/>
          <w:bCs/>
          <w:sz w:val="13"/>
          <w:szCs w:val="13"/>
        </w:rPr>
        <w:t>EDIDAS DE PREVENCIÓN</w:t>
      </w:r>
      <w:r>
        <w:rPr>
          <w:b/>
          <w:bCs/>
        </w:rPr>
        <w:t xml:space="preserve">: </w:t>
      </w:r>
      <w:r>
        <w:t>Conviene desinfectar los gastroscopios para evitar la transmisión del microorganismo de un paciente a otro.</w:t>
      </w:r>
    </w:p>
    <w:p w14:paraId="1EEB2B3F" w14:textId="77777777" w:rsidR="00093A32" w:rsidRDefault="00093A32">
      <w:pPr>
        <w:pStyle w:val="Bodytext70"/>
        <w:spacing w:after="0"/>
      </w:pPr>
      <w:r>
        <w:t>Hemorrágicas, fiebres, por arenavirus</w:t>
      </w:r>
    </w:p>
    <w:p w14:paraId="3EE6CED4" w14:textId="77777777" w:rsidR="00093A32" w:rsidRDefault="00093A32">
      <w:pPr>
        <w:pStyle w:val="BodyText"/>
        <w:spacing w:line="271" w:lineRule="auto"/>
        <w:ind w:firstLine="0"/>
        <w:sectPr w:rsidR="00093A32" w:rsidSect="00093A32">
          <w:headerReference w:type="even" r:id="rId328"/>
          <w:headerReference w:type="default" r:id="rId329"/>
          <w:footerReference w:type="even" r:id="rId330"/>
          <w:footerReference w:type="default" r:id="rId331"/>
          <w:type w:val="continuous"/>
          <w:pgSz w:w="8501" w:h="13022"/>
          <w:pgMar w:top="705" w:right="766" w:bottom="438" w:left="812" w:header="0" w:footer="10" w:gutter="0"/>
          <w:cols w:space="720"/>
          <w:noEndnote/>
          <w:docGrid w:linePitch="360"/>
          <w15:footnoteColumns w:val="1"/>
        </w:sectPr>
      </w:pPr>
      <w:r>
        <w:rPr>
          <w:b/>
          <w:bCs/>
        </w:rPr>
        <w:t>M</w:t>
      </w:r>
      <w:r>
        <w:rPr>
          <w:b/>
          <w:bCs/>
          <w:sz w:val="13"/>
          <w:szCs w:val="13"/>
        </w:rPr>
        <w:t>ANIFESTACIONES CLÍNICAS</w:t>
      </w:r>
      <w:r>
        <w:rPr>
          <w:b/>
          <w:bCs/>
        </w:rPr>
        <w:t xml:space="preserve">: </w:t>
      </w:r>
      <w:r>
        <w:t xml:space="preserve">Los arenavirus incluyen el de la coriomeningitis linfocítica y los agentes de cinco fiebres hemorrágicas: boliviana, argentina, la vinculada con el virus Sabia, la venezolana y la de Lassa. La intensidad de las enfermedades zoonóticas mencionadas varía de leve, aguda y febril hasta cuadros graves en que el choque es la manifestación más notable. Entre los primeros síntomas en todas las infecciones se observan a menudo fiebre, cefalea, mialgia, congestión conjuntival y dolor abdominal. La coriomeningitis linfocítica origina meningitis aséptica que puede acompañarse de complicaciones muy diversas. Las petequias en axilas son comunes en las fiebres hemorrágica argentina </w:t>
      </w:r>
      <w:r>
        <w:rPr>
          <w:i/>
          <w:iCs/>
        </w:rPr>
        <w:t>(</w:t>
      </w:r>
      <w:r>
        <w:rPr>
          <w:rFonts w:ascii="Times New Roman" w:eastAsia="Times New Roman" w:hAnsi="Times New Roman" w:cs="Times New Roman"/>
          <w:i/>
          <w:iCs/>
          <w:sz w:val="16"/>
          <w:szCs w:val="16"/>
        </w:rPr>
        <w:t>Argentine hemorrhagic fever</w:t>
      </w:r>
      <w:r>
        <w:rPr>
          <w:i/>
          <w:iCs/>
        </w:rPr>
        <w:t>,</w:t>
      </w:r>
      <w:r>
        <w:t xml:space="preserve"> AHF), boliviana </w:t>
      </w:r>
      <w:r>
        <w:rPr>
          <w:i/>
          <w:iCs/>
        </w:rPr>
        <w:t>(</w:t>
      </w:r>
      <w:r>
        <w:rPr>
          <w:rFonts w:ascii="Times New Roman" w:eastAsia="Times New Roman" w:hAnsi="Times New Roman" w:cs="Times New Roman"/>
          <w:i/>
          <w:iCs/>
          <w:sz w:val="16"/>
          <w:szCs w:val="16"/>
        </w:rPr>
        <w:t>Bolivian hemorrhagic fever</w:t>
      </w:r>
      <w:r>
        <w:rPr>
          <w:i/>
          <w:iCs/>
        </w:rPr>
        <w:t>,</w:t>
      </w:r>
      <w:r>
        <w:t xml:space="preserve"> BHF), y venezolana </w:t>
      </w:r>
      <w:r>
        <w:rPr>
          <w:i/>
          <w:iCs/>
        </w:rPr>
        <w:t>(</w:t>
      </w:r>
      <w:r>
        <w:rPr>
          <w:rFonts w:ascii="Times New Roman" w:eastAsia="Times New Roman" w:hAnsi="Times New Roman" w:cs="Times New Roman"/>
          <w:i/>
          <w:iCs/>
          <w:sz w:val="16"/>
          <w:szCs w:val="16"/>
        </w:rPr>
        <w:t>Venezuelan hemorrhagic fever</w:t>
      </w:r>
      <w:r>
        <w:rPr>
          <w:i/>
          <w:iCs/>
        </w:rPr>
        <w:t>,</w:t>
      </w:r>
      <w:r>
        <w:t xml:space="preserve"> VHF); en la fiebre de Lassa suele observarse faringitis exudativa. En casos graves a veces aparece hemorragia en mucosas como consecuencia del daño vascular, la trombocitopenia y la disfunción de plaquetas. Es frecuente la aparición de proteinuria, pero poco común la insuficiencia renal. Las concentraciones cada vez mayores de aspartato transaminasa en suero pueden predecir un resultado adverso o letal en la fiebre de Lassa. Surge choque </w:t>
      </w:r>
    </w:p>
    <w:p w14:paraId="379964AC" w14:textId="77777777" w:rsidR="00093A32" w:rsidRDefault="00093A32">
      <w:pPr>
        <w:pStyle w:val="BodyText"/>
        <w:spacing w:line="271" w:lineRule="auto"/>
        <w:ind w:firstLine="0"/>
      </w:pPr>
      <w:r>
        <w:t>siete a nueve días después de comenzar la enfermedad en las personas mucho muy graves con tales infecciones. En individuos con fiebre de Lassa surgen a veces síntomas de las porciones altas y bajas de las vías respiratorias. En las fiebres hemorrágicas sudamericanas y en casos graves de fiebre de Lassa se observan signos encefalopáticos, como temblor, alteraciones de la conciencia y convulsiones.</w:t>
      </w:r>
    </w:p>
    <w:p w14:paraId="12B7E32B" w14:textId="77777777" w:rsidR="00093A32" w:rsidRDefault="00093A32">
      <w:pPr>
        <w:pStyle w:val="BodyText"/>
        <w:ind w:firstLine="0"/>
      </w:pPr>
      <w:r>
        <w:rPr>
          <w:b/>
          <w:bCs/>
        </w:rPr>
        <w:t>C</w:t>
      </w:r>
      <w:r>
        <w:rPr>
          <w:b/>
          <w:bCs/>
          <w:sz w:val="13"/>
          <w:szCs w:val="13"/>
        </w:rPr>
        <w:t>AUSAS</w:t>
      </w:r>
      <w:r>
        <w:rPr>
          <w:b/>
          <w:bCs/>
        </w:rPr>
        <w:t xml:space="preserve">: </w:t>
      </w:r>
      <w:r>
        <w:t>Los microorganismos patógenos son virus de RNA. Las principales fiebres hemorrágicas por arenavirus del Nuevo Mundo aparecen en el hemisferio occidental, y son AHF, BHF y VHF; son causadas por los virus Junin, Machupo y Guanarito, respectivamente. Hay un cuarto arenavirus que es el Sabia, que ha originado un solo caso de fiebre hemorrágica espontánea en Brasil. El complejo de arenavirus del Viejo Mundo incluye el de Lassa, que origina la fiebre de igual nombre, enfermedad que aparece en África Occidental, y el virus de coriomeningitis linfocítica (véase “Linfocítica, coriomeningitis” en esta sección), que produce el cuadro menos grave causado por tales partículas.</w:t>
      </w:r>
    </w:p>
    <w:p w14:paraId="3392A371" w14:textId="77777777" w:rsidR="00093A32" w:rsidRDefault="00093A32">
      <w:pPr>
        <w:pStyle w:val="BodyText"/>
        <w:ind w:firstLine="0"/>
      </w:pPr>
      <w:r>
        <w:rPr>
          <w:b/>
          <w:bCs/>
        </w:rPr>
        <w:t>A</w:t>
      </w:r>
      <w:r>
        <w:rPr>
          <w:b/>
          <w:bCs/>
          <w:sz w:val="13"/>
          <w:szCs w:val="13"/>
        </w:rPr>
        <w:t>SPECTOS EPIDEMIOLÓGICOS</w:t>
      </w:r>
      <w:r>
        <w:rPr>
          <w:b/>
          <w:bCs/>
        </w:rPr>
        <w:t xml:space="preserve">: </w:t>
      </w:r>
      <w:r>
        <w:t>Los arenavirus persisten en la naturaleza al vincularse con algunos hospedadores roedores específicos en los que producen viremia y viruria crónicas. Las vías principales de infección son la inhalación y el contacto con mucosas y piel (a través de cortaduras, raspones o abrasiones), con secreciones salivales y orina. Todos los arenavirus son infectantes en la forma de aerosoles; los que ocasionan la forma hemorrágica son muy peligrosos para quienes trabajan con tales partículas en el laboratorio. La distribución geográfica y los hábitat de los roedores específicos que constituyen reservorios son los elementos que rigen en gran medida la extensión de las áreas endémicas y poblaciones en peligro. Antes de que se contara con vacunas, se observaban cientos de casos de AHF en trabajadores agrícolas y habitantes de las pampas argentinas. En pequeñas poblaciones surgieron epidemias de BHF de 1962 a 1964; desde esa fecha ha subsistido actividad esporádica en las zonas campesinas. La fiebre hemorrágica venezolana fue identificada originalmente en 1989 y surgió en las zonas rurales del norte y centro de Venezuela. La fiebre de Lassa es endémica en gran parte de África Occidental, zona en la cual el roedor hospedador vive en gran cercanía con los seres humanos y origina cada año miles de infecciones. Se han notificado casos de dicha fiebre en Estados Unidos, en viajeros que provienen de África Occidental.</w:t>
      </w:r>
    </w:p>
    <w:p w14:paraId="1B94F015" w14:textId="77777777" w:rsidR="00093A32" w:rsidRDefault="00093A32">
      <w:pPr>
        <w:pStyle w:val="BodyText"/>
        <w:ind w:firstLine="360"/>
      </w:pPr>
      <w:r>
        <w:t xml:space="preserve">Los </w:t>
      </w:r>
      <w:r>
        <w:rPr>
          <w:b/>
          <w:bCs/>
        </w:rPr>
        <w:t xml:space="preserve">periodos de incubación </w:t>
      </w:r>
      <w:r>
        <w:t>varían de seis a 17 días.</w:t>
      </w:r>
    </w:p>
    <w:p w14:paraId="3BCB1ACA" w14:textId="77777777" w:rsidR="00093A32" w:rsidRDefault="00093A32">
      <w:pPr>
        <w:pStyle w:val="BodyText"/>
        <w:ind w:firstLine="0"/>
      </w:pPr>
      <w:r>
        <w:rPr>
          <w:b/>
          <w:bCs/>
        </w:rPr>
        <w:t>M</w:t>
      </w:r>
      <w:r>
        <w:rPr>
          <w:b/>
          <w:bCs/>
          <w:sz w:val="13"/>
          <w:szCs w:val="13"/>
        </w:rPr>
        <w:t>ÉTODOS DIAGNÓSTICOS</w:t>
      </w:r>
      <w:r>
        <w:rPr>
          <w:b/>
          <w:bCs/>
        </w:rPr>
        <w:t xml:space="preserve">: </w:t>
      </w:r>
      <w:r>
        <w:t xml:space="preserve">La infección aguda se diagnostica al demostrar la presencia de inmunoglobulina (Ig) M sérica específica del virus o el antígeno vírico. La respuesta a base de anticuerpos IgG es tardía. El ácido nucleico vírico también puede detectarse en el cuadro agudo por medio de la reacción en cadena de polimerasa-transcriptasa inversa. Los virus en cuestión pueden ser identificados en la sangre de personas con un cuadro agudo y también en diversos tejidos obtenidos en la necropsia, pero se intentará el aislamiento de la partícula sólo con las medidas de bioseguridad de nivel 4. </w:t>
      </w:r>
      <w:r>
        <w:rPr>
          <w:b/>
          <w:bCs/>
        </w:rPr>
        <w:t>T</w:t>
      </w:r>
      <w:r>
        <w:rPr>
          <w:b/>
          <w:bCs/>
          <w:sz w:val="13"/>
          <w:szCs w:val="13"/>
        </w:rPr>
        <w:t>RATAMIENTO</w:t>
      </w:r>
      <w:r>
        <w:rPr>
          <w:b/>
          <w:bCs/>
        </w:rPr>
        <w:t xml:space="preserve">: </w:t>
      </w:r>
      <w:r>
        <w:t xml:space="preserve">La administración de plasma de convalecientes ha sido eficaz para disminuir la cifra de mortalidad que es propia de AHF, de 15 a 30% en personas no tratadas, a menos de 1% en quienes han recibido tal preparado en cantidad apropiada (con base en su contenido de anticuerpos neutralizantes), en los primeros ocho días de la enfermedad. La ribavirina intravenosa disminuye significativamente las cifras de mortalidad en personas con fiebre grave de Lassa, en particular si la reciben en la primera semana de la enfermedad, y probablemente ayuda a combatir las infecciones por arenavirus sudamericanos. </w:t>
      </w:r>
      <w:r>
        <w:rPr>
          <w:b/>
          <w:bCs/>
        </w:rPr>
        <w:t>A</w:t>
      </w:r>
      <w:r>
        <w:rPr>
          <w:b/>
          <w:bCs/>
          <w:sz w:val="13"/>
          <w:szCs w:val="13"/>
        </w:rPr>
        <w:t>ISLAMIENTO DEL PACIENTE HOSPITALIZADO</w:t>
      </w:r>
      <w:r>
        <w:rPr>
          <w:b/>
          <w:bCs/>
        </w:rPr>
        <w:t xml:space="preserve">: </w:t>
      </w:r>
      <w:r>
        <w:t>Además de las precauciones estándar, en todas las fiebres hemorrágicas causadas por arenavirus se recomiendan precauciones</w:t>
      </w:r>
    </w:p>
    <w:p w14:paraId="79CF83F5" w14:textId="77777777" w:rsidR="00093A32" w:rsidRDefault="00093A32">
      <w:pPr>
        <w:pStyle w:val="BodyText"/>
        <w:spacing w:after="220"/>
        <w:ind w:firstLine="0"/>
      </w:pPr>
      <w:r>
        <w:t>para evitar la transmisión por contacto y gotículas, que comprenden la prevención cuidadosa de lesiones por pinchazo de aguja y la manipulación cuidadosa de muestras clínicas durante el tiempo que dure la enfermedad. También en algunas circunstancias es necesario seguir precauciones de tipo respiratorio.</w:t>
      </w:r>
    </w:p>
    <w:p w14:paraId="29064045"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de prevención</w:t>
      </w:r>
      <w:r>
        <w:rPr>
          <w:b/>
          <w:bCs/>
          <w:smallCaps/>
          <w:sz w:val="20"/>
          <w:szCs w:val="20"/>
        </w:rPr>
        <w:t>:</w:t>
      </w:r>
    </w:p>
    <w:p w14:paraId="6FDC710D" w14:textId="77777777" w:rsidR="00093A32" w:rsidRDefault="00093A32">
      <w:pPr>
        <w:pStyle w:val="BodyText"/>
        <w:spacing w:line="276" w:lineRule="auto"/>
        <w:ind w:firstLine="0"/>
      </w:pPr>
      <w:r>
        <w:rPr>
          <w:rFonts w:ascii="Arial" w:eastAsia="Arial" w:hAnsi="Arial" w:cs="Arial"/>
          <w:b/>
          <w:bCs/>
          <w:i/>
          <w:iCs/>
          <w:sz w:val="15"/>
          <w:szCs w:val="15"/>
        </w:rPr>
        <w:t>Cuidado de personas expuestas.</w:t>
      </w:r>
      <w:r>
        <w:t xml:space="preserve"> No hay medidas específicas que estén justificadas para las personas expuestas, salvo que haya habido contaminación directa con sangre, sustancias eliminadas y secreciones del paciente infectado. Si ha surgido dicha contaminación, se recomienda registrar todos los días la temperatura corporal durante 21 días con notificación inmediata en caso de aparecer fiebre.</w:t>
      </w:r>
    </w:p>
    <w:p w14:paraId="76EA05B1" w14:textId="77777777" w:rsidR="00093A32" w:rsidRDefault="00093A32">
      <w:pPr>
        <w:pStyle w:val="BodyText"/>
        <w:spacing w:line="283" w:lineRule="auto"/>
        <w:ind w:firstLine="380"/>
      </w:pPr>
      <w:r>
        <w:rPr>
          <w:rFonts w:ascii="Arial" w:eastAsia="Arial" w:hAnsi="Arial" w:cs="Arial"/>
          <w:b/>
          <w:bCs/>
          <w:i/>
          <w:iCs/>
          <w:sz w:val="15"/>
          <w:szCs w:val="15"/>
        </w:rPr>
        <w:t>Inmunoprofilaxia.</w:t>
      </w:r>
      <w:r>
        <w:t xml:space="preserve"> La vacuna hecha con virus vivo atenuado de Junin, aún en investigación, protege de AHF y tal vez de BHF. Genera pocos efectos adversos en los adultos; se han obtenido datos similares en estudios de inocuidad delimitada en niños de cuatro años de edad y mayores.</w:t>
      </w:r>
    </w:p>
    <w:p w14:paraId="0AE94ED1" w14:textId="77777777" w:rsidR="00093A32" w:rsidRDefault="00093A32">
      <w:pPr>
        <w:pStyle w:val="BodyText"/>
        <w:spacing w:line="276" w:lineRule="auto"/>
        <w:ind w:firstLine="380"/>
      </w:pPr>
      <w:r>
        <w:rPr>
          <w:rFonts w:ascii="Arial" w:eastAsia="Arial" w:hAnsi="Arial" w:cs="Arial"/>
          <w:b/>
          <w:bCs/>
          <w:i/>
          <w:iCs/>
          <w:sz w:val="15"/>
          <w:szCs w:val="15"/>
        </w:rPr>
        <w:t>Factores ambientales.</w:t>
      </w:r>
      <w:r>
        <w:t xml:space="preserve"> En los brotes de BHF ocurridos en zonas urbanas se han obtenido buenos resultados con la erradicación de roedores. La erradicación de tales animales en sus áreas no es práctica para el control de AHF o BHF. Las actividades intensivas de erradicación de roedores han disminuido moderadamente la frecuencia de infección por virus Lassa peridoméstica, pero al final los animales invaden de nuevo las viviendas de los seres humanos, y la infección aún persiste en zonas rurales.</w:t>
      </w:r>
    </w:p>
    <w:p w14:paraId="3381509D" w14:textId="77777777" w:rsidR="00093A32" w:rsidRDefault="00093A32">
      <w:pPr>
        <w:pStyle w:val="BodyText"/>
        <w:spacing w:after="40" w:line="295" w:lineRule="auto"/>
        <w:ind w:firstLine="380"/>
      </w:pPr>
      <w:r>
        <w:rPr>
          <w:rFonts w:ascii="Arial" w:eastAsia="Arial" w:hAnsi="Arial" w:cs="Arial"/>
          <w:b/>
          <w:bCs/>
          <w:i/>
          <w:iCs/>
          <w:sz w:val="15"/>
          <w:szCs w:val="15"/>
        </w:rPr>
        <w:t>Notificación a autoridades de salud pública.</w:t>
      </w:r>
      <w:r>
        <w:t xml:space="preserve"> Ante el peligro de transmisión nosocomial, es importante avisar a los departamentos de salud estatales y a los </w:t>
      </w:r>
      <w:r>
        <w:rPr>
          <w:rFonts w:ascii="Times New Roman" w:eastAsia="Times New Roman" w:hAnsi="Times New Roman" w:cs="Times New Roman"/>
          <w:i/>
          <w:iCs/>
          <w:sz w:val="16"/>
          <w:szCs w:val="16"/>
        </w:rPr>
        <w:t>Centers for Disease Control and Prevention</w:t>
      </w:r>
      <w:r>
        <w:t xml:space="preserve"> para recibir orientación específica en cuanto al tratamiento y el diagnóstico de casos sospechosos.</w:t>
      </w:r>
    </w:p>
    <w:p w14:paraId="02FE62B7" w14:textId="77777777" w:rsidR="00093A32" w:rsidRDefault="00093A32">
      <w:pPr>
        <w:pStyle w:val="Bodytext70"/>
        <w:spacing w:after="120" w:line="209" w:lineRule="auto"/>
      </w:pPr>
      <w:r>
        <w:t>Hemorrágicas, fiebres, y síndromes similares (excluido el síndrome pulmonar por virus Hanta) causados por virus de la familia Bunyaviridae</w:t>
      </w:r>
    </w:p>
    <w:p w14:paraId="741DCB7D"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infecciones zoonóticas mencionadas son enfermedades febriles graves en que pueden ser importantes el choque y la hemorragia; también puede haber afección de múltiples órganos y sistemas. En Estados Unidos, una de las infecciones en cuestión origina un cuadro que se caracteriza por insuficiencia respiratoria y cardiovascular aguda (véase “Hanta, virus, síndrome pulmonar” en esta sección).</w:t>
      </w:r>
    </w:p>
    <w:p w14:paraId="36145F6B" w14:textId="77777777" w:rsidR="00093A32" w:rsidRDefault="00093A32">
      <w:pPr>
        <w:pStyle w:val="BodyText"/>
        <w:spacing w:line="276" w:lineRule="auto"/>
        <w:ind w:firstLine="380"/>
      </w:pPr>
      <w:r>
        <w:rPr>
          <w:b/>
          <w:bCs/>
        </w:rPr>
        <w:t xml:space="preserve">La fiebre hemorrágica con síndrome renal </w:t>
      </w:r>
      <w:r>
        <w:rPr>
          <w:b/>
          <w:bCs/>
          <w:i/>
          <w:iCs/>
        </w:rPr>
        <w:t>(</w:t>
      </w:r>
      <w:r>
        <w:rPr>
          <w:rFonts w:ascii="Times New Roman" w:eastAsia="Times New Roman" w:hAnsi="Times New Roman" w:cs="Times New Roman"/>
          <w:b/>
          <w:bCs/>
          <w:i/>
          <w:iCs/>
          <w:sz w:val="16"/>
          <w:szCs w:val="16"/>
        </w:rPr>
        <w:t>hemorrhagic fever with renal syndrome</w:t>
      </w:r>
      <w:r>
        <w:rPr>
          <w:b/>
          <w:bCs/>
          <w:i/>
          <w:iCs/>
        </w:rPr>
        <w:t>,</w:t>
      </w:r>
      <w:r>
        <w:rPr>
          <w:b/>
          <w:bCs/>
        </w:rPr>
        <w:t xml:space="preserve"> HFRS) </w:t>
      </w:r>
      <w:r>
        <w:t>es un cuadro multifásico complejo que se caracteriza por inestabilidad vascular y grados diversos de disfunción renal. Después de la primera fase caracterizada por fiebre, congestión facial, hiperemia conjuntival, así como dolor abdominal y lumbar, surgen hipotensión, oliguria y más adelante poliuria. Son frecuentes las petequias y otras manifestaciones hemorrágicas graves. En esta situación puede surgir choque e insuficiencia renal aguda. La nefropatía epidémica, que es el síndrome clínico de HFRS en Europa, es un trastorno menos grave que se caracteriza por un cuadro similar al de la influenza, con dolor abdominal y proteinuria. También se observa disfunción renal aguda, pero pocas veces aparecen choque por hipotensión o la necesidad de diálisis.</w:t>
      </w:r>
    </w:p>
    <w:p w14:paraId="469D50BB" w14:textId="77777777" w:rsidR="00093A32" w:rsidRDefault="00093A32">
      <w:pPr>
        <w:pStyle w:val="BodyText"/>
        <w:spacing w:after="220"/>
        <w:ind w:firstLine="380"/>
      </w:pPr>
      <w:r>
        <w:rPr>
          <w:b/>
          <w:bCs/>
        </w:rPr>
        <w:t xml:space="preserve">El síndrome pulmonar por virus Hanta </w:t>
      </w:r>
      <w:r>
        <w:rPr>
          <w:b/>
          <w:bCs/>
          <w:i/>
          <w:iCs/>
        </w:rPr>
        <w:t>(</w:t>
      </w:r>
      <w:r>
        <w:rPr>
          <w:rFonts w:ascii="Times New Roman" w:eastAsia="Times New Roman" w:hAnsi="Times New Roman" w:cs="Times New Roman"/>
          <w:b/>
          <w:bCs/>
          <w:i/>
          <w:iCs/>
          <w:sz w:val="16"/>
          <w:szCs w:val="16"/>
        </w:rPr>
        <w:t>Hantaviruspulmonary syndrome</w:t>
      </w:r>
      <w:r>
        <w:rPr>
          <w:b/>
          <w:bCs/>
          <w:i/>
          <w:iCs/>
        </w:rPr>
        <w:t xml:space="preserve">, </w:t>
      </w:r>
      <w:r>
        <w:rPr>
          <w:b/>
          <w:bCs/>
        </w:rPr>
        <w:t xml:space="preserve">HpS) </w:t>
      </w:r>
      <w:r>
        <w:t>es una enfermedad febril aguda que puede evolucionar a la insuficiencia para evitar la transmisión por contacto y gotículas, que comprenden la prevención cuidadosa de lesiones por pinchazo de aguja y la manipulación cuidadosa de muestras clínicas durante el tiempo que dure la enfermedad. También en algunas circunstancias es necesario seguir precauciones de tipo respiratorio.</w:t>
      </w:r>
    </w:p>
    <w:p w14:paraId="1C2EED01"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de prevención</w:t>
      </w:r>
      <w:r>
        <w:rPr>
          <w:b/>
          <w:bCs/>
          <w:smallCaps/>
          <w:sz w:val="20"/>
          <w:szCs w:val="20"/>
        </w:rPr>
        <w:t>:</w:t>
      </w:r>
    </w:p>
    <w:p w14:paraId="4F46F563" w14:textId="77777777" w:rsidR="00093A32" w:rsidRDefault="00093A32">
      <w:pPr>
        <w:pStyle w:val="BodyText"/>
        <w:spacing w:line="276" w:lineRule="auto"/>
        <w:ind w:firstLine="0"/>
      </w:pPr>
      <w:r>
        <w:rPr>
          <w:rFonts w:ascii="Arial" w:eastAsia="Arial" w:hAnsi="Arial" w:cs="Arial"/>
          <w:b/>
          <w:bCs/>
          <w:i/>
          <w:iCs/>
          <w:sz w:val="15"/>
          <w:szCs w:val="15"/>
        </w:rPr>
        <w:t>Cuidado de personas expuestas.</w:t>
      </w:r>
      <w:r>
        <w:t xml:space="preserve"> No hay medidas específicas que estén justificadas para las personas expuestas, salvo que haya habido contaminación directa con sangre, sustancias eliminadas y secreciones del paciente infectado. Si ha surgido dicha contaminación, se recomienda registrar todos los días la temperatura corporal durante 21 días con notificación inmediata en caso de aparecer fiebre.</w:t>
      </w:r>
    </w:p>
    <w:p w14:paraId="7040AF61" w14:textId="77777777" w:rsidR="00093A32" w:rsidRDefault="00093A32">
      <w:pPr>
        <w:pStyle w:val="BodyText"/>
        <w:spacing w:line="283" w:lineRule="auto"/>
        <w:ind w:firstLine="380"/>
      </w:pPr>
      <w:r>
        <w:rPr>
          <w:rFonts w:ascii="Arial" w:eastAsia="Arial" w:hAnsi="Arial" w:cs="Arial"/>
          <w:b/>
          <w:bCs/>
          <w:i/>
          <w:iCs/>
          <w:sz w:val="15"/>
          <w:szCs w:val="15"/>
        </w:rPr>
        <w:t>Inmunoprofilaxia.</w:t>
      </w:r>
      <w:r>
        <w:t xml:space="preserve"> La vacuna hecha con virus vivo atenuado de Junin, aún en investigación, protege de AHF y tal vez de BHF. Genera pocos efectos adversos en los adultos; se han obtenido datos similares en estudios de inocuidad delimitada en niños de cuatro años de edad y mayores.</w:t>
      </w:r>
    </w:p>
    <w:p w14:paraId="7C9502F6" w14:textId="77777777" w:rsidR="00093A32" w:rsidRDefault="00093A32">
      <w:pPr>
        <w:pStyle w:val="BodyText"/>
        <w:spacing w:line="276" w:lineRule="auto"/>
        <w:ind w:firstLine="380"/>
      </w:pPr>
      <w:r>
        <w:rPr>
          <w:rFonts w:ascii="Arial" w:eastAsia="Arial" w:hAnsi="Arial" w:cs="Arial"/>
          <w:b/>
          <w:bCs/>
          <w:i/>
          <w:iCs/>
          <w:sz w:val="15"/>
          <w:szCs w:val="15"/>
        </w:rPr>
        <w:t>Factores ambientales.</w:t>
      </w:r>
      <w:r>
        <w:t xml:space="preserve"> En los brotes de BHF ocurridos en zonas urbanas se han obtenido buenos resultados con la erradicación de roedores. La erradicación de tales animales en sus áreas no es práctica para el control de AHF o BHF. Las actividades intensivas de erradicación de roedores han disminuido moderadamente la frecuencia de infección por virus Lassa peridoméstica, pero al final los animales invaden de nuevo las viviendas de los seres humanos, y la infección aún persiste en zonas rurales.</w:t>
      </w:r>
    </w:p>
    <w:p w14:paraId="7B9F98C4" w14:textId="77777777" w:rsidR="00093A32" w:rsidRDefault="00093A32">
      <w:pPr>
        <w:pStyle w:val="BodyText"/>
        <w:spacing w:after="40" w:line="295" w:lineRule="auto"/>
        <w:ind w:firstLine="380"/>
      </w:pPr>
      <w:r>
        <w:rPr>
          <w:rFonts w:ascii="Arial" w:eastAsia="Arial" w:hAnsi="Arial" w:cs="Arial"/>
          <w:b/>
          <w:bCs/>
          <w:i/>
          <w:iCs/>
          <w:sz w:val="15"/>
          <w:szCs w:val="15"/>
        </w:rPr>
        <w:t>Notificación a autoridades de salud pública.</w:t>
      </w:r>
      <w:r>
        <w:t xml:space="preserve"> Ante el peligro de transmisión nosocomial, es importante avisar a los departamentos de salud estatales y a los </w:t>
      </w:r>
      <w:r>
        <w:rPr>
          <w:rFonts w:ascii="Times New Roman" w:eastAsia="Times New Roman" w:hAnsi="Times New Roman" w:cs="Times New Roman"/>
          <w:i/>
          <w:iCs/>
          <w:sz w:val="16"/>
          <w:szCs w:val="16"/>
        </w:rPr>
        <w:t>Centers for Disease Control and Prevention</w:t>
      </w:r>
      <w:r>
        <w:t xml:space="preserve"> para recibir orientación específica en cuanto al tratamiento y el diagnóstico de casos sospechosos.</w:t>
      </w:r>
    </w:p>
    <w:p w14:paraId="34B48BB8" w14:textId="77777777" w:rsidR="00093A32" w:rsidRDefault="00093A32">
      <w:pPr>
        <w:pStyle w:val="Bodytext70"/>
        <w:spacing w:after="120" w:line="209" w:lineRule="auto"/>
      </w:pPr>
      <w:r>
        <w:t>Hemorrágicas, fiebres, y síndromes similares (excluido el síndrome pulmonar por virus Hanta) causados por virus de la familia Bunyaviridae</w:t>
      </w:r>
    </w:p>
    <w:p w14:paraId="0D60D6B5" w14:textId="77777777" w:rsidR="00093A32" w:rsidRDefault="00093A3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infecciones zoonóticas mencionadas son enfermedades febriles graves en que pueden ser importantes el choque y la hemorragia; también puede haber afección de múltiples órganos y sistemas. En Estados Unidos, una de las infecciones en cuestión origina un cuadro que se caracteriza por insuficiencia respiratoria y cardiovascular aguda (véase “Hanta, virus, síndrome pulmonar” en esta sección).</w:t>
      </w:r>
    </w:p>
    <w:p w14:paraId="57198E75" w14:textId="77777777" w:rsidR="00093A32" w:rsidRDefault="00093A32">
      <w:pPr>
        <w:pStyle w:val="BodyText"/>
        <w:spacing w:line="276" w:lineRule="auto"/>
        <w:ind w:firstLine="380"/>
      </w:pPr>
      <w:r>
        <w:rPr>
          <w:b/>
          <w:bCs/>
        </w:rPr>
        <w:t xml:space="preserve">La fiebre hemorrágica con síndrome renal </w:t>
      </w:r>
      <w:r>
        <w:rPr>
          <w:b/>
          <w:bCs/>
          <w:i/>
          <w:iCs/>
        </w:rPr>
        <w:t>(</w:t>
      </w:r>
      <w:r>
        <w:rPr>
          <w:rFonts w:ascii="Times New Roman" w:eastAsia="Times New Roman" w:hAnsi="Times New Roman" w:cs="Times New Roman"/>
          <w:b/>
          <w:bCs/>
          <w:i/>
          <w:iCs/>
          <w:sz w:val="16"/>
          <w:szCs w:val="16"/>
        </w:rPr>
        <w:t>hemorrhagic fever with renal syndrome</w:t>
      </w:r>
      <w:r>
        <w:rPr>
          <w:b/>
          <w:bCs/>
          <w:i/>
          <w:iCs/>
        </w:rPr>
        <w:t>,</w:t>
      </w:r>
      <w:r>
        <w:rPr>
          <w:b/>
          <w:bCs/>
        </w:rPr>
        <w:t xml:space="preserve"> HFRS) </w:t>
      </w:r>
      <w:r>
        <w:t>es un cuadro multifásico complejo que se caracteriza por inestabilidad vascular y grados diversos de disfunción renal. Después de la primera fase caracterizada por fiebre, congestión facial, hiperemia conjuntival, así como dolor abdominal y lumbar, surgen hipotensión, oliguria y más adelante poliuria. Son frecuentes las petequias y otras manifestaciones hemorrágicas graves. En esta situación puede surgir choque e insuficiencia renal aguda. La nefropatía epidémica, que es el síndrome clínico de HFRS en Europa, es un trastorno menos grave que se caracteriza por un cuadro similar al de la influenza, con dolor abdominal y proteinuria. También se observa disfunción renal aguda, pero pocas veces aparecen choque por hipotensión o la necesidad de diálisis.</w:t>
      </w:r>
    </w:p>
    <w:p w14:paraId="0A7AFAE5" w14:textId="77777777" w:rsidR="00093A32" w:rsidRDefault="00093A32">
      <w:pPr>
        <w:pStyle w:val="BodyText"/>
        <w:ind w:firstLine="380"/>
        <w:sectPr w:rsidR="00093A32" w:rsidSect="00093A32">
          <w:headerReference w:type="even" r:id="rId332"/>
          <w:headerReference w:type="default" r:id="rId333"/>
          <w:footerReference w:type="even" r:id="rId334"/>
          <w:footerReference w:type="default" r:id="rId335"/>
          <w:headerReference w:type="first" r:id="rId336"/>
          <w:footerReference w:type="first" r:id="rId337"/>
          <w:pgSz w:w="8501" w:h="13022"/>
          <w:pgMar w:top="705" w:right="766" w:bottom="438" w:left="812" w:header="0" w:footer="3" w:gutter="0"/>
          <w:cols w:space="720"/>
          <w:noEndnote/>
          <w:titlePg/>
          <w:docGrid w:linePitch="360"/>
          <w15:footnoteColumns w:val="1"/>
        </w:sectPr>
      </w:pPr>
      <w:r>
        <w:rPr>
          <w:b/>
          <w:bCs/>
        </w:rPr>
        <w:t xml:space="preserve">El síndrome pulmonar por virus Hanta </w:t>
      </w:r>
      <w:r>
        <w:rPr>
          <w:b/>
          <w:bCs/>
          <w:i/>
          <w:iCs/>
        </w:rPr>
        <w:t>(</w:t>
      </w:r>
      <w:r>
        <w:rPr>
          <w:rFonts w:ascii="Times New Roman" w:eastAsia="Times New Roman" w:hAnsi="Times New Roman" w:cs="Times New Roman"/>
          <w:b/>
          <w:bCs/>
          <w:i/>
          <w:iCs/>
          <w:sz w:val="16"/>
          <w:szCs w:val="16"/>
        </w:rPr>
        <w:t>Hantaviruspulmonary syndrome</w:t>
      </w:r>
      <w:r>
        <w:rPr>
          <w:b/>
          <w:bCs/>
          <w:i/>
          <w:iCs/>
        </w:rPr>
        <w:t xml:space="preserve">, </w:t>
      </w:r>
      <w:r>
        <w:rPr>
          <w:b/>
          <w:bCs/>
        </w:rPr>
        <w:t xml:space="preserve">HpS) </w:t>
      </w:r>
      <w:r>
        <w:t xml:space="preserve">es una enfermedad febril aguda que puede evolucionar a la insuficiencia </w:t>
      </w:r>
    </w:p>
    <w:p w14:paraId="2AF7D53F" w14:textId="77777777" w:rsidR="00093A32" w:rsidRDefault="00093A32">
      <w:pPr>
        <w:pStyle w:val="BodyText"/>
        <w:ind w:firstLine="0"/>
      </w:pPr>
      <w:r>
        <w:t>respiratoria aguda y al choque, y se acompaña de una cifra alta de letalidad (véase “Hanta, virus, síndrome pulmonar” en esta sección).</w:t>
      </w:r>
    </w:p>
    <w:p w14:paraId="00BC9241" w14:textId="77777777" w:rsidR="00093A32" w:rsidRDefault="00093A32">
      <w:pPr>
        <w:pStyle w:val="BodyText"/>
        <w:ind w:firstLine="360"/>
      </w:pPr>
      <w:r>
        <w:rPr>
          <w:b/>
          <w:bCs/>
        </w:rPr>
        <w:t xml:space="preserve">La fiebre hemorrágica de Crimea-Congo </w:t>
      </w:r>
      <w:r>
        <w:rPr>
          <w:b/>
          <w:bCs/>
          <w:i/>
          <w:iCs/>
        </w:rPr>
        <w:t>(</w:t>
      </w:r>
      <w:r>
        <w:rPr>
          <w:rFonts w:ascii="Times New Roman" w:eastAsia="Times New Roman" w:hAnsi="Times New Roman" w:cs="Times New Roman"/>
          <w:b/>
          <w:bCs/>
          <w:i/>
          <w:iCs/>
          <w:sz w:val="16"/>
          <w:szCs w:val="16"/>
        </w:rPr>
        <w:t xml:space="preserve">Crimean-Congo hemorrhagic fever, </w:t>
      </w:r>
      <w:r>
        <w:rPr>
          <w:b/>
          <w:bCs/>
        </w:rPr>
        <w:t xml:space="preserve">CCHF) </w:t>
      </w:r>
      <w:r>
        <w:t>es un trastorno que afecta múltiples órganos y se caracteriza por hepatitis, y a menudo, hemorragias profusas. En la primera etapa hay fiebre, cefalea y mialgias; después aparecen signos del síndrome de derrame capilar difuso con congestión facial, conjuntivitis y proteinuria. También se observan petequias y púrpura en la piel y en las mucosas. Surge a menudo una crisis de hipotensión después que aparece la hemorragia franca de vías gastrointestinales, vías nasales, boca o útero.</w:t>
      </w:r>
    </w:p>
    <w:p w14:paraId="5D437C36" w14:textId="77777777" w:rsidR="00093A32" w:rsidRDefault="00093A32">
      <w:pPr>
        <w:pStyle w:val="BodyText"/>
        <w:ind w:firstLine="360"/>
      </w:pPr>
      <w:r>
        <w:rPr>
          <w:b/>
          <w:bCs/>
        </w:rPr>
        <w:t xml:space="preserve">La fiebre del Valle de Rift </w:t>
      </w:r>
      <w:r>
        <w:rPr>
          <w:b/>
          <w:bCs/>
          <w:i/>
          <w:iCs/>
        </w:rPr>
        <w:t>(</w:t>
      </w:r>
      <w:r>
        <w:rPr>
          <w:rFonts w:ascii="Times New Roman" w:eastAsia="Times New Roman" w:hAnsi="Times New Roman" w:cs="Times New Roman"/>
          <w:b/>
          <w:bCs/>
          <w:i/>
          <w:iCs/>
          <w:sz w:val="16"/>
          <w:szCs w:val="16"/>
        </w:rPr>
        <w:t>Rift Valley fever,</w:t>
      </w:r>
      <w:r>
        <w:rPr>
          <w:b/>
          <w:bCs/>
        </w:rPr>
        <w:t xml:space="preserve"> RVF), </w:t>
      </w:r>
      <w:r>
        <w:t xml:space="preserve">en casi todos los casos, es un cuadro febril que cede por sí solo. En ocasiones aparecen fiebre hemorrágica con choque e ictericia, encefalitis o retinitis. </w:t>
      </w:r>
      <w:r>
        <w:rPr>
          <w:b/>
          <w:bCs/>
        </w:rPr>
        <w:t>C</w:t>
      </w:r>
      <w:r>
        <w:rPr>
          <w:b/>
          <w:bCs/>
          <w:sz w:val="13"/>
          <w:szCs w:val="13"/>
        </w:rPr>
        <w:t>AUSAS</w:t>
      </w:r>
      <w:r>
        <w:rPr>
          <w:b/>
          <w:bCs/>
        </w:rPr>
        <w:t xml:space="preserve">: </w:t>
      </w:r>
      <w:r>
        <w:t>Los Bunyaviridae son partículas de RNA de un solo filamento con diferente distribución geográfica, que depende de su vector. Los síndromes de fiebre hemorrágica son producidos por virus de tres géneros: virus Hanta, nairovirus (virus CCHF) y flebovirus (RVF y virus de la fiebre por flebótomos). Los virus Hanta del Viejo Mundo (Hantaan, Seoul, Dobrava y Puumula) originan HFRS, y los del Nuevo Mundo (Sin Nombre y virus similares) ocasionan HPS (véase cuadro 3-3).</w:t>
      </w:r>
    </w:p>
    <w:p w14:paraId="01011118" w14:textId="77777777" w:rsidR="00093A32" w:rsidRDefault="00093A32">
      <w:pPr>
        <w:pStyle w:val="BodyText"/>
        <w:ind w:firstLine="0"/>
      </w:pPr>
      <w:r>
        <w:rPr>
          <w:b/>
          <w:bCs/>
        </w:rPr>
        <w:t>A</w:t>
      </w:r>
      <w:r>
        <w:rPr>
          <w:b/>
          <w:bCs/>
          <w:sz w:val="13"/>
          <w:szCs w:val="13"/>
        </w:rPr>
        <w:t>SPECTOS EPIDEMIOLÓGICOS</w:t>
      </w:r>
      <w:r>
        <w:rPr>
          <w:b/>
          <w:bCs/>
        </w:rPr>
        <w:t xml:space="preserve">: </w:t>
      </w:r>
      <w:r>
        <w:t>El aspecto epidemiológico de los trastornos en cuestión depende más bien de la distribución y el comportamiento de sus reservorios y vectores. Excepto los virus Hanta, todos los géneros de virus son transmitidos por vectores artrópodos; los virus Hanta se transmiten por exposición a roedores infectados.</w:t>
      </w:r>
    </w:p>
    <w:p w14:paraId="20F96CC2" w14:textId="77777777" w:rsidR="00093A32" w:rsidRDefault="00093A32">
      <w:pPr>
        <w:pStyle w:val="BodyText"/>
        <w:ind w:firstLine="360"/>
      </w:pPr>
      <w:r>
        <w:t>La forma clásica de HFRS se observa en gran parte de Asia y las zonas oriental y occidental de Europa, y ocasiona incluso 100 000 casos de enfermedad cada año. La forma más grave de la enfermedad es causada por el virus prototípico de Hantaan y Dobrava en las zonas rurales de Asia y Europa, respectivamente; el virus Puumula ocasiona un cuadro menos grave (nefropatía epidémica) en Europa; el virus Seoul está distribuido a nivel mundial, y su transmisión se vincula con especies de Rattus y suele ocasionar una enfermedad de poblaciones urbanas, de intensidad variable. En el caso de HFRS nunca se ha notificado transmisión directa, es decir, de persona a persona.</w:t>
      </w:r>
    </w:p>
    <w:p w14:paraId="1BCE1A4F" w14:textId="77777777" w:rsidR="00093A32" w:rsidRDefault="00093A32">
      <w:pPr>
        <w:pStyle w:val="BodyText"/>
        <w:ind w:firstLine="360"/>
      </w:pPr>
      <w:r>
        <w:t>La fiebre hemorrágica de Crimea-Congo aparece en gran parte de países subsaharianos de África, en el Cercano Este, en zonas del occidente y centro de Asia y en la porción oriental de Europa. El virus CCHF es transmitido por garrapatas y, a veces, en la matanza de animales domésticos. La transmisión nosocomial de CCHF constituye un serio peligro.</w:t>
      </w:r>
    </w:p>
    <w:p w14:paraId="4CD400C8" w14:textId="77777777" w:rsidR="00093A32" w:rsidRDefault="00093A32">
      <w:pPr>
        <w:pStyle w:val="BodyText"/>
        <w:ind w:firstLine="360"/>
      </w:pPr>
      <w:r>
        <w:t>La fiebre del Valle de Rift se ha detectado en todos los países subsaharianos y ha originado epidemias en Egipto en 1977 y 1993 a 1995, y en Arabia Saudita en 2000. Se trata de un virus transmitido por artrópodos y que llega a los seres humanos por picaduras de mosquitos infectados con sangre de animales domésticos. También puede ser transmitido por aerosol y por contacto directo con animales infectados recién abiertos en canal. No se ha notificado transmisión directa es decir, de persona a persona.</w:t>
      </w:r>
    </w:p>
    <w:p w14:paraId="7C2EE410" w14:textId="77777777" w:rsidR="00093A32" w:rsidRDefault="00093A32">
      <w:pPr>
        <w:pStyle w:val="BodyText"/>
        <w:ind w:firstLine="360"/>
      </w:pPr>
      <w:r>
        <w:t xml:space="preserve">Los </w:t>
      </w:r>
      <w:r>
        <w:rPr>
          <w:b/>
          <w:bCs/>
        </w:rPr>
        <w:t xml:space="preserve">periodos de incubación </w:t>
      </w:r>
      <w:r>
        <w:t xml:space="preserve">de CCHF y RVF varían de dos a 10 días; en el caso de HFRS, dichos periodos son más largos y van de siete a 42 días. </w:t>
      </w:r>
      <w:r>
        <w:rPr>
          <w:b/>
          <w:bCs/>
        </w:rPr>
        <w:t>M</w:t>
      </w:r>
      <w:r>
        <w:rPr>
          <w:b/>
          <w:bCs/>
          <w:sz w:val="13"/>
          <w:szCs w:val="13"/>
        </w:rPr>
        <w:t>ÉTODOS DIAGNÓSTICOS</w:t>
      </w:r>
      <w:r>
        <w:rPr>
          <w:b/>
          <w:bCs/>
        </w:rPr>
        <w:t xml:space="preserve">: </w:t>
      </w:r>
      <w:r>
        <w:t>Es posible cultivar fácilmente de muestras de sangre y tejido de personas infectadas, los virus CCHF y RVF, pero no los Hanta. Otra posibilidad valiosa para diagnosticar la presencia de los dos virus mencionados es la detección de su antígeno, pero tal técnica no ha sido fructífera en el caso de HFRS. En las etapas iniciales de la convalecencia de la infección por CCHF y RVF, surgen de manera típica anticuerpos específicos de virus, de tipo inmunoglobulinas séricas (Ig) M e IgG. En el caso de HFRS, los anticuerpos IgM e IgG generalmente son detectables desde el comienzo de la enfermedad o en término de 48 h. Constituyen un hallazgo diagnóstico los niveles de anticuerpos de inmunoglobulina M o los títulos cada vez mayores de IgG en pares de muestras de suero, tal como lo señalan las técnicas de inmunoanálisis enzimático; los estudios que detectan anticuerpos neutralizantes aportan datos más específicos de las cepas víricas. También se usan para el diagnóstico serológico métodos de anticuerpos inmunofluorescentes y de fijación de complemento. La reacción en cadena de polimerasa puede ser un complemento útil de los estudios de diagnóstico serológico.</w:t>
      </w:r>
    </w:p>
    <w:p w14:paraId="2DF03572" w14:textId="77777777" w:rsidR="00093A32" w:rsidRDefault="00093A32">
      <w:pPr>
        <w:pStyle w:val="BodyText"/>
        <w:ind w:firstLine="0"/>
      </w:pPr>
      <w:r>
        <w:rPr>
          <w:b/>
          <w:bCs/>
        </w:rPr>
        <w:t>T</w:t>
      </w:r>
      <w:r>
        <w:rPr>
          <w:b/>
          <w:bCs/>
          <w:sz w:val="13"/>
          <w:szCs w:val="13"/>
        </w:rPr>
        <w:t>RATAMIENTO</w:t>
      </w:r>
      <w:r>
        <w:rPr>
          <w:b/>
          <w:bCs/>
        </w:rPr>
        <w:t xml:space="preserve">: </w:t>
      </w:r>
      <w:r>
        <w:t>La aplicación intravenosa de ribavirina a personas con HFRS en los primeros cuatro días de la enfermedad al parecer disminuye los casos de disfunción renal, inestabilidad vascular y muerte. Las medidas de sostén en la infección por dicho virus deben incluir: 1) evitar el transporte de pacientes; 2) dar tratamiento del choque; 3) evitar la hidratación excesiva (en particular con soluciones de cristaloides); 4) realizar diálisis contra las complicaciones de la insuficiencia renal; 5) controlar la hipertensión durante la fase oligúrica y 6) identificar oportunamente la posible insuficiencia del miocardio con el tratamiento apropiado.</w:t>
      </w:r>
    </w:p>
    <w:p w14:paraId="733F2529" w14:textId="77777777" w:rsidR="00093A32" w:rsidRDefault="00093A32">
      <w:pPr>
        <w:pStyle w:val="BodyText"/>
        <w:ind w:firstLine="360"/>
      </w:pPr>
      <w:r>
        <w:t>La ribavirina administrada a personas con infección por CCHF ha originado respuestas clínicas, aunque no se han hecho estudios comparativos con ella. Los datos obtenidos de animales de experimentación también sugieren el posible beneficio de tal antivírico en el tratamiento de RVF hemorrágica.</w:t>
      </w:r>
    </w:p>
    <w:p w14:paraId="5881926D" w14:textId="77777777" w:rsidR="00093A32" w:rsidRDefault="00093A32">
      <w:pPr>
        <w:pStyle w:val="BodyText"/>
        <w:spacing w:after="22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durante toda la enfermedad de sujetos con CCHF están indicadas precauciones para evitar la transmisión por contacto y por gotículas, que incluyen la prevención cuidadosa de pinchazos de aguja y la manipulación de las muestras clínicas. Las precauciones de tipo respiratorio se necesitan en algunas circunstancias. No se ha demostrado que sean contagiosas la fiebre del Valle de Rift y HFRS, pero es importante cumplir con las precauciones estándar.</w:t>
      </w:r>
    </w:p>
    <w:p w14:paraId="7DDB353D"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de prevención</w:t>
      </w:r>
      <w:r>
        <w:rPr>
          <w:b/>
          <w:bCs/>
          <w:smallCaps/>
          <w:sz w:val="20"/>
          <w:szCs w:val="20"/>
        </w:rPr>
        <w:t>:</w:t>
      </w:r>
    </w:p>
    <w:p w14:paraId="5D96569A" w14:textId="77777777" w:rsidR="00093A32" w:rsidRDefault="00093A32">
      <w:pPr>
        <w:pStyle w:val="BodyText"/>
        <w:spacing w:line="276" w:lineRule="auto"/>
        <w:ind w:firstLine="0"/>
      </w:pPr>
      <w:r>
        <w:rPr>
          <w:rFonts w:ascii="Arial" w:eastAsia="Arial" w:hAnsi="Arial" w:cs="Arial"/>
          <w:b/>
          <w:bCs/>
          <w:i/>
          <w:iCs/>
          <w:sz w:val="15"/>
          <w:szCs w:val="15"/>
        </w:rPr>
        <w:t>Cuidado de personas expuestas.</w:t>
      </w:r>
      <w:r>
        <w:t xml:space="preserve"> Es importante observar de cerca durante 14 días, con medición diaria en busca de fiebre, a las personas que han tenido contacto directo con sangre u otras secreciones de sujetos con CCHF. Cuando aparece el primer signo de enfermedad, hay que emprender inmediatamente la administración intravenosa de ribavirina.</w:t>
      </w:r>
    </w:p>
    <w:p w14:paraId="6B852C15" w14:textId="77777777" w:rsidR="00093A32" w:rsidRDefault="00093A32">
      <w:pPr>
        <w:pStyle w:val="BodyText"/>
        <w:spacing w:line="288" w:lineRule="auto"/>
        <w:ind w:firstLine="360"/>
      </w:pPr>
      <w:r>
        <w:rPr>
          <w:rFonts w:ascii="Arial" w:eastAsia="Arial" w:hAnsi="Arial" w:cs="Arial"/>
          <w:b/>
          <w:bCs/>
          <w:i/>
          <w:iCs/>
          <w:sz w:val="15"/>
          <w:szCs w:val="15"/>
        </w:rPr>
        <w:t>Inmunoprofilaxia del entorno.</w:t>
      </w:r>
      <w:r>
        <w:t xml:space="preserve"> La vigilancia de las colonias de ratas de laboratorio y las campañas para combatir roedores en zonas urbanas pudieran ser eficaces en caso de HFRS transmitido por ratas.</w:t>
      </w:r>
    </w:p>
    <w:p w14:paraId="6EF90F2C" w14:textId="77777777" w:rsidR="00093A32" w:rsidRDefault="00093A32">
      <w:pPr>
        <w:pStyle w:val="BodyText"/>
        <w:spacing w:line="264" w:lineRule="auto"/>
        <w:ind w:firstLine="360"/>
      </w:pPr>
      <w:r>
        <w:rPr>
          <w:rFonts w:ascii="Arial" w:eastAsia="Arial" w:hAnsi="Arial" w:cs="Arial"/>
          <w:b/>
          <w:bCs/>
          <w:w w:val="70"/>
          <w:sz w:val="20"/>
          <w:szCs w:val="20"/>
        </w:rPr>
        <w:t xml:space="preserve">CCHF. </w:t>
      </w:r>
      <w:r>
        <w:t>Los aracnicidas para desterrar artrópodos tienen escasa utilidad, pero deben emplearse en algunos corrales transitorios para ganado. Pueden ser eficaces algunas medidas de protección personal (como la eliminación física de garrapatas y usar ropas protectoras rociadas con permetrín).</w:t>
      </w:r>
    </w:p>
    <w:p w14:paraId="63C7FA67" w14:textId="77777777" w:rsidR="00093A32" w:rsidRDefault="00093A32">
      <w:pPr>
        <w:pStyle w:val="BodyText"/>
        <w:spacing w:line="288" w:lineRule="auto"/>
        <w:ind w:firstLine="360"/>
      </w:pPr>
      <w:r>
        <w:rPr>
          <w:rFonts w:ascii="Arial" w:eastAsia="Arial" w:hAnsi="Arial" w:cs="Arial"/>
          <w:b/>
          <w:bCs/>
          <w:i/>
          <w:iCs/>
          <w:sz w:val="15"/>
          <w:szCs w:val="15"/>
        </w:rPr>
        <w:t>RVF</w:t>
      </w:r>
      <w:r>
        <w:t xml:space="preserve"> La vacunación de animales domésticos es importante para circunscribir o evitar brotes de RVF y proteger a los seres humanos. Las medidas de erradicación de mosquitos por lo común son ineficaces.</w:t>
      </w:r>
    </w:p>
    <w:p w14:paraId="09DE1F28" w14:textId="77777777" w:rsidR="00093A32" w:rsidRDefault="00093A32">
      <w:pPr>
        <w:pStyle w:val="BodyText"/>
        <w:spacing w:after="100" w:line="259" w:lineRule="auto"/>
        <w:ind w:firstLine="360"/>
        <w:sectPr w:rsidR="00093A32" w:rsidSect="00093A32">
          <w:headerReference w:type="even" r:id="rId338"/>
          <w:headerReference w:type="default" r:id="rId339"/>
          <w:footerReference w:type="even" r:id="rId340"/>
          <w:footerReference w:type="default" r:id="rId341"/>
          <w:headerReference w:type="first" r:id="rId342"/>
          <w:footerReference w:type="first" r:id="rId343"/>
          <w:pgSz w:w="8501" w:h="13022"/>
          <w:pgMar w:top="705" w:right="766" w:bottom="438" w:left="812" w:header="0" w:footer="3" w:gutter="0"/>
          <w:cols w:space="720"/>
          <w:noEndnote/>
          <w:titlePg/>
          <w:docGrid w:linePitch="360"/>
          <w15:footnoteColumns w:val="1"/>
        </w:sectPr>
      </w:pPr>
      <w:r>
        <w:rPr>
          <w:rFonts w:ascii="Arial" w:eastAsia="Arial" w:hAnsi="Arial" w:cs="Arial"/>
          <w:b/>
          <w:bCs/>
          <w:w w:val="70"/>
          <w:sz w:val="20"/>
          <w:szCs w:val="20"/>
        </w:rPr>
        <w:t xml:space="preserve">Notificación a autoridades sanitarias. </w:t>
      </w:r>
      <w:r>
        <w:t xml:space="preserve">Ante el peligro de transmisión nosocomial de CCHF y la confusión diagnóstica con otras fiebres víricas hemorrágicas, es importante </w:t>
      </w:r>
    </w:p>
    <w:p w14:paraId="295DFDED" w14:textId="77777777" w:rsidR="00093A32" w:rsidRDefault="00093A32">
      <w:pPr>
        <w:pStyle w:val="BodyText"/>
        <w:spacing w:after="100" w:line="259" w:lineRule="auto"/>
        <w:ind w:firstLine="0"/>
      </w:pPr>
      <w:r>
        <w:t xml:space="preserve">estar en contacto con el departamento sanitario estatal y los </w:t>
      </w:r>
      <w:r>
        <w:rPr>
          <w:rFonts w:ascii="Times New Roman" w:eastAsia="Times New Roman" w:hAnsi="Times New Roman" w:cs="Times New Roman"/>
          <w:i/>
          <w:iCs/>
          <w:sz w:val="16"/>
          <w:szCs w:val="16"/>
        </w:rPr>
        <w:t>Centers for Disease Control and Prevention</w:t>
      </w:r>
      <w:r>
        <w:t xml:space="preserve"> ante cualquier caso de sospecha diagnòstica de fiebre hemorrágica vírica, así como para elaborar el plan asistencial del paciente.</w:t>
      </w:r>
    </w:p>
    <w:p w14:paraId="15E33003" w14:textId="77777777" w:rsidR="00093A32" w:rsidRDefault="00093A32">
      <w:pPr>
        <w:pStyle w:val="Bodytext70"/>
        <w:spacing w:after="0"/>
      </w:pPr>
      <w:r>
        <w:t>Hepatitis A</w:t>
      </w:r>
    </w:p>
    <w:p w14:paraId="47B59E6F"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De manera característica, la infección por el virus de hepatitis A </w:t>
      </w:r>
      <w:r>
        <w:rPr>
          <w:i/>
          <w:iCs/>
        </w:rPr>
        <w:t>(</w:t>
      </w:r>
      <w:r>
        <w:rPr>
          <w:rFonts w:ascii="Times New Roman" w:eastAsia="Times New Roman" w:hAnsi="Times New Roman" w:cs="Times New Roman"/>
          <w:i/>
          <w:iCs/>
          <w:sz w:val="16"/>
          <w:szCs w:val="16"/>
        </w:rPr>
        <w:t>hepatitis A virus,</w:t>
      </w:r>
      <w:r>
        <w:t xml:space="preserve"> HAV) incluye un cuadro agudo que cede por sí solo, compuesto de fiebre, malestar generalizado, ictericia, anorexia y náuseas. La infección sintomática por dicho virus se observa en cerca de 30% de niños infectados que tienen menos de seis años de vida; pocos de ellos mostrarán ictericia. En niños de mayor edad y adultos, la infección casi siempre es sintomática y se prolonga algunas semanas; en 70% de los casos, en promedio, aparece ictericia. Se observan a veces casos de enfermedad prolongada o recidivante que puede durar incluso seis meses. La hepatitis fulminante es rara, pero es más frecuente en sujetos con alguna hepatopatía primaria. No se observa infección crónica.</w:t>
      </w:r>
    </w:p>
    <w:p w14:paraId="1D8BDCC5" w14:textId="77777777" w:rsidR="00093A32" w:rsidRDefault="00093A32">
      <w:pPr>
        <w:pStyle w:val="BodyText"/>
        <w:ind w:firstLine="0"/>
      </w:pPr>
      <w:r>
        <w:rPr>
          <w:b/>
          <w:bCs/>
        </w:rPr>
        <w:t>C</w:t>
      </w:r>
      <w:r>
        <w:rPr>
          <w:b/>
          <w:bCs/>
          <w:sz w:val="13"/>
          <w:szCs w:val="13"/>
        </w:rPr>
        <w:t>AUSAS</w:t>
      </w:r>
      <w:r>
        <w:rPr>
          <w:b/>
          <w:bCs/>
        </w:rPr>
        <w:t xml:space="preserve">: </w:t>
      </w:r>
      <w:r>
        <w:t>La partícula infectante es un virus de RNA clasificado como miembro del grupo picornavirus.</w:t>
      </w:r>
    </w:p>
    <w:p w14:paraId="19A1403E"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El mecanismo común de transmisión es el de persona a persona, que es consecuencia de la contaminación fecal y la ingestión del patógeno (la vía fecal-oral). La edad en que se produce la infección varía con el estado socioeconómico y las condiciones de vida. En países en desarrollo donde la infección es endémica, casi todos los individuos se infectan en el primer decenio de su vida. En Estados Unidos la hepatitis A es una de las enfermedades evitables con vacuna notificadas con mayor frecuencia; en 2001, se notificaron a los </w:t>
      </w:r>
      <w:r>
        <w:rPr>
          <w:rFonts w:ascii="Times New Roman" w:eastAsia="Times New Roman" w:hAnsi="Times New Roman" w:cs="Times New Roman"/>
          <w:i/>
          <w:iCs/>
          <w:sz w:val="16"/>
          <w:szCs w:val="16"/>
        </w:rPr>
        <w:t>Centers for Disease Control and Prevention</w:t>
      </w:r>
      <w:r>
        <w:t xml:space="preserve"> (CDC) unos 10 600 casos clínicos. La cifra más alta de ataque se observó en niños de cinco a 14 años, y las más bajas, en adultos mayores de 40 años. En los últimos decenios, los casos notificados de infección por hepatitis A han seguido una distribución geográfica desigual, es decir, las cifras más altas se han observado en un número preciso de estados y comunidades. Los índices anuales en las zonas en cuestión pueden fluctuar, pero persisten siempre por arriba del promedio nacional estadounidense. Se necesita vigilancia ininterrumpida para saber si tal disminución es sostenida y si puede atribuirse a la vacunación sistemática de niños en zonas cuyos índices siempre son altos (véase después en este resumen “Recomendaciones para inmunoprofilaxia”).</w:t>
      </w:r>
    </w:p>
    <w:p w14:paraId="5A2A59B9" w14:textId="77777777" w:rsidR="00093A32" w:rsidRDefault="00093A32">
      <w:pPr>
        <w:pStyle w:val="BodyText"/>
        <w:ind w:firstLine="360"/>
      </w:pPr>
      <w:r>
        <w:t>Entre los casos de infección de hepatitis A notificados a los CDC, las fuentes de infección identificadas incluyen contacto personal muy cercano con una persona infectada con el virus de hepatitis A, contactos domésticos o personales en un centro de atención pediátrica, viajes internacionales, un brote en que se sabe que el germen fue transmitido por alimentos o agua, actividad homosexual en varones y el uso de drogas inyectables. Rara vez la partícula se transmite por transfusión de sangre, o de la madre a su recién nacido (es decir, transmisión vertical). En contadas ocasiones la infección ha provenido de primates no humanos y que no nacieron en cautiverio. En cerca de la mitad de los casos notificados es imposible detectar su origen. Es probable que muchos de estos casos de origen desconocido hayan provenido del contagio fecal-oral con personas que tenían infecciones asintomáticas y en particular niños de corta edad.</w:t>
      </w:r>
    </w:p>
    <w:p w14:paraId="25C0E7D3" w14:textId="77777777" w:rsidR="00093A32" w:rsidRDefault="00093A32">
      <w:pPr>
        <w:pStyle w:val="BodyText"/>
        <w:spacing w:after="100"/>
        <w:ind w:firstLine="360"/>
      </w:pPr>
      <w:r>
        <w:t xml:space="preserve">Casi todos los casos de infección y enfermedad por HAV surgen en el contexto de epidemias comunitarias, en que la infección predominantemente se transmite en núcleos caseros y familias “extendidas”. Se sabe de brotes de origen común transmitidos estar en contacto con el departamento sanitario estatal y los </w:t>
      </w:r>
      <w:r>
        <w:rPr>
          <w:rFonts w:ascii="Times New Roman" w:eastAsia="Times New Roman" w:hAnsi="Times New Roman" w:cs="Times New Roman"/>
          <w:i/>
          <w:iCs/>
          <w:sz w:val="16"/>
          <w:szCs w:val="16"/>
        </w:rPr>
        <w:t>Centers for Disease Control and Prevention</w:t>
      </w:r>
      <w:r>
        <w:t xml:space="preserve"> ante cualquier caso de sospecha diagnòstica de fiebre hemorrágica vírica, así como para elaborar el plan asistencial del paciente.</w:t>
      </w:r>
    </w:p>
    <w:p w14:paraId="748A466B" w14:textId="77777777" w:rsidR="00093A32" w:rsidRDefault="00093A32">
      <w:pPr>
        <w:pStyle w:val="Bodytext70"/>
        <w:spacing w:after="0"/>
      </w:pPr>
      <w:r>
        <w:t>Hepatitis A</w:t>
      </w:r>
    </w:p>
    <w:p w14:paraId="77BC5C9F"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De manera característica, la infección por el virus de hepatitis A </w:t>
      </w:r>
      <w:r>
        <w:rPr>
          <w:i/>
          <w:iCs/>
        </w:rPr>
        <w:t>(</w:t>
      </w:r>
      <w:r>
        <w:rPr>
          <w:rFonts w:ascii="Times New Roman" w:eastAsia="Times New Roman" w:hAnsi="Times New Roman" w:cs="Times New Roman"/>
          <w:i/>
          <w:iCs/>
          <w:sz w:val="16"/>
          <w:szCs w:val="16"/>
        </w:rPr>
        <w:t>hepatitis A virus,</w:t>
      </w:r>
      <w:r>
        <w:t xml:space="preserve"> HAV) incluye un cuadro agudo que cede por sí solo, compuesto de fiebre, malestar generalizado, ictericia, anorexia y náuseas. La infección sintomática por dicho virus se observa en cerca de 30% de niños infectados que tienen menos de seis años de vida; pocos de ellos mostrarán ictericia. En niños de mayor edad y adultos, la infección casi siempre es sintomática y se prolonga algunas semanas; en 70% de los casos, en promedio, aparece ictericia. Se observan a veces casos de enfermedad prolongada o recidivante que puede durar incluso seis meses. La hepatitis fulminante es rara, pero es más frecuente en sujetos con alguna hepatopatía primaria. No se observa infección crónica.</w:t>
      </w:r>
    </w:p>
    <w:p w14:paraId="103A3361" w14:textId="77777777" w:rsidR="00093A32" w:rsidRDefault="00093A32">
      <w:pPr>
        <w:pStyle w:val="BodyText"/>
        <w:ind w:firstLine="0"/>
      </w:pPr>
      <w:r>
        <w:rPr>
          <w:b/>
          <w:bCs/>
        </w:rPr>
        <w:t>C</w:t>
      </w:r>
      <w:r>
        <w:rPr>
          <w:b/>
          <w:bCs/>
          <w:sz w:val="13"/>
          <w:szCs w:val="13"/>
        </w:rPr>
        <w:t>AUSAS</w:t>
      </w:r>
      <w:r>
        <w:rPr>
          <w:b/>
          <w:bCs/>
        </w:rPr>
        <w:t xml:space="preserve">: </w:t>
      </w:r>
      <w:r>
        <w:t>La partícula infectante es un virus de RNA clasificado como miembro del grupo picornavirus.</w:t>
      </w:r>
    </w:p>
    <w:p w14:paraId="23D1CE35"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El mecanismo común de transmisión es el de persona a persona, que es consecuencia de la contaminación fecal y la ingestión del patógeno (la vía fecal-oral). La edad en que se produce la infección varía con el estado socioeconómico y las condiciones de vida. En países en desarrollo donde la infección es endémica, casi todos los individuos se infectan en el primer decenio de su vida. En Estados Unidos la hepatitis A es una de las enfermedades evitables con vacuna notificadas con mayor frecuencia; en 2001, se notificaron a los </w:t>
      </w:r>
      <w:r>
        <w:rPr>
          <w:rFonts w:ascii="Times New Roman" w:eastAsia="Times New Roman" w:hAnsi="Times New Roman" w:cs="Times New Roman"/>
          <w:i/>
          <w:iCs/>
          <w:sz w:val="16"/>
          <w:szCs w:val="16"/>
        </w:rPr>
        <w:t>Centers for Disease Control and Prevention</w:t>
      </w:r>
      <w:r>
        <w:t xml:space="preserve"> (CDC) unos 10 600 casos clínicos. La cifra más alta de ataque se observó en niños de cinco a 14 años, y las más bajas, en adultos mayores de 40 años. En los últimos decenios, los casos notificados de infección por hepatitis A han seguido una distribución geográfica desigual, es decir, las cifras más altas se han observado en un número preciso de estados y comunidades. Los índices anuales en las zonas en cuestión pueden fluctuar, pero persisten siempre por arriba del promedio nacional estadounidense. Se necesita vigilancia ininterrumpida para saber si tal disminución es sostenida y si puede atribuirse a la vacunación sistemática de niños en zonas cuyos índices siempre son altos (véase después en este resumen “Recomendaciones para inmunoprofilaxia”).</w:t>
      </w:r>
    </w:p>
    <w:p w14:paraId="42E0830C" w14:textId="77777777" w:rsidR="00093A32" w:rsidRDefault="00093A32">
      <w:pPr>
        <w:pStyle w:val="BodyText"/>
        <w:ind w:firstLine="360"/>
      </w:pPr>
      <w:r>
        <w:t>Entre los casos de infección de hepatitis A notificados a los CDC, las fuentes de infección identificadas incluyen contacto personal muy cercano con una persona infectada con el virus de hepatitis A, contactos domésticos o personales en un centro de atención pediátrica, viajes internacionales, un brote en que se sabe que el germen fue transmitido por alimentos o agua, actividad homosexual en varones y el uso de drogas inyectables. Rara vez la partícula se transmite por transfusión de sangre, o de la madre a su recién nacido (es decir, transmisión vertical). En contadas ocasiones la infección ha provenido de primates no humanos y que no nacieron en cautiverio. En cerca de la mitad de los casos notificados es imposible detectar su origen. Es probable que muchos de estos casos de origen desconocido hayan provenido del contagio fecal-oral con personas que tenían infecciones asintomáticas y en particular niños de corta edad.</w:t>
      </w:r>
    </w:p>
    <w:p w14:paraId="3A103B40" w14:textId="77777777" w:rsidR="00093A32" w:rsidRDefault="00093A32">
      <w:pPr>
        <w:pStyle w:val="BodyText"/>
        <w:ind w:firstLine="360"/>
        <w:sectPr w:rsidR="00093A32" w:rsidSect="00093A32">
          <w:headerReference w:type="even" r:id="rId344"/>
          <w:headerReference w:type="default" r:id="rId345"/>
          <w:footerReference w:type="even" r:id="rId346"/>
          <w:footerReference w:type="default" r:id="rId347"/>
          <w:type w:val="continuous"/>
          <w:pgSz w:w="8501" w:h="13022"/>
          <w:pgMar w:top="705" w:right="766" w:bottom="438" w:left="812" w:header="0" w:footer="10" w:gutter="0"/>
          <w:cols w:space="720"/>
          <w:noEndnote/>
          <w:docGrid w:linePitch="360"/>
          <w15:footnoteColumns w:val="1"/>
        </w:sectPr>
      </w:pPr>
      <w:r>
        <w:t xml:space="preserve">Casi todos los casos de infección y enfermedad por HAV surgen en el contexto de epidemias comunitarias, en que la infección predominantemente se transmite en núcleos caseros y familias “extendidas”. Se sabe de brotes de origen común transmitidos </w:t>
      </w:r>
    </w:p>
    <w:p w14:paraId="1BBDE290" w14:textId="77777777" w:rsidR="00093A32" w:rsidRDefault="00093A32">
      <w:pPr>
        <w:pStyle w:val="BodyText"/>
        <w:ind w:firstLine="0"/>
      </w:pPr>
      <w:r>
        <w:t>por alimentos; los transmitidos por agua son raros. Pocas veces hay transmisión nosocomial, pero se han señalado casos de brotes surgidos por transmisión de pacientes hospitalizados a profesionales asistenciales. Además, se ha sabido de brotes en unidades de cuidado intensivo de neonatos, de recién nacidos infectados por sangre transfundida y que más adelante transmitieron el virus a otros neonatos y al personal de la unidad.</w:t>
      </w:r>
    </w:p>
    <w:p w14:paraId="5EA97FC2" w14:textId="77777777" w:rsidR="00093A32" w:rsidRDefault="00093A32">
      <w:pPr>
        <w:pStyle w:val="BodyText"/>
        <w:ind w:firstLine="360"/>
      </w:pPr>
      <w:r>
        <w:t>En centros de atención pediátrica, la enfermedad sintomática reconocida (ictérica) aparece más bien en los contactos adultos de niños. Casi todos los niños infectados en centros pediátricos son asintomáticos o tienen manifestaciones inespecíficas. Por tal razón, antes de que se identifique el primer caso (caso índice) suele propagarse la infección por el virus dentro y fuera del centro mencionado. Los brotes ocurren más a menudo en grandes centros de ese tipo y los que atienden niños en pañales.</w:t>
      </w:r>
    </w:p>
    <w:p w14:paraId="27972053" w14:textId="77777777" w:rsidR="00093A32" w:rsidRDefault="00093A32">
      <w:pPr>
        <w:pStyle w:val="BodyText"/>
        <w:ind w:firstLine="360"/>
      </w:pPr>
      <w:r>
        <w:t>En la mayoría de personas infectadas, en la primera a segunda semanas antes de que comience el cuadro clínico, se advierten los máximos títulos de HAV en las heces, fase en que los pacientes tienen más probabilidades de transmitir el virus. Más adelante disminuye el peligro de transmisión y llega a su mínimo una semana después de que comenzó la ictericia. Sin embargo, es posible detectar el virus en los excrementos por lapsos más largos, especialmente en neonatos y niños de corta edad.</w:t>
      </w:r>
    </w:p>
    <w:p w14:paraId="6BBFEABD" w14:textId="77777777" w:rsidR="00093A32" w:rsidRDefault="00093A32">
      <w:pPr>
        <w:pStyle w:val="BodyText"/>
        <w:ind w:firstLine="360"/>
      </w:pPr>
      <w:r>
        <w:t xml:space="preserve">El </w:t>
      </w:r>
      <w:r>
        <w:rPr>
          <w:b/>
          <w:bCs/>
        </w:rPr>
        <w:t xml:space="preserve">periodo de incubación </w:t>
      </w:r>
      <w:r>
        <w:t xml:space="preserve">es de 15 a 50 días, con un promedio de 25 a 30 días. </w:t>
      </w:r>
      <w:r>
        <w:rPr>
          <w:b/>
          <w:bCs/>
        </w:rPr>
        <w:t>M</w:t>
      </w:r>
      <w:r>
        <w:rPr>
          <w:b/>
          <w:bCs/>
          <w:sz w:val="13"/>
          <w:szCs w:val="13"/>
        </w:rPr>
        <w:t>ÉTODOS DIAGNÓSTICOS</w:t>
      </w:r>
      <w:r>
        <w:rPr>
          <w:b/>
          <w:bCs/>
        </w:rPr>
        <w:t xml:space="preserve">: </w:t>
      </w:r>
      <w:r>
        <w:t>En el comercio se cuenta con pruebas serológicas para detectar anticuerpos de inmunoglobulina IgM totales específicos contra HAV. La IgM sérica aparece desde el comienzo de la enfermedad y desaparece en término de cuatro meses, pero puede persistir seis meses o más. La presencia de IgM en suero denota infección actual o reciente, aunque pueden surgir resultados positivos falsos. Se puede detectar IgG contra HAV poco después de que aparezca IgM. La presencia del anticuerpo contra HAV sin que surja IgM como anticuerpo contra HAV denota infección pasada e inmunidad.</w:t>
      </w:r>
    </w:p>
    <w:p w14:paraId="3C9D45A7" w14:textId="77777777" w:rsidR="00093A32" w:rsidRDefault="00093A32">
      <w:pPr>
        <w:pStyle w:val="BodyText"/>
        <w:ind w:firstLine="0"/>
      </w:pPr>
      <w:r>
        <w:rPr>
          <w:b/>
          <w:bCs/>
        </w:rPr>
        <w:t>T</w:t>
      </w:r>
      <w:r>
        <w:rPr>
          <w:b/>
          <w:bCs/>
          <w:sz w:val="13"/>
          <w:szCs w:val="13"/>
        </w:rPr>
        <w:t>RATAMIENTO</w:t>
      </w:r>
      <w:r>
        <w:rPr>
          <w:b/>
          <w:bCs/>
        </w:rPr>
        <w:t xml:space="preserve">: </w:t>
      </w:r>
      <w:r>
        <w:t>Medidas de sostén.</w:t>
      </w:r>
    </w:p>
    <w:p w14:paraId="7885EE35" w14:textId="77777777" w:rsidR="00093A32" w:rsidRDefault="00093A32">
      <w:pPr>
        <w:pStyle w:val="BodyText"/>
        <w:spacing w:after="220"/>
        <w:ind w:firstLine="0"/>
      </w:pPr>
      <w:r>
        <w:rPr>
          <w:b/>
          <w:bCs/>
        </w:rPr>
        <w:t>A</w:t>
      </w:r>
      <w:r>
        <w:rPr>
          <w:b/>
          <w:bCs/>
          <w:sz w:val="13"/>
          <w:szCs w:val="13"/>
        </w:rPr>
        <w:t>ISLAMIENTO DEL PACIENTE HOSPITALIZADO</w:t>
      </w:r>
      <w:r>
        <w:rPr>
          <w:b/>
          <w:bCs/>
        </w:rPr>
        <w:t xml:space="preserve">: </w:t>
      </w:r>
      <w:r>
        <w:t>Además de las precauciones estándar se recomienda seguir precauciones para evitar la transmisión por contacto en niños en pañales e incontinentes durante una semana después de haber comenzado los síntomas.</w:t>
      </w:r>
    </w:p>
    <w:p w14:paraId="45105F97"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de prevención</w:t>
      </w:r>
      <w:r>
        <w:rPr>
          <w:b/>
          <w:bCs/>
          <w:smallCaps/>
          <w:sz w:val="20"/>
          <w:szCs w:val="20"/>
        </w:rPr>
        <w:t>:</w:t>
      </w:r>
    </w:p>
    <w:p w14:paraId="202FF2E8" w14:textId="77777777" w:rsidR="00093A32" w:rsidRDefault="00093A32">
      <w:pPr>
        <w:pStyle w:val="BodyText"/>
        <w:spacing w:line="276" w:lineRule="auto"/>
        <w:ind w:firstLine="0"/>
      </w:pPr>
      <w:r>
        <w:rPr>
          <w:rFonts w:ascii="Arial" w:eastAsia="Arial" w:hAnsi="Arial" w:cs="Arial"/>
          <w:b/>
          <w:bCs/>
          <w:i/>
          <w:iCs/>
          <w:sz w:val="15"/>
          <w:szCs w:val="15"/>
        </w:rPr>
        <w:t>Medidas generales.</w:t>
      </w:r>
      <w:r>
        <w:t xml:space="preserve"> Los mejores métodos para evitar infecciones por HAV son la mejoría en la sanidad (p. ej., en los abastos de agua y en la preparación de alimentos) y en la higiene personal (p. ej., lavarse perfectamente las manos después de cambiar pañales en centros pediátricos), vacunación contra hepatitis A y aplicación del concentrado inmunoglobulínico (IG).</w:t>
      </w:r>
    </w:p>
    <w:p w14:paraId="6A8679F5" w14:textId="77777777" w:rsidR="00093A32" w:rsidRDefault="00093A32">
      <w:pPr>
        <w:pStyle w:val="BodyText"/>
        <w:spacing w:line="283" w:lineRule="auto"/>
        <w:ind w:firstLine="360"/>
      </w:pPr>
      <w:r>
        <w:rPr>
          <w:rFonts w:ascii="Arial" w:eastAsia="Arial" w:hAnsi="Arial" w:cs="Arial"/>
          <w:b/>
          <w:bCs/>
          <w:i/>
          <w:iCs/>
          <w:sz w:val="15"/>
          <w:szCs w:val="15"/>
        </w:rPr>
        <w:t>Escuelas, centros pediátricos y labores.</w:t>
      </w:r>
      <w:r>
        <w:t xml:space="preserve"> Es importante aislar temporalmente durante una semana de haber comenzado la enfermedad, a los niños y a adultos con infección aguda por HAV que trabajan en el manejo de alimentos o que atienden o trabajan en centros de atención pediátrica.</w:t>
      </w:r>
    </w:p>
    <w:p w14:paraId="44019760" w14:textId="77777777" w:rsidR="00093A32" w:rsidRDefault="00093A32">
      <w:pPr>
        <w:pStyle w:val="BodyText"/>
        <w:spacing w:line="276" w:lineRule="auto"/>
        <w:ind w:firstLine="360"/>
      </w:pPr>
      <w:r>
        <w:rPr>
          <w:rFonts w:ascii="Arial" w:eastAsia="Arial" w:hAnsi="Arial" w:cs="Arial"/>
          <w:b/>
          <w:bCs/>
          <w:i/>
          <w:iCs/>
          <w:sz w:val="15"/>
          <w:szCs w:val="15"/>
        </w:rPr>
        <w:t>Concentrado inmunoglobulínico.</w:t>
      </w:r>
      <w:r>
        <w:t xml:space="preserve"> El concentrado inmunoglobulínico por aplicación intramuscular, si se administra en término de dos semanas de exposición a HAV tiene una eficacia superior a 85% para evitar la infección sintomática. En los cuadros 3-21 y 3-22 se señalan las dosis recomendadas del concentrado antes y después de la exposición, así como la duración de la protección.</w:t>
      </w:r>
    </w:p>
    <w:p w14:paraId="0C1922E2" w14:textId="77777777" w:rsidR="00093A32" w:rsidRDefault="00093A32">
      <w:pPr>
        <w:pStyle w:val="BodyText"/>
        <w:spacing w:line="298" w:lineRule="auto"/>
        <w:ind w:firstLine="360"/>
      </w:pPr>
      <w:r>
        <w:rPr>
          <w:rFonts w:ascii="Arial" w:eastAsia="Arial" w:hAnsi="Arial" w:cs="Arial"/>
          <w:b/>
          <w:bCs/>
          <w:i/>
          <w:iCs/>
          <w:sz w:val="15"/>
          <w:szCs w:val="15"/>
        </w:rPr>
        <w:t>Vacuna de hepatitis A.</w:t>
      </w:r>
      <w:r>
        <w:t xml:space="preserve"> En Estados Unidos se cuenta con dos vacunas de virus de hepatitis A inactivado, que son Havrix (GlaxoSmithKline Biologicals, Rixensart, Bélgica)</w:t>
      </w:r>
    </w:p>
    <w:p w14:paraId="3B5BE5E2" w14:textId="77777777" w:rsidR="00093A32" w:rsidRDefault="00093A32">
      <w:pPr>
        <w:pStyle w:val="Heading31"/>
        <w:keepNext/>
        <w:keepLines/>
        <w:spacing w:after="55" w:line="211" w:lineRule="auto"/>
        <w:jc w:val="center"/>
      </w:pPr>
      <w:bookmarkStart w:id="154" w:name="bookmark760"/>
      <w:bookmarkStart w:id="155" w:name="bookmark761"/>
      <w:bookmarkStart w:id="156" w:name="bookmark762"/>
      <w:r>
        <w:rPr>
          <w:b w:val="0"/>
          <w:bCs w:val="0"/>
        </w:rPr>
        <w:t xml:space="preserve">Cuadro 3-21. </w:t>
      </w:r>
      <w:r>
        <w:t>Recomendaciones para la inmunoprofilaxia</w:t>
      </w:r>
      <w:r>
        <w:br/>
        <w:t>antes de exposición a hepatitis A para viajeros</w:t>
      </w:r>
      <w:bookmarkEnd w:id="154"/>
      <w:bookmarkEnd w:id="155"/>
      <w:bookmarkEnd w:id="156"/>
    </w:p>
    <w:p w14:paraId="4F8EE844" w14:textId="77777777" w:rsidR="00093A32" w:rsidRDefault="00093A32">
      <w:pPr>
        <w:pStyle w:val="Heading41"/>
        <w:keepNext/>
        <w:keepLines/>
        <w:pBdr>
          <w:top w:val="single" w:sz="0" w:space="0" w:color="231F20"/>
          <w:left w:val="single" w:sz="0" w:space="0" w:color="231F20"/>
          <w:bottom w:val="single" w:sz="0" w:space="4" w:color="231F20"/>
          <w:right w:val="single" w:sz="0" w:space="0" w:color="231F20"/>
        </w:pBdr>
        <w:shd w:val="clear" w:color="auto" w:fill="231F20"/>
        <w:ind w:left="1400"/>
      </w:pPr>
      <w:bookmarkStart w:id="157" w:name="bookmark765"/>
      <w:r>
        <w:rPr>
          <w:color w:val="FFFFFF"/>
        </w:rPr>
        <w:t>Posible duración de la</w:t>
      </w:r>
      <w:bookmarkEnd w:id="157"/>
    </w:p>
    <w:p w14:paraId="38715863" w14:textId="77777777" w:rsidR="00093A32" w:rsidRDefault="00093A32">
      <w:pPr>
        <w:pStyle w:val="Heading41"/>
        <w:keepNext/>
        <w:keepLines/>
        <w:pBdr>
          <w:top w:val="single" w:sz="0" w:space="0" w:color="231F20"/>
          <w:left w:val="single" w:sz="0" w:space="0" w:color="231F20"/>
          <w:bottom w:val="single" w:sz="0" w:space="4" w:color="231F20"/>
          <w:right w:val="single" w:sz="0" w:space="0" w:color="231F20"/>
        </w:pBdr>
        <w:shd w:val="clear" w:color="auto" w:fill="231F20"/>
        <w:spacing w:after="34" w:line="209" w:lineRule="auto"/>
      </w:pPr>
      <w:bookmarkStart w:id="158" w:name="bookmark763"/>
      <w:bookmarkStart w:id="159" w:name="bookmark764"/>
      <w:bookmarkStart w:id="160" w:name="bookmark766"/>
      <w:r>
        <w:rPr>
          <w:color w:val="FFFFFF"/>
        </w:rPr>
        <w:t>Edad en años exposición en meses Profilaxia recomendada</w:t>
      </w:r>
      <w:bookmarkEnd w:id="158"/>
      <w:bookmarkEnd w:id="159"/>
      <w:bookmarkEnd w:id="160"/>
    </w:p>
    <w:tbl>
      <w:tblPr>
        <w:tblOverlap w:val="never"/>
        <w:tblW w:w="0" w:type="auto"/>
        <w:jc w:val="center"/>
        <w:tblLayout w:type="fixed"/>
        <w:tblCellMar>
          <w:left w:w="10" w:type="dxa"/>
          <w:right w:w="10" w:type="dxa"/>
        </w:tblCellMar>
        <w:tblLook w:val="04A0" w:firstRow="1" w:lastRow="0" w:firstColumn="1" w:lastColumn="0" w:noHBand="0" w:noVBand="1"/>
      </w:tblPr>
      <w:tblGrid>
        <w:gridCol w:w="1018"/>
        <w:gridCol w:w="2021"/>
        <w:gridCol w:w="3542"/>
      </w:tblGrid>
      <w:tr w:rsidR="00093A32" w14:paraId="70F31DD4" w14:textId="77777777">
        <w:tblPrEx>
          <w:tblCellMar>
            <w:top w:w="0" w:type="dxa"/>
            <w:bottom w:w="0" w:type="dxa"/>
          </w:tblCellMar>
        </w:tblPrEx>
        <w:trPr>
          <w:trHeight w:hRule="exact" w:val="211"/>
          <w:jc w:val="center"/>
        </w:trPr>
        <w:tc>
          <w:tcPr>
            <w:tcW w:w="1018" w:type="dxa"/>
            <w:shd w:val="clear" w:color="auto" w:fill="FFFFFF"/>
            <w:vAlign w:val="bottom"/>
          </w:tcPr>
          <w:p w14:paraId="6F58A61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&lt;2</w:t>
            </w:r>
          </w:p>
        </w:tc>
        <w:tc>
          <w:tcPr>
            <w:tcW w:w="2021" w:type="dxa"/>
            <w:shd w:val="clear" w:color="auto" w:fill="FFFFFF"/>
            <w:vAlign w:val="bottom"/>
          </w:tcPr>
          <w:p w14:paraId="36E83E7C" w14:textId="77777777" w:rsidR="00093A32" w:rsidRDefault="00093A32">
            <w:pPr>
              <w:pStyle w:val="Other0"/>
              <w:spacing w:line="240" w:lineRule="auto"/>
              <w:ind w:left="1060" w:firstLine="0"/>
              <w:rPr>
                <w:sz w:val="16"/>
                <w:szCs w:val="16"/>
              </w:rPr>
            </w:pPr>
            <w:r>
              <w:rPr>
                <w:rFonts w:ascii="Times New Roman" w:eastAsia="Times New Roman" w:hAnsi="Times New Roman" w:cs="Times New Roman"/>
                <w:sz w:val="16"/>
                <w:szCs w:val="16"/>
              </w:rPr>
              <w:t>&lt;3</w:t>
            </w:r>
          </w:p>
        </w:tc>
        <w:tc>
          <w:tcPr>
            <w:tcW w:w="3542" w:type="dxa"/>
            <w:shd w:val="clear" w:color="auto" w:fill="FFFFFF"/>
            <w:vAlign w:val="bottom"/>
          </w:tcPr>
          <w:p w14:paraId="06B1E036"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Concentrado de IG, 0.02 ml/kg</w:t>
            </w:r>
            <w:r>
              <w:rPr>
                <w:rFonts w:ascii="Times New Roman" w:eastAsia="Times New Roman" w:hAnsi="Times New Roman" w:cs="Times New Roman"/>
                <w:sz w:val="16"/>
                <w:szCs w:val="16"/>
                <w:vertAlign w:val="superscript"/>
              </w:rPr>
              <w:t>1</w:t>
            </w:r>
          </w:p>
        </w:tc>
      </w:tr>
      <w:tr w:rsidR="00093A32" w14:paraId="3542A6DF" w14:textId="77777777">
        <w:tblPrEx>
          <w:tblCellMar>
            <w:top w:w="0" w:type="dxa"/>
            <w:bottom w:w="0" w:type="dxa"/>
          </w:tblCellMar>
        </w:tblPrEx>
        <w:trPr>
          <w:trHeight w:hRule="exact" w:val="216"/>
          <w:jc w:val="center"/>
        </w:trPr>
        <w:tc>
          <w:tcPr>
            <w:tcW w:w="1018" w:type="dxa"/>
            <w:shd w:val="clear" w:color="auto" w:fill="FFFFFF"/>
          </w:tcPr>
          <w:p w14:paraId="39CC4048" w14:textId="77777777" w:rsidR="00093A32" w:rsidRDefault="00093A32">
            <w:pPr>
              <w:rPr>
                <w:sz w:val="10"/>
                <w:szCs w:val="10"/>
              </w:rPr>
            </w:pPr>
          </w:p>
        </w:tc>
        <w:tc>
          <w:tcPr>
            <w:tcW w:w="2021" w:type="dxa"/>
            <w:shd w:val="clear" w:color="auto" w:fill="FFFFFF"/>
            <w:vAlign w:val="bottom"/>
          </w:tcPr>
          <w:p w14:paraId="6BCAE425" w14:textId="77777777" w:rsidR="00093A32" w:rsidRDefault="00093A32">
            <w:pPr>
              <w:pStyle w:val="Other0"/>
              <w:spacing w:line="240" w:lineRule="auto"/>
              <w:ind w:left="1060" w:firstLine="0"/>
              <w:rPr>
                <w:sz w:val="16"/>
                <w:szCs w:val="16"/>
              </w:rPr>
            </w:pPr>
            <w:r>
              <w:rPr>
                <w:rFonts w:ascii="Times New Roman" w:eastAsia="Times New Roman" w:hAnsi="Times New Roman" w:cs="Times New Roman"/>
                <w:sz w:val="16"/>
                <w:szCs w:val="16"/>
              </w:rPr>
              <w:t>3-5</w:t>
            </w:r>
          </w:p>
        </w:tc>
        <w:tc>
          <w:tcPr>
            <w:tcW w:w="3542" w:type="dxa"/>
            <w:shd w:val="clear" w:color="auto" w:fill="FFFFFF"/>
            <w:vAlign w:val="bottom"/>
          </w:tcPr>
          <w:p w14:paraId="619F3F0C"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Concentrado de IG, 0.06 ml/kg</w:t>
            </w:r>
            <w:r>
              <w:rPr>
                <w:rFonts w:ascii="Times New Roman" w:eastAsia="Times New Roman" w:hAnsi="Times New Roman" w:cs="Times New Roman"/>
                <w:sz w:val="16"/>
                <w:szCs w:val="16"/>
                <w:vertAlign w:val="superscript"/>
              </w:rPr>
              <w:t>1</w:t>
            </w:r>
          </w:p>
        </w:tc>
      </w:tr>
      <w:tr w:rsidR="00093A32" w14:paraId="2986FC75" w14:textId="77777777">
        <w:tblPrEx>
          <w:tblCellMar>
            <w:top w:w="0" w:type="dxa"/>
            <w:bottom w:w="0" w:type="dxa"/>
          </w:tblCellMar>
        </w:tblPrEx>
        <w:trPr>
          <w:trHeight w:hRule="exact" w:val="672"/>
          <w:jc w:val="center"/>
        </w:trPr>
        <w:tc>
          <w:tcPr>
            <w:tcW w:w="1018" w:type="dxa"/>
            <w:shd w:val="clear" w:color="auto" w:fill="FFFFFF"/>
          </w:tcPr>
          <w:p w14:paraId="590887FC" w14:textId="77777777" w:rsidR="00093A32" w:rsidRDefault="00093A32">
            <w:pPr>
              <w:rPr>
                <w:sz w:val="10"/>
                <w:szCs w:val="10"/>
              </w:rPr>
            </w:pPr>
          </w:p>
        </w:tc>
        <w:tc>
          <w:tcPr>
            <w:tcW w:w="2021" w:type="dxa"/>
            <w:shd w:val="clear" w:color="auto" w:fill="FFFFFF"/>
          </w:tcPr>
          <w:p w14:paraId="3755B99F" w14:textId="77777777" w:rsidR="00093A32" w:rsidRDefault="00093A32">
            <w:pPr>
              <w:pStyle w:val="Other0"/>
              <w:spacing w:line="240" w:lineRule="auto"/>
              <w:ind w:firstLine="800"/>
              <w:rPr>
                <w:sz w:val="16"/>
                <w:szCs w:val="16"/>
              </w:rPr>
            </w:pPr>
            <w:r>
              <w:rPr>
                <w:rFonts w:ascii="Times New Roman" w:eastAsia="Times New Roman" w:hAnsi="Times New Roman" w:cs="Times New Roman"/>
                <w:sz w:val="16"/>
                <w:szCs w:val="16"/>
              </w:rPr>
              <w:t>Largo plazo</w:t>
            </w:r>
          </w:p>
        </w:tc>
        <w:tc>
          <w:tcPr>
            <w:tcW w:w="3542" w:type="dxa"/>
            <w:shd w:val="clear" w:color="auto" w:fill="FFFFFF"/>
            <w:vAlign w:val="bottom"/>
          </w:tcPr>
          <w:p w14:paraId="6EBED1E4" w14:textId="77777777" w:rsidR="00093A32" w:rsidRDefault="00093A32">
            <w:pPr>
              <w:pStyle w:val="Other0"/>
              <w:spacing w:line="288" w:lineRule="auto"/>
              <w:ind w:left="520" w:hanging="100"/>
              <w:rPr>
                <w:sz w:val="16"/>
                <w:szCs w:val="16"/>
              </w:rPr>
            </w:pPr>
            <w:r>
              <w:rPr>
                <w:rFonts w:ascii="Times New Roman" w:eastAsia="Times New Roman" w:hAnsi="Times New Roman" w:cs="Times New Roman"/>
                <w:sz w:val="16"/>
                <w:szCs w:val="16"/>
              </w:rPr>
              <w:t>Concentrado de IG, 0.06 ml/kg de peso al iniciar el viaje y cada cinco meses continúa la exposición al HAV</w:t>
            </w:r>
            <w:r>
              <w:rPr>
                <w:rFonts w:ascii="Times New Roman" w:eastAsia="Times New Roman" w:hAnsi="Times New Roman" w:cs="Times New Roman"/>
                <w:sz w:val="16"/>
                <w:szCs w:val="16"/>
                <w:vertAlign w:val="superscript"/>
              </w:rPr>
              <w:t>1</w:t>
            </w:r>
          </w:p>
        </w:tc>
      </w:tr>
      <w:tr w:rsidR="00093A32" w14:paraId="3444EB18" w14:textId="77777777">
        <w:tblPrEx>
          <w:tblCellMar>
            <w:top w:w="0" w:type="dxa"/>
            <w:bottom w:w="0" w:type="dxa"/>
          </w:tblCellMar>
        </w:tblPrEx>
        <w:trPr>
          <w:trHeight w:hRule="exact" w:val="648"/>
          <w:jc w:val="center"/>
        </w:trPr>
        <w:tc>
          <w:tcPr>
            <w:tcW w:w="1018" w:type="dxa"/>
            <w:shd w:val="clear" w:color="auto" w:fill="FFFFFF"/>
          </w:tcPr>
          <w:p w14:paraId="3A8FEC3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w:t>
            </w:r>
          </w:p>
        </w:tc>
        <w:tc>
          <w:tcPr>
            <w:tcW w:w="2021" w:type="dxa"/>
            <w:shd w:val="clear" w:color="auto" w:fill="FFFFFF"/>
          </w:tcPr>
          <w:p w14:paraId="3E66FB43" w14:textId="77777777" w:rsidR="00093A32" w:rsidRDefault="00093A32">
            <w:pPr>
              <w:pStyle w:val="Other0"/>
              <w:spacing w:line="240" w:lineRule="auto"/>
              <w:ind w:left="1060" w:firstLine="0"/>
              <w:rPr>
                <w:sz w:val="16"/>
                <w:szCs w:val="16"/>
              </w:rPr>
            </w:pPr>
            <w:r>
              <w:rPr>
                <w:rFonts w:ascii="Times New Roman" w:eastAsia="Times New Roman" w:hAnsi="Times New Roman" w:cs="Times New Roman"/>
                <w:sz w:val="16"/>
                <w:szCs w:val="16"/>
              </w:rPr>
              <w:t>&lt;3</w:t>
            </w:r>
            <w:r>
              <w:rPr>
                <w:rFonts w:ascii="Times New Roman" w:eastAsia="Times New Roman" w:hAnsi="Times New Roman" w:cs="Times New Roman"/>
                <w:sz w:val="16"/>
                <w:szCs w:val="16"/>
                <w:vertAlign w:val="superscript"/>
              </w:rPr>
              <w:t>2</w:t>
            </w:r>
          </w:p>
        </w:tc>
        <w:tc>
          <w:tcPr>
            <w:tcW w:w="3542" w:type="dxa"/>
            <w:shd w:val="clear" w:color="auto" w:fill="FFFFFF"/>
            <w:vAlign w:val="bottom"/>
          </w:tcPr>
          <w:p w14:paraId="0FC21308"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Vacuna contra hepatitis A</w:t>
            </w:r>
            <w:r>
              <w:rPr>
                <w:rFonts w:ascii="Times New Roman" w:eastAsia="Times New Roman" w:hAnsi="Times New Roman" w:cs="Times New Roman"/>
                <w:sz w:val="16"/>
                <w:szCs w:val="16"/>
                <w:vertAlign w:val="superscript"/>
              </w:rPr>
              <w:t>3,4</w:t>
            </w:r>
          </w:p>
          <w:p w14:paraId="2360DDA5" w14:textId="77777777" w:rsidR="00093A32" w:rsidRDefault="00093A32">
            <w:pPr>
              <w:pStyle w:val="Other0"/>
              <w:spacing w:line="240" w:lineRule="auto"/>
              <w:ind w:left="1500" w:firstLine="0"/>
              <w:jc w:val="both"/>
              <w:rPr>
                <w:sz w:val="16"/>
                <w:szCs w:val="16"/>
              </w:rPr>
            </w:pPr>
            <w:r>
              <w:rPr>
                <w:rFonts w:ascii="Times New Roman" w:eastAsia="Times New Roman" w:hAnsi="Times New Roman" w:cs="Times New Roman"/>
                <w:b/>
                <w:bCs/>
                <w:sz w:val="16"/>
                <w:szCs w:val="16"/>
              </w:rPr>
              <w:t>O</w:t>
            </w:r>
          </w:p>
          <w:p w14:paraId="5623BE35"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Concentrado IG, 0.02 ml/kg</w:t>
            </w:r>
            <w:r>
              <w:rPr>
                <w:rFonts w:ascii="Times New Roman" w:eastAsia="Times New Roman" w:hAnsi="Times New Roman" w:cs="Times New Roman"/>
                <w:sz w:val="16"/>
                <w:szCs w:val="16"/>
                <w:vertAlign w:val="superscript"/>
              </w:rPr>
              <w:t>1</w:t>
            </w:r>
          </w:p>
        </w:tc>
      </w:tr>
      <w:tr w:rsidR="00093A32" w14:paraId="47076930" w14:textId="77777777">
        <w:tblPrEx>
          <w:tblCellMar>
            <w:top w:w="0" w:type="dxa"/>
            <w:bottom w:w="0" w:type="dxa"/>
          </w:tblCellMar>
        </w:tblPrEx>
        <w:trPr>
          <w:trHeight w:hRule="exact" w:val="662"/>
          <w:jc w:val="center"/>
        </w:trPr>
        <w:tc>
          <w:tcPr>
            <w:tcW w:w="1018" w:type="dxa"/>
            <w:shd w:val="clear" w:color="auto" w:fill="FFFFFF"/>
          </w:tcPr>
          <w:p w14:paraId="52FBCA84" w14:textId="77777777" w:rsidR="00093A32" w:rsidRDefault="00093A32">
            <w:pPr>
              <w:rPr>
                <w:sz w:val="10"/>
                <w:szCs w:val="10"/>
              </w:rPr>
            </w:pPr>
          </w:p>
        </w:tc>
        <w:tc>
          <w:tcPr>
            <w:tcW w:w="2021" w:type="dxa"/>
            <w:shd w:val="clear" w:color="auto" w:fill="FFFFFF"/>
          </w:tcPr>
          <w:p w14:paraId="2094F8C8" w14:textId="77777777" w:rsidR="00093A32" w:rsidRDefault="00093A32">
            <w:pPr>
              <w:pStyle w:val="Other0"/>
              <w:spacing w:line="240" w:lineRule="auto"/>
              <w:ind w:left="1060" w:firstLine="0"/>
              <w:rPr>
                <w:sz w:val="16"/>
                <w:szCs w:val="16"/>
              </w:rPr>
            </w:pPr>
            <w:r>
              <w:rPr>
                <w:rFonts w:ascii="Times New Roman" w:eastAsia="Times New Roman" w:hAnsi="Times New Roman" w:cs="Times New Roman"/>
                <w:sz w:val="16"/>
                <w:szCs w:val="16"/>
              </w:rPr>
              <w:t>3-5</w:t>
            </w:r>
            <w:r>
              <w:rPr>
                <w:rFonts w:ascii="Times New Roman" w:eastAsia="Times New Roman" w:hAnsi="Times New Roman" w:cs="Times New Roman"/>
                <w:sz w:val="16"/>
                <w:szCs w:val="16"/>
                <w:vertAlign w:val="superscript"/>
              </w:rPr>
              <w:t>2</w:t>
            </w:r>
          </w:p>
        </w:tc>
        <w:tc>
          <w:tcPr>
            <w:tcW w:w="3542" w:type="dxa"/>
            <w:shd w:val="clear" w:color="auto" w:fill="FFFFFF"/>
            <w:vAlign w:val="bottom"/>
          </w:tcPr>
          <w:p w14:paraId="0E18C76F"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Vacuna contra hepatitis A</w:t>
            </w:r>
            <w:r>
              <w:rPr>
                <w:rFonts w:ascii="Times New Roman" w:eastAsia="Times New Roman" w:hAnsi="Times New Roman" w:cs="Times New Roman"/>
                <w:sz w:val="16"/>
                <w:szCs w:val="16"/>
                <w:vertAlign w:val="superscript"/>
              </w:rPr>
              <w:t>3,4</w:t>
            </w:r>
          </w:p>
          <w:p w14:paraId="67A79855" w14:textId="77777777" w:rsidR="00093A32" w:rsidRDefault="00093A32">
            <w:pPr>
              <w:pStyle w:val="Other0"/>
              <w:spacing w:line="240" w:lineRule="auto"/>
              <w:ind w:left="1500" w:firstLine="0"/>
              <w:jc w:val="both"/>
              <w:rPr>
                <w:sz w:val="16"/>
                <w:szCs w:val="16"/>
              </w:rPr>
            </w:pPr>
            <w:r>
              <w:rPr>
                <w:rFonts w:ascii="Times New Roman" w:eastAsia="Times New Roman" w:hAnsi="Times New Roman" w:cs="Times New Roman"/>
                <w:b/>
                <w:bCs/>
                <w:sz w:val="16"/>
                <w:szCs w:val="16"/>
              </w:rPr>
              <w:t>O</w:t>
            </w:r>
          </w:p>
          <w:p w14:paraId="238BD8C3"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Concentrado IG, 0.06 ml/kg</w:t>
            </w:r>
            <w:r>
              <w:rPr>
                <w:rFonts w:ascii="Times New Roman" w:eastAsia="Times New Roman" w:hAnsi="Times New Roman" w:cs="Times New Roman"/>
                <w:sz w:val="16"/>
                <w:szCs w:val="16"/>
                <w:vertAlign w:val="superscript"/>
              </w:rPr>
              <w:t>1</w:t>
            </w:r>
          </w:p>
        </w:tc>
      </w:tr>
      <w:tr w:rsidR="00093A32" w14:paraId="103091D1" w14:textId="77777777">
        <w:tblPrEx>
          <w:tblCellMar>
            <w:top w:w="0" w:type="dxa"/>
            <w:bottom w:w="0" w:type="dxa"/>
          </w:tblCellMar>
        </w:tblPrEx>
        <w:trPr>
          <w:trHeight w:hRule="exact" w:val="250"/>
          <w:jc w:val="center"/>
        </w:trPr>
        <w:tc>
          <w:tcPr>
            <w:tcW w:w="1018" w:type="dxa"/>
            <w:tcBorders>
              <w:bottom w:val="single" w:sz="4" w:space="0" w:color="auto"/>
            </w:tcBorders>
            <w:shd w:val="clear" w:color="auto" w:fill="FFFFFF"/>
          </w:tcPr>
          <w:p w14:paraId="025B20B2" w14:textId="77777777" w:rsidR="00093A32" w:rsidRDefault="00093A32">
            <w:pPr>
              <w:rPr>
                <w:sz w:val="10"/>
                <w:szCs w:val="10"/>
              </w:rPr>
            </w:pPr>
          </w:p>
        </w:tc>
        <w:tc>
          <w:tcPr>
            <w:tcW w:w="2021" w:type="dxa"/>
            <w:tcBorders>
              <w:bottom w:val="single" w:sz="4" w:space="0" w:color="auto"/>
            </w:tcBorders>
            <w:shd w:val="clear" w:color="auto" w:fill="FFFFFF"/>
            <w:vAlign w:val="bottom"/>
          </w:tcPr>
          <w:p w14:paraId="7D02005C" w14:textId="77777777" w:rsidR="00093A32" w:rsidRDefault="00093A32">
            <w:pPr>
              <w:pStyle w:val="Other0"/>
              <w:spacing w:line="240" w:lineRule="auto"/>
              <w:ind w:firstLine="800"/>
              <w:rPr>
                <w:sz w:val="16"/>
                <w:szCs w:val="16"/>
              </w:rPr>
            </w:pPr>
            <w:r>
              <w:rPr>
                <w:rFonts w:ascii="Times New Roman" w:eastAsia="Times New Roman" w:hAnsi="Times New Roman" w:cs="Times New Roman"/>
                <w:sz w:val="16"/>
                <w:szCs w:val="16"/>
              </w:rPr>
              <w:t>Largo plazo</w:t>
            </w:r>
          </w:p>
        </w:tc>
        <w:tc>
          <w:tcPr>
            <w:tcW w:w="3542" w:type="dxa"/>
            <w:tcBorders>
              <w:bottom w:val="single" w:sz="4" w:space="0" w:color="auto"/>
            </w:tcBorders>
            <w:shd w:val="clear" w:color="auto" w:fill="FFFFFF"/>
            <w:vAlign w:val="bottom"/>
          </w:tcPr>
          <w:p w14:paraId="50D4D65D" w14:textId="77777777" w:rsidR="00093A32" w:rsidRDefault="00093A32">
            <w:pPr>
              <w:pStyle w:val="Other0"/>
              <w:spacing w:line="240" w:lineRule="auto"/>
              <w:ind w:firstLine="420"/>
              <w:jc w:val="both"/>
              <w:rPr>
                <w:sz w:val="16"/>
                <w:szCs w:val="16"/>
              </w:rPr>
            </w:pPr>
            <w:r>
              <w:rPr>
                <w:rFonts w:ascii="Times New Roman" w:eastAsia="Times New Roman" w:hAnsi="Times New Roman" w:cs="Times New Roman"/>
                <w:sz w:val="16"/>
                <w:szCs w:val="16"/>
              </w:rPr>
              <w:t>Vacuna contra hepatitis A</w:t>
            </w:r>
            <w:r>
              <w:rPr>
                <w:rFonts w:ascii="Times New Roman" w:eastAsia="Times New Roman" w:hAnsi="Times New Roman" w:cs="Times New Roman"/>
                <w:sz w:val="16"/>
                <w:szCs w:val="16"/>
                <w:vertAlign w:val="superscript"/>
              </w:rPr>
              <w:t>3,4</w:t>
            </w:r>
          </w:p>
        </w:tc>
      </w:tr>
    </w:tbl>
    <w:p w14:paraId="3256C536" w14:textId="77777777" w:rsidR="00093A32" w:rsidRDefault="00093A32">
      <w:pPr>
        <w:pStyle w:val="Tablecaption0"/>
        <w:spacing w:line="240" w:lineRule="auto"/>
        <w:ind w:left="0"/>
      </w:pPr>
      <w:r>
        <w:t>IG, concentrado inmunoglobulínico; HAV, virus de hepatitis A.</w:t>
      </w:r>
    </w:p>
    <w:p w14:paraId="45D86AA1" w14:textId="77777777" w:rsidR="00093A32" w:rsidRDefault="00093A32">
      <w:pPr>
        <w:pStyle w:val="Tablecaption0"/>
        <w:numPr>
          <w:ilvl w:val="0"/>
          <w:numId w:val="65"/>
        </w:numPr>
        <w:tabs>
          <w:tab w:val="left" w:pos="168"/>
        </w:tabs>
        <w:spacing w:line="240" w:lineRule="auto"/>
        <w:ind w:left="0"/>
      </w:pPr>
      <w:r>
        <w:t>Hay que aplicar en un plano profundo en una gran masa muscular el concentrado inmunoglobulínico.</w:t>
      </w:r>
    </w:p>
    <w:p w14:paraId="1A7F7D4E" w14:textId="77777777" w:rsidR="00093A32" w:rsidRDefault="00093A32">
      <w:pPr>
        <w:pStyle w:val="Tablecaption0"/>
        <w:spacing w:line="240" w:lineRule="auto"/>
        <w:ind w:left="0"/>
      </w:pPr>
      <w:r>
        <w:t>Por lo común no se aplicarán más de 5 ml en un solo sitio en un adulto o niño de gran talla; a niños de menor edad y lactantes se aplicarán volúmenes menores (máximo, 3 ml).</w:t>
      </w:r>
    </w:p>
    <w:p w14:paraId="27F6D282" w14:textId="77777777" w:rsidR="00093A32" w:rsidRDefault="00093A32">
      <w:pPr>
        <w:pStyle w:val="Tablecaption0"/>
        <w:numPr>
          <w:ilvl w:val="0"/>
          <w:numId w:val="65"/>
        </w:numPr>
        <w:tabs>
          <w:tab w:val="left" w:pos="-2"/>
        </w:tabs>
        <w:spacing w:line="240" w:lineRule="auto"/>
        <w:ind w:left="0"/>
      </w:pPr>
      <w:r>
        <w:t>Es preferible la vacuna, pero una alternativa aceptable sería el concentrado inmunoglobulínico.</w:t>
      </w:r>
    </w:p>
    <w:p w14:paraId="42F68F68" w14:textId="77777777" w:rsidR="00093A32" w:rsidRDefault="00093A32">
      <w:pPr>
        <w:pStyle w:val="Tablecaption0"/>
        <w:numPr>
          <w:ilvl w:val="0"/>
          <w:numId w:val="65"/>
        </w:numPr>
        <w:tabs>
          <w:tab w:val="left" w:pos="-7"/>
        </w:tabs>
        <w:spacing w:line="240" w:lineRule="auto"/>
        <w:ind w:left="0"/>
      </w:pPr>
      <w:r>
        <w:t>Para asegurar la protección a viajeros cuya partida es inminente, también se puede aplicar concentrado IG (Consúltese el texto).</w:t>
      </w:r>
    </w:p>
    <w:p w14:paraId="07E85BE1" w14:textId="77777777" w:rsidR="00093A32" w:rsidRDefault="00093A32">
      <w:pPr>
        <w:pStyle w:val="Tablecaption0"/>
        <w:numPr>
          <w:ilvl w:val="0"/>
          <w:numId w:val="65"/>
        </w:numPr>
        <w:tabs>
          <w:tab w:val="left" w:pos="-2"/>
        </w:tabs>
        <w:spacing w:line="240" w:lineRule="auto"/>
        <w:ind w:left="0"/>
      </w:pPr>
      <w:r>
        <w:t>Dosis y calendario de vacunas contra hepatitis A tal como se recomienda con base en la edad en el cuadro 3-23.</w:t>
      </w:r>
    </w:p>
    <w:p w14:paraId="78198B12" w14:textId="77777777" w:rsidR="00093A32" w:rsidRDefault="00093A32">
      <w:pPr>
        <w:spacing w:after="559" w:line="1" w:lineRule="exact"/>
      </w:pPr>
    </w:p>
    <w:p w14:paraId="06F9248F" w14:textId="77777777" w:rsidR="00093A32" w:rsidRDefault="00093A32">
      <w:pPr>
        <w:pStyle w:val="BodyText"/>
        <w:ind w:firstLine="0"/>
      </w:pPr>
      <w:r>
        <w:t>y Vaqta (Merck &amp; Co Inc, West Point, PA). Las vacunas se preparan a partir de virus adaptado en cultivo celular, propagado en fibroblastos humanos y se le purifica de lisados celulares, se inactiva en formol y se adsorbe a un coadyuvante de hidróxido de aluminio. La fórmula de Havrix incluye el 2-fenoxietanol, un conservador; Vaqta carece de dicha sustancia.</w:t>
      </w:r>
    </w:p>
    <w:p w14:paraId="1EFC2E89"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Administración, dosis y planes posológicos (véase cuadro 3-23).</w:t>
      </w:r>
      <w:r>
        <w:t xml:space="preserve"> En Estados Unidos se ha aprobado el uso de vacunas contra hepatitis para niños de dos años de edad y mayores; hay presentaciones para niños y adultos que se administran en un plan posológico de dos dosis. Las presentaciones para adultos son recomendables para jóvenes de 19 años y personas mayores. Las vacunas aprobadas se aplican por vía intramuscular. En el cuadro 3-23 se incluyen las dosis y los calendarios recomendados de estos diferentes productos y sus presentaciones. En Estados Unidos se ha aprobado el uso de una vacuna combinada o mixta contra hepatitis A/B (Twinrix, GlaxoSmithKline Biologicals, Rixensart, Bélgica) para jóvenes de 18 años y mayores y se aplica en un plan de tres dosis.</w:t>
      </w:r>
    </w:p>
    <w:p w14:paraId="4B91F42B" w14:textId="77777777" w:rsidR="00093A32" w:rsidRDefault="00093A32">
      <w:pPr>
        <w:pStyle w:val="BodyText"/>
        <w:spacing w:after="120" w:line="276" w:lineRule="auto"/>
        <w:ind w:firstLine="360"/>
      </w:pPr>
      <w:r>
        <w:rPr>
          <w:rFonts w:ascii="Times New Roman" w:eastAsia="Times New Roman" w:hAnsi="Times New Roman" w:cs="Times New Roman"/>
          <w:b/>
          <w:bCs/>
          <w:i/>
          <w:iCs/>
          <w:sz w:val="16"/>
          <w:szCs w:val="16"/>
        </w:rPr>
        <w:t>Detección de anti-HAV después de vacunación.</w:t>
      </w:r>
      <w:r>
        <w:t xml:space="preserve"> Las concentraciones de anticuerpo contra HAV que surgen después de la vacunación contra dicho virus son 10 a 100 veces menores que las producidas después de infección natural, y pudieran ser menores que las concentraciones de detección de las técnicas comerciales de laboratorio. Las concentraciones menores de anticuerpos inducidas por la aplicación de una sola dosis de vacuna pueden medirse por inmunoensayos modificados, y se expresan en miliunidades internacionales/mililitro (mUI/ml). Las concentraciones de anticuerpos</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58"/>
        <w:gridCol w:w="1776"/>
        <w:gridCol w:w="1032"/>
        <w:gridCol w:w="2256"/>
      </w:tblGrid>
      <w:tr w:rsidR="00093A32" w14:paraId="70419C12" w14:textId="77777777">
        <w:tblPrEx>
          <w:tblCellMar>
            <w:top w:w="0" w:type="dxa"/>
            <w:bottom w:w="0" w:type="dxa"/>
          </w:tblCellMar>
        </w:tblPrEx>
        <w:trPr>
          <w:trHeight w:hRule="exact" w:val="869"/>
          <w:jc w:val="center"/>
        </w:trPr>
        <w:tc>
          <w:tcPr>
            <w:tcW w:w="6922" w:type="dxa"/>
            <w:gridSpan w:val="4"/>
            <w:tcBorders>
              <w:top w:val="single" w:sz="4" w:space="0" w:color="auto"/>
            </w:tcBorders>
            <w:shd w:val="clear" w:color="auto" w:fill="FFFFFF"/>
            <w:vAlign w:val="bottom"/>
          </w:tcPr>
          <w:p w14:paraId="3950EA84" w14:textId="77777777" w:rsidR="00093A32" w:rsidRDefault="00093A32">
            <w:pPr>
              <w:pStyle w:val="Other0"/>
              <w:spacing w:line="211" w:lineRule="auto"/>
              <w:ind w:firstLine="0"/>
              <w:jc w:val="center"/>
              <w:rPr>
                <w:sz w:val="26"/>
                <w:szCs w:val="26"/>
              </w:rPr>
            </w:pPr>
            <w:r>
              <w:rPr>
                <w:rFonts w:ascii="Arial" w:eastAsia="Arial" w:hAnsi="Arial" w:cs="Arial"/>
                <w:w w:val="70"/>
                <w:sz w:val="26"/>
                <w:szCs w:val="26"/>
              </w:rPr>
              <w:t xml:space="preserve">Cuadro 3-22. </w:t>
            </w:r>
            <w:r>
              <w:rPr>
                <w:rFonts w:ascii="Arial" w:eastAsia="Arial" w:hAnsi="Arial" w:cs="Arial"/>
                <w:b/>
                <w:bCs/>
                <w:w w:val="70"/>
                <w:sz w:val="26"/>
                <w:szCs w:val="26"/>
              </w:rPr>
              <w:t>Recomendaciones para la inmunoprofilaxia después de exposición a hepatitis A</w:t>
            </w:r>
          </w:p>
        </w:tc>
      </w:tr>
      <w:tr w:rsidR="00093A32" w14:paraId="3F8B10C8" w14:textId="77777777">
        <w:tblPrEx>
          <w:tblCellMar>
            <w:top w:w="0" w:type="dxa"/>
            <w:bottom w:w="0" w:type="dxa"/>
          </w:tblCellMar>
        </w:tblPrEx>
        <w:trPr>
          <w:trHeight w:hRule="exact" w:val="835"/>
          <w:jc w:val="center"/>
        </w:trPr>
        <w:tc>
          <w:tcPr>
            <w:tcW w:w="1858" w:type="dxa"/>
            <w:shd w:val="clear" w:color="auto" w:fill="231F20"/>
          </w:tcPr>
          <w:p w14:paraId="200D61B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0"/>
              <w:jc w:val="center"/>
              <w:rPr>
                <w:sz w:val="24"/>
                <w:szCs w:val="24"/>
              </w:rPr>
            </w:pPr>
            <w:r>
              <w:rPr>
                <w:rFonts w:ascii="Arial" w:eastAsia="Arial" w:hAnsi="Arial" w:cs="Arial"/>
                <w:b/>
                <w:bCs/>
                <w:color w:val="FFFFFF"/>
                <w:w w:val="70"/>
                <w:sz w:val="24"/>
                <w:szCs w:val="24"/>
              </w:rPr>
              <w:t>Lapso transcurrido desde la exposición, en semanas</w:t>
            </w:r>
          </w:p>
        </w:tc>
        <w:tc>
          <w:tcPr>
            <w:tcW w:w="1776" w:type="dxa"/>
            <w:shd w:val="clear" w:color="auto" w:fill="231F20"/>
          </w:tcPr>
          <w:p w14:paraId="3C6B6B99"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Posible exposición futura o vacunación recomendada</w:t>
            </w:r>
          </w:p>
        </w:tc>
        <w:tc>
          <w:tcPr>
            <w:tcW w:w="1032" w:type="dxa"/>
            <w:shd w:val="clear" w:color="auto" w:fill="231F20"/>
          </w:tcPr>
          <w:p w14:paraId="000BA18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Edad del paciente en años</w:t>
            </w:r>
          </w:p>
        </w:tc>
        <w:tc>
          <w:tcPr>
            <w:tcW w:w="2256" w:type="dxa"/>
            <w:shd w:val="clear" w:color="auto" w:fill="231F20"/>
            <w:vAlign w:val="center"/>
          </w:tcPr>
          <w:p w14:paraId="5941775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left="160" w:hanging="160"/>
              <w:rPr>
                <w:sz w:val="24"/>
                <w:szCs w:val="24"/>
              </w:rPr>
            </w:pPr>
            <w:r>
              <w:rPr>
                <w:rFonts w:ascii="Arial" w:eastAsia="Arial" w:hAnsi="Arial" w:cs="Arial"/>
                <w:b/>
                <w:bCs/>
                <w:color w:val="FFFFFF"/>
                <w:w w:val="70"/>
                <w:sz w:val="24"/>
                <w:szCs w:val="24"/>
              </w:rPr>
              <w:t>Profilaxia recomendada</w:t>
            </w:r>
          </w:p>
        </w:tc>
      </w:tr>
      <w:tr w:rsidR="00093A32" w14:paraId="1C9E5D6C" w14:textId="77777777">
        <w:tblPrEx>
          <w:tblCellMar>
            <w:top w:w="0" w:type="dxa"/>
            <w:bottom w:w="0" w:type="dxa"/>
          </w:tblCellMar>
        </w:tblPrEx>
        <w:trPr>
          <w:trHeight w:hRule="exact" w:val="485"/>
          <w:jc w:val="center"/>
        </w:trPr>
        <w:tc>
          <w:tcPr>
            <w:tcW w:w="1858" w:type="dxa"/>
            <w:shd w:val="clear" w:color="auto" w:fill="FFFFFF"/>
            <w:vAlign w:val="center"/>
          </w:tcPr>
          <w:p w14:paraId="550F8C2A"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20"/>
                <w:szCs w:val="20"/>
              </w:rPr>
              <w:t>&lt;</w:t>
            </w:r>
            <w:r>
              <w:rPr>
                <w:rFonts w:ascii="Times New Roman" w:eastAsia="Times New Roman" w:hAnsi="Times New Roman" w:cs="Times New Roman"/>
                <w:sz w:val="16"/>
                <w:szCs w:val="16"/>
              </w:rPr>
              <w:t>2</w:t>
            </w:r>
          </w:p>
        </w:tc>
        <w:tc>
          <w:tcPr>
            <w:tcW w:w="1776" w:type="dxa"/>
            <w:shd w:val="clear" w:color="auto" w:fill="FFFFFF"/>
            <w:vAlign w:val="center"/>
          </w:tcPr>
          <w:p w14:paraId="50811A59"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No</w:t>
            </w:r>
          </w:p>
        </w:tc>
        <w:tc>
          <w:tcPr>
            <w:tcW w:w="1032" w:type="dxa"/>
            <w:shd w:val="clear" w:color="auto" w:fill="FFFFFF"/>
            <w:vAlign w:val="bottom"/>
          </w:tcPr>
          <w:p w14:paraId="03DCA22D"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sz w:val="16"/>
                <w:szCs w:val="16"/>
              </w:rPr>
              <w:t>Todas las edades</w:t>
            </w:r>
          </w:p>
        </w:tc>
        <w:tc>
          <w:tcPr>
            <w:tcW w:w="2256" w:type="dxa"/>
            <w:shd w:val="clear" w:color="auto" w:fill="FFFFFF"/>
            <w:vAlign w:val="center"/>
          </w:tcPr>
          <w:p w14:paraId="424643A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Concentrado IG, 0.02 ml/kg</w:t>
            </w:r>
            <w:r>
              <w:rPr>
                <w:rFonts w:ascii="Times New Roman" w:eastAsia="Times New Roman" w:hAnsi="Times New Roman" w:cs="Times New Roman"/>
                <w:sz w:val="16"/>
                <w:szCs w:val="16"/>
                <w:vertAlign w:val="superscript"/>
              </w:rPr>
              <w:t>1</w:t>
            </w:r>
          </w:p>
        </w:tc>
      </w:tr>
      <w:tr w:rsidR="00093A32" w14:paraId="70C7E0AC" w14:textId="77777777">
        <w:tblPrEx>
          <w:tblCellMar>
            <w:top w:w="0" w:type="dxa"/>
            <w:bottom w:w="0" w:type="dxa"/>
          </w:tblCellMar>
        </w:tblPrEx>
        <w:trPr>
          <w:trHeight w:hRule="exact" w:val="667"/>
          <w:jc w:val="center"/>
        </w:trPr>
        <w:tc>
          <w:tcPr>
            <w:tcW w:w="1858" w:type="dxa"/>
            <w:shd w:val="clear" w:color="auto" w:fill="FFFFFF"/>
          </w:tcPr>
          <w:p w14:paraId="0272C677" w14:textId="77777777" w:rsidR="00093A32" w:rsidRDefault="00093A32">
            <w:pPr>
              <w:rPr>
                <w:sz w:val="10"/>
                <w:szCs w:val="10"/>
              </w:rPr>
            </w:pPr>
          </w:p>
        </w:tc>
        <w:tc>
          <w:tcPr>
            <w:tcW w:w="1776" w:type="dxa"/>
            <w:shd w:val="clear" w:color="auto" w:fill="FFFFFF"/>
          </w:tcPr>
          <w:p w14:paraId="083468A0"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Sí</w:t>
            </w:r>
          </w:p>
        </w:tc>
        <w:tc>
          <w:tcPr>
            <w:tcW w:w="1032" w:type="dxa"/>
            <w:shd w:val="clear" w:color="auto" w:fill="FFFFFF"/>
          </w:tcPr>
          <w:p w14:paraId="5D9E67BD"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w:t>
            </w:r>
          </w:p>
        </w:tc>
        <w:tc>
          <w:tcPr>
            <w:tcW w:w="2256" w:type="dxa"/>
            <w:shd w:val="clear" w:color="auto" w:fill="FFFFFF"/>
            <w:vAlign w:val="bottom"/>
          </w:tcPr>
          <w:p w14:paraId="20FEB58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Concentrado IG, 0.02 ml/kg</w:t>
            </w:r>
            <w:r>
              <w:rPr>
                <w:rFonts w:ascii="Times New Roman" w:eastAsia="Times New Roman" w:hAnsi="Times New Roman" w:cs="Times New Roman"/>
                <w:sz w:val="16"/>
                <w:szCs w:val="16"/>
                <w:vertAlign w:val="superscript"/>
              </w:rPr>
              <w:t>1</w:t>
            </w:r>
          </w:p>
          <w:p w14:paraId="66872B4C" w14:textId="77777777" w:rsidR="00093A32" w:rsidRDefault="00093A32">
            <w:pPr>
              <w:pStyle w:val="Other0"/>
              <w:spacing w:line="240" w:lineRule="auto"/>
              <w:ind w:firstLine="900"/>
              <w:rPr>
                <w:sz w:val="16"/>
                <w:szCs w:val="16"/>
              </w:rPr>
            </w:pPr>
            <w:r>
              <w:rPr>
                <w:rFonts w:ascii="Times New Roman" w:eastAsia="Times New Roman" w:hAnsi="Times New Roman" w:cs="Times New Roman"/>
                <w:b/>
                <w:bCs/>
                <w:sz w:val="16"/>
                <w:szCs w:val="16"/>
              </w:rPr>
              <w:t>Y</w:t>
            </w:r>
          </w:p>
          <w:p w14:paraId="6A94FD5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Vacuna contra hepatitis A</w:t>
            </w:r>
            <w:r>
              <w:rPr>
                <w:rFonts w:ascii="Times New Roman" w:eastAsia="Times New Roman" w:hAnsi="Times New Roman" w:cs="Times New Roman"/>
                <w:sz w:val="16"/>
                <w:szCs w:val="16"/>
                <w:vertAlign w:val="superscript"/>
              </w:rPr>
              <w:t>2</w:t>
            </w:r>
          </w:p>
        </w:tc>
      </w:tr>
      <w:tr w:rsidR="00093A32" w14:paraId="43D44319" w14:textId="77777777">
        <w:tblPrEx>
          <w:tblCellMar>
            <w:top w:w="0" w:type="dxa"/>
            <w:bottom w:w="0" w:type="dxa"/>
          </w:tblCellMar>
        </w:tblPrEx>
        <w:trPr>
          <w:trHeight w:hRule="exact" w:val="418"/>
          <w:jc w:val="center"/>
        </w:trPr>
        <w:tc>
          <w:tcPr>
            <w:tcW w:w="1858" w:type="dxa"/>
            <w:shd w:val="clear" w:color="auto" w:fill="FFFFFF"/>
          </w:tcPr>
          <w:p w14:paraId="3F03202B"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&gt;2</w:t>
            </w:r>
          </w:p>
        </w:tc>
        <w:tc>
          <w:tcPr>
            <w:tcW w:w="1776" w:type="dxa"/>
            <w:shd w:val="clear" w:color="auto" w:fill="FFFFFF"/>
          </w:tcPr>
          <w:p w14:paraId="75F5EADC"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No</w:t>
            </w:r>
          </w:p>
        </w:tc>
        <w:tc>
          <w:tcPr>
            <w:tcW w:w="1032" w:type="dxa"/>
            <w:shd w:val="clear" w:color="auto" w:fill="FFFFFF"/>
          </w:tcPr>
          <w:p w14:paraId="763FE092" w14:textId="77777777" w:rsidR="00093A32" w:rsidRDefault="00093A32">
            <w:pPr>
              <w:pStyle w:val="Other0"/>
              <w:spacing w:line="283" w:lineRule="auto"/>
              <w:ind w:firstLine="0"/>
              <w:jc w:val="center"/>
              <w:rPr>
                <w:sz w:val="16"/>
                <w:szCs w:val="16"/>
              </w:rPr>
            </w:pPr>
            <w:r>
              <w:rPr>
                <w:rFonts w:ascii="Times New Roman" w:eastAsia="Times New Roman" w:hAnsi="Times New Roman" w:cs="Times New Roman"/>
                <w:sz w:val="16"/>
                <w:szCs w:val="16"/>
              </w:rPr>
              <w:t>Todas las edades</w:t>
            </w:r>
          </w:p>
        </w:tc>
        <w:tc>
          <w:tcPr>
            <w:tcW w:w="2256" w:type="dxa"/>
            <w:shd w:val="clear" w:color="auto" w:fill="FFFFFF"/>
          </w:tcPr>
          <w:p w14:paraId="0B973B8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emprende profilaxia</w:t>
            </w:r>
          </w:p>
        </w:tc>
      </w:tr>
      <w:tr w:rsidR="00093A32" w14:paraId="3E0DFE78" w14:textId="77777777">
        <w:tblPrEx>
          <w:tblCellMar>
            <w:top w:w="0" w:type="dxa"/>
            <w:bottom w:w="0" w:type="dxa"/>
          </w:tblCellMar>
        </w:tblPrEx>
        <w:trPr>
          <w:trHeight w:hRule="exact" w:val="326"/>
          <w:jc w:val="center"/>
        </w:trPr>
        <w:tc>
          <w:tcPr>
            <w:tcW w:w="1858" w:type="dxa"/>
            <w:tcBorders>
              <w:bottom w:val="single" w:sz="4" w:space="0" w:color="auto"/>
            </w:tcBorders>
            <w:shd w:val="clear" w:color="auto" w:fill="FFFFFF"/>
          </w:tcPr>
          <w:p w14:paraId="411EFCBC" w14:textId="77777777" w:rsidR="00093A32" w:rsidRDefault="00093A32">
            <w:pPr>
              <w:rPr>
                <w:sz w:val="10"/>
                <w:szCs w:val="10"/>
              </w:rPr>
            </w:pPr>
          </w:p>
        </w:tc>
        <w:tc>
          <w:tcPr>
            <w:tcW w:w="1776" w:type="dxa"/>
            <w:tcBorders>
              <w:bottom w:val="single" w:sz="4" w:space="0" w:color="auto"/>
            </w:tcBorders>
            <w:shd w:val="clear" w:color="auto" w:fill="FFFFFF"/>
          </w:tcPr>
          <w:p w14:paraId="5CD28C4A"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Sí</w:t>
            </w:r>
          </w:p>
        </w:tc>
        <w:tc>
          <w:tcPr>
            <w:tcW w:w="1032" w:type="dxa"/>
            <w:tcBorders>
              <w:bottom w:val="single" w:sz="4" w:space="0" w:color="auto"/>
            </w:tcBorders>
            <w:shd w:val="clear" w:color="auto" w:fill="FFFFFF"/>
          </w:tcPr>
          <w:p w14:paraId="145CE47A"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w:t>
            </w:r>
          </w:p>
        </w:tc>
        <w:tc>
          <w:tcPr>
            <w:tcW w:w="2256" w:type="dxa"/>
            <w:tcBorders>
              <w:bottom w:val="single" w:sz="4" w:space="0" w:color="auto"/>
            </w:tcBorders>
            <w:shd w:val="clear" w:color="auto" w:fill="FFFFFF"/>
          </w:tcPr>
          <w:p w14:paraId="4AB5DDE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Vacuna contra hepatitis A</w:t>
            </w:r>
            <w:r>
              <w:rPr>
                <w:rFonts w:ascii="Times New Roman" w:eastAsia="Times New Roman" w:hAnsi="Times New Roman" w:cs="Times New Roman"/>
                <w:sz w:val="16"/>
                <w:szCs w:val="16"/>
                <w:vertAlign w:val="superscript"/>
              </w:rPr>
              <w:t>2</w:t>
            </w:r>
          </w:p>
        </w:tc>
      </w:tr>
    </w:tbl>
    <w:p w14:paraId="39E8137E" w14:textId="77777777" w:rsidR="00093A32" w:rsidRDefault="00093A32">
      <w:pPr>
        <w:pStyle w:val="Tablecaption0"/>
        <w:spacing w:line="240" w:lineRule="auto"/>
        <w:ind w:left="82"/>
      </w:pPr>
      <w:r>
        <w:t>IG, concentrado inmunoglobulínico.</w:t>
      </w:r>
    </w:p>
    <w:p w14:paraId="174090B5" w14:textId="77777777" w:rsidR="00093A32" w:rsidRDefault="00093A32">
      <w:pPr>
        <w:pStyle w:val="Tablecaption0"/>
        <w:numPr>
          <w:ilvl w:val="0"/>
          <w:numId w:val="66"/>
        </w:numPr>
        <w:tabs>
          <w:tab w:val="left" w:pos="70"/>
        </w:tabs>
        <w:spacing w:line="240" w:lineRule="auto"/>
        <w:ind w:left="82"/>
      </w:pPr>
      <w:r>
        <w:t>El concentrado debe administrarse en plano profundo de una gran masa muscular. Por lo común no se aplicarán más de 5 ml en un solo sitio en un adulto o niño de gran talla; se aplicarán volúmenes menores (máximo 3 ml) a niños de corta edad y lactantes.</w:t>
      </w:r>
    </w:p>
    <w:p w14:paraId="22FC319E" w14:textId="77777777" w:rsidR="00093A32" w:rsidRDefault="00093A32">
      <w:pPr>
        <w:pStyle w:val="Tablecaption0"/>
        <w:numPr>
          <w:ilvl w:val="0"/>
          <w:numId w:val="66"/>
        </w:numPr>
        <w:tabs>
          <w:tab w:val="left" w:pos="74"/>
        </w:tabs>
        <w:spacing w:line="240" w:lineRule="auto"/>
        <w:ind w:left="82"/>
      </w:pPr>
      <w:r>
        <w:t>La dosis y el calendario de vacunaciones contra hepatitis A son los recomendados según las edades en el cuadro 3-23.</w:t>
      </w:r>
    </w:p>
    <w:p w14:paraId="40084746" w14:textId="77777777" w:rsidR="00093A32" w:rsidRDefault="00093A32">
      <w:pPr>
        <w:spacing w:after="519" w:line="1" w:lineRule="exact"/>
      </w:pPr>
    </w:p>
    <w:p w14:paraId="18A33035" w14:textId="77777777" w:rsidR="00093A32" w:rsidRDefault="00093A32">
      <w:pPr>
        <w:pStyle w:val="BodyText"/>
        <w:ind w:firstLine="0"/>
      </w:pPr>
      <w:r>
        <w:t>después de la dosis de refuerzo suelen detectarse con los métodos comerciales estándar para medir tales inmunoglobulinas. No se ha definido el límite inferior de anticuerpos necesario para generar inmunidad. En casi todos los estudios hechos con el producto Havrix, se consideró que brindaban protección las concentraciones de 20 mUI/ml o mayores según se midieron por la técnica de inmunoanálisis enzimático modificado; los estudios con el producto Vaqta se han basado en concentraciones mayores de 10 mUI/ml medidas por técnicas modificadas de radioinmunoensayo.</w:t>
      </w:r>
    </w:p>
    <w:p w14:paraId="477D2AAF" w14:textId="77777777" w:rsidR="00093A32" w:rsidRDefault="00093A32">
      <w:pPr>
        <w:pStyle w:val="BodyText"/>
        <w:spacing w:line="276" w:lineRule="auto"/>
        <w:ind w:firstLine="380"/>
      </w:pPr>
      <w:r>
        <w:rPr>
          <w:rFonts w:ascii="Times New Roman" w:eastAsia="Times New Roman" w:hAnsi="Times New Roman" w:cs="Times New Roman"/>
          <w:b/>
          <w:bCs/>
          <w:i/>
          <w:iCs/>
          <w:sz w:val="16"/>
          <w:szCs w:val="16"/>
        </w:rPr>
        <w:t>Inmunoglobulina M contra HAVdespués de vacunación.</w:t>
      </w:r>
      <w:r>
        <w:t xml:space="preserve"> A veces se detecta la inmunoglobulina M contra HAV con métodos estándar en adultos, dos semanas después de la aplicación de vacuna contra hepatitis A. No se dispone de datos de niños a las dos semanas después de la vacunación; en un estudio, un mes después de la aplicación de la vacuna ninguno tuvo el anticuerpo IgM detectable contra virus de hepatitis A.</w:t>
      </w:r>
    </w:p>
    <w:p w14:paraId="27DB55B7" w14:textId="77777777" w:rsidR="00093A32" w:rsidRDefault="00093A32">
      <w:pPr>
        <w:pStyle w:val="BodyText"/>
        <w:spacing w:line="276" w:lineRule="auto"/>
        <w:ind w:firstLine="380"/>
      </w:pPr>
      <w:r>
        <w:rPr>
          <w:rFonts w:ascii="Times New Roman" w:eastAsia="Times New Roman" w:hAnsi="Times New Roman" w:cs="Times New Roman"/>
          <w:b/>
          <w:bCs/>
          <w:i/>
          <w:iCs/>
          <w:sz w:val="16"/>
          <w:szCs w:val="16"/>
        </w:rPr>
        <w:t>Capacidad inmunógena.</w:t>
      </w:r>
      <w:r>
        <w:t xml:space="preserve"> Las diferentes formulaciones de la vacuna tienen capacidad inmunógena similar si se administran de acuerdo con los calendarios y las dosis recomendadas. Una dosis de Havrix induce seroconversión a los 15 días en 88 a 93% de los niños, adolescentes y adultos, y al mes en 95 a 99% de ellos; un mes después de la segunda dosis, que se aplica seis meses después de la primera, se ha logrado la aparición de concentraciones protectoras de anticuerpos en 100% de los vacunados con elevados títulos medios geométricos. Se han obtenido resultados similares con Vaqta. Un mes después de la primera dosis, 95 a 100% de los niños, adolescentes y adultos habían mostrado concentraciones protectoras de anticuerpos. Un mes después de aplicar la segunda dosis, lo cual se hizo seis meses después de la primera, en 100% de los receptores hubo seroconversión.</w:t>
      </w:r>
    </w:p>
    <w:p w14:paraId="247414AA" w14:textId="77777777" w:rsidR="00093A32" w:rsidRDefault="00093A32">
      <w:pPr>
        <w:pStyle w:val="BodyText"/>
        <w:ind w:firstLine="380"/>
      </w:pPr>
      <w:r>
        <w:t>Los escasos datos de capacidad inmunógena de la vacuna contra hepatitis A en lactantes indica cifras altas de seroconversión, pero los títulos geométricos medios de anticuerpos séricos son significativamente menores en lactantes que han recibido en</w:t>
      </w:r>
    </w:p>
    <w:p w14:paraId="144986AB" w14:textId="77777777" w:rsidR="00093A32" w:rsidRDefault="00093A32">
      <w:pPr>
        <w:pStyle w:val="Heading31"/>
        <w:keepNext/>
        <w:keepLines/>
        <w:spacing w:after="60" w:line="211" w:lineRule="auto"/>
        <w:jc w:val="center"/>
      </w:pPr>
      <w:bookmarkStart w:id="161" w:name="bookmark767"/>
      <w:bookmarkStart w:id="162" w:name="bookmark768"/>
      <w:bookmarkStart w:id="163" w:name="bookmark769"/>
      <w:r>
        <w:rPr>
          <w:b w:val="0"/>
          <w:bCs w:val="0"/>
        </w:rPr>
        <w:t xml:space="preserve">Cuadro 3-23. </w:t>
      </w:r>
      <w:r>
        <w:t>Dosis y calendarios recomendados para aplicar vacunas</w:t>
      </w:r>
      <w:r>
        <w:br/>
        <w:t>con virus inactivado de hepatitis A</w:t>
      </w:r>
      <w:r>
        <w:rPr>
          <w:vertAlign w:val="superscript"/>
        </w:rPr>
        <w:t>1</w:t>
      </w:r>
      <w:bookmarkEnd w:id="161"/>
      <w:bookmarkEnd w:id="162"/>
      <w:bookmarkEnd w:id="163"/>
    </w:p>
    <w:tbl>
      <w:tblPr>
        <w:tblOverlap w:val="never"/>
        <w:tblW w:w="0" w:type="auto"/>
        <w:jc w:val="center"/>
        <w:tblLayout w:type="fixed"/>
        <w:tblCellMar>
          <w:left w:w="10" w:type="dxa"/>
          <w:right w:w="10" w:type="dxa"/>
        </w:tblCellMar>
        <w:tblLook w:val="04A0" w:firstRow="1" w:lastRow="0" w:firstColumn="1" w:lastColumn="0" w:noHBand="0" w:noVBand="1"/>
      </w:tblPr>
      <w:tblGrid>
        <w:gridCol w:w="514"/>
        <w:gridCol w:w="778"/>
        <w:gridCol w:w="1142"/>
        <w:gridCol w:w="984"/>
        <w:gridCol w:w="840"/>
        <w:gridCol w:w="2582"/>
      </w:tblGrid>
      <w:tr w:rsidR="00093A32" w14:paraId="31B1953A" w14:textId="77777777">
        <w:tblPrEx>
          <w:tblCellMar>
            <w:top w:w="0" w:type="dxa"/>
            <w:bottom w:w="0" w:type="dxa"/>
          </w:tblCellMar>
        </w:tblPrEx>
        <w:trPr>
          <w:trHeight w:hRule="exact" w:val="845"/>
          <w:jc w:val="center"/>
        </w:trPr>
        <w:tc>
          <w:tcPr>
            <w:tcW w:w="514" w:type="dxa"/>
            <w:shd w:val="clear" w:color="auto" w:fill="231F20"/>
          </w:tcPr>
          <w:p w14:paraId="63BFF77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Edad en años</w:t>
            </w:r>
          </w:p>
        </w:tc>
        <w:tc>
          <w:tcPr>
            <w:tcW w:w="778" w:type="dxa"/>
            <w:shd w:val="clear" w:color="auto" w:fill="231F20"/>
            <w:vAlign w:val="bottom"/>
          </w:tcPr>
          <w:p w14:paraId="56860DB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1142" w:type="dxa"/>
            <w:shd w:val="clear" w:color="auto" w:fill="231F20"/>
          </w:tcPr>
          <w:p w14:paraId="6FC8EBC3"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0"/>
              <w:jc w:val="center"/>
              <w:rPr>
                <w:sz w:val="24"/>
                <w:szCs w:val="24"/>
              </w:rPr>
            </w:pPr>
            <w:r>
              <w:rPr>
                <w:rFonts w:ascii="Arial" w:eastAsia="Arial" w:hAnsi="Arial" w:cs="Arial"/>
                <w:b/>
                <w:bCs/>
                <w:color w:val="FFFFFF"/>
                <w:w w:val="70"/>
                <w:sz w:val="24"/>
                <w:szCs w:val="24"/>
              </w:rPr>
              <w:t>Dosis del antígeno de hepatitis A</w:t>
            </w:r>
          </w:p>
        </w:tc>
        <w:tc>
          <w:tcPr>
            <w:tcW w:w="984" w:type="dxa"/>
            <w:shd w:val="clear" w:color="auto" w:fill="231F20"/>
          </w:tcPr>
          <w:p w14:paraId="0A09803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Volumen por dosis en ml</w:t>
            </w:r>
          </w:p>
        </w:tc>
        <w:tc>
          <w:tcPr>
            <w:tcW w:w="840" w:type="dxa"/>
            <w:shd w:val="clear" w:color="auto" w:fill="231F20"/>
          </w:tcPr>
          <w:p w14:paraId="298898D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0"/>
              <w:jc w:val="center"/>
              <w:rPr>
                <w:sz w:val="24"/>
                <w:szCs w:val="24"/>
              </w:rPr>
            </w:pPr>
            <w:r>
              <w:rPr>
                <w:rFonts w:ascii="Arial" w:eastAsia="Arial" w:hAnsi="Arial" w:cs="Arial"/>
                <w:b/>
                <w:bCs/>
                <w:color w:val="FFFFFF"/>
                <w:w w:val="70"/>
                <w:sz w:val="24"/>
                <w:szCs w:val="24"/>
              </w:rPr>
              <w:t>Número de dosis</w:t>
            </w:r>
          </w:p>
        </w:tc>
        <w:tc>
          <w:tcPr>
            <w:tcW w:w="2582" w:type="dxa"/>
            <w:shd w:val="clear" w:color="auto" w:fill="231F20"/>
            <w:vAlign w:val="bottom"/>
          </w:tcPr>
          <w:p w14:paraId="785D632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Calendario</w:t>
            </w:r>
          </w:p>
        </w:tc>
      </w:tr>
      <w:tr w:rsidR="00093A32" w14:paraId="29E1653B" w14:textId="77777777">
        <w:tblPrEx>
          <w:tblCellMar>
            <w:top w:w="0" w:type="dxa"/>
            <w:bottom w:w="0" w:type="dxa"/>
          </w:tblCellMar>
        </w:tblPrEx>
        <w:trPr>
          <w:trHeight w:hRule="exact" w:val="509"/>
          <w:jc w:val="center"/>
        </w:trPr>
        <w:tc>
          <w:tcPr>
            <w:tcW w:w="514" w:type="dxa"/>
            <w:shd w:val="clear" w:color="auto" w:fill="FFFFFF"/>
          </w:tcPr>
          <w:p w14:paraId="04B6A59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2-18</w:t>
            </w:r>
          </w:p>
        </w:tc>
        <w:tc>
          <w:tcPr>
            <w:tcW w:w="778" w:type="dxa"/>
            <w:shd w:val="clear" w:color="auto" w:fill="FFFFFF"/>
          </w:tcPr>
          <w:p w14:paraId="6DFC662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Havrix</w:t>
            </w:r>
          </w:p>
        </w:tc>
        <w:tc>
          <w:tcPr>
            <w:tcW w:w="1142" w:type="dxa"/>
            <w:shd w:val="clear" w:color="auto" w:fill="FFFFFF"/>
          </w:tcPr>
          <w:p w14:paraId="06E8CD0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720 ELU</w:t>
            </w:r>
          </w:p>
        </w:tc>
        <w:tc>
          <w:tcPr>
            <w:tcW w:w="984" w:type="dxa"/>
            <w:shd w:val="clear" w:color="auto" w:fill="FFFFFF"/>
          </w:tcPr>
          <w:p w14:paraId="2C0D4E32" w14:textId="77777777" w:rsidR="00093A32" w:rsidRDefault="00093A32">
            <w:pPr>
              <w:pStyle w:val="Other0"/>
              <w:spacing w:line="240" w:lineRule="auto"/>
              <w:ind w:firstLine="360"/>
              <w:jc w:val="both"/>
              <w:rPr>
                <w:sz w:val="16"/>
                <w:szCs w:val="16"/>
              </w:rPr>
            </w:pPr>
            <w:r>
              <w:rPr>
                <w:rFonts w:ascii="Times New Roman" w:eastAsia="Times New Roman" w:hAnsi="Times New Roman" w:cs="Times New Roman"/>
                <w:sz w:val="16"/>
                <w:szCs w:val="16"/>
              </w:rPr>
              <w:t>0.5</w:t>
            </w:r>
          </w:p>
        </w:tc>
        <w:tc>
          <w:tcPr>
            <w:tcW w:w="840" w:type="dxa"/>
            <w:shd w:val="clear" w:color="auto" w:fill="FFFFFF"/>
          </w:tcPr>
          <w:p w14:paraId="157D9BCC"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2</w:t>
            </w:r>
          </w:p>
        </w:tc>
        <w:tc>
          <w:tcPr>
            <w:tcW w:w="2582" w:type="dxa"/>
            <w:shd w:val="clear" w:color="auto" w:fill="FFFFFF"/>
            <w:vAlign w:val="bottom"/>
          </w:tcPr>
          <w:p w14:paraId="0ECEAD77"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Primera dosis y otra 6 a 12 meses después</w:t>
            </w:r>
          </w:p>
        </w:tc>
      </w:tr>
      <w:tr w:rsidR="00093A32" w14:paraId="75F4CBA3" w14:textId="77777777">
        <w:tblPrEx>
          <w:tblCellMar>
            <w:top w:w="0" w:type="dxa"/>
            <w:bottom w:w="0" w:type="dxa"/>
          </w:tblCellMar>
        </w:tblPrEx>
        <w:trPr>
          <w:trHeight w:hRule="exact" w:val="432"/>
          <w:jc w:val="center"/>
        </w:trPr>
        <w:tc>
          <w:tcPr>
            <w:tcW w:w="514" w:type="dxa"/>
            <w:shd w:val="clear" w:color="auto" w:fill="FFFFFF"/>
          </w:tcPr>
          <w:p w14:paraId="46F5485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2-18</w:t>
            </w:r>
          </w:p>
        </w:tc>
        <w:tc>
          <w:tcPr>
            <w:tcW w:w="778" w:type="dxa"/>
            <w:shd w:val="clear" w:color="auto" w:fill="FFFFFF"/>
          </w:tcPr>
          <w:p w14:paraId="4AE555D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Vaqta</w:t>
            </w:r>
          </w:p>
        </w:tc>
        <w:tc>
          <w:tcPr>
            <w:tcW w:w="1142" w:type="dxa"/>
            <w:shd w:val="clear" w:color="auto" w:fill="FFFFFF"/>
          </w:tcPr>
          <w:p w14:paraId="5B1B45AA"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25 U</w:t>
            </w:r>
            <w:r>
              <w:rPr>
                <w:rFonts w:ascii="Times New Roman" w:eastAsia="Times New Roman" w:hAnsi="Times New Roman" w:cs="Times New Roman"/>
                <w:sz w:val="16"/>
                <w:szCs w:val="16"/>
                <w:vertAlign w:val="superscript"/>
              </w:rPr>
              <w:t>2</w:t>
            </w:r>
          </w:p>
        </w:tc>
        <w:tc>
          <w:tcPr>
            <w:tcW w:w="984" w:type="dxa"/>
            <w:shd w:val="clear" w:color="auto" w:fill="FFFFFF"/>
          </w:tcPr>
          <w:p w14:paraId="404C70CF" w14:textId="77777777" w:rsidR="00093A32" w:rsidRDefault="00093A32">
            <w:pPr>
              <w:pStyle w:val="Other0"/>
              <w:spacing w:line="240" w:lineRule="auto"/>
              <w:ind w:firstLine="360"/>
              <w:jc w:val="both"/>
              <w:rPr>
                <w:sz w:val="16"/>
                <w:szCs w:val="16"/>
              </w:rPr>
            </w:pPr>
            <w:r>
              <w:rPr>
                <w:rFonts w:ascii="Times New Roman" w:eastAsia="Times New Roman" w:hAnsi="Times New Roman" w:cs="Times New Roman"/>
                <w:sz w:val="16"/>
                <w:szCs w:val="16"/>
              </w:rPr>
              <w:t>0.5</w:t>
            </w:r>
          </w:p>
        </w:tc>
        <w:tc>
          <w:tcPr>
            <w:tcW w:w="840" w:type="dxa"/>
            <w:shd w:val="clear" w:color="auto" w:fill="FFFFFF"/>
          </w:tcPr>
          <w:p w14:paraId="4F909E2C"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2</w:t>
            </w:r>
          </w:p>
        </w:tc>
        <w:tc>
          <w:tcPr>
            <w:tcW w:w="2582" w:type="dxa"/>
            <w:shd w:val="clear" w:color="auto" w:fill="FFFFFF"/>
            <w:vAlign w:val="bottom"/>
          </w:tcPr>
          <w:p w14:paraId="7A10EA2D"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Primera dosis y otra 6 a 18 meses después</w:t>
            </w:r>
          </w:p>
        </w:tc>
      </w:tr>
      <w:tr w:rsidR="00093A32" w14:paraId="143243DE" w14:textId="77777777">
        <w:tblPrEx>
          <w:tblCellMar>
            <w:top w:w="0" w:type="dxa"/>
            <w:bottom w:w="0" w:type="dxa"/>
          </w:tblCellMar>
        </w:tblPrEx>
        <w:trPr>
          <w:trHeight w:hRule="exact" w:val="432"/>
          <w:jc w:val="center"/>
        </w:trPr>
        <w:tc>
          <w:tcPr>
            <w:tcW w:w="514" w:type="dxa"/>
            <w:shd w:val="clear" w:color="auto" w:fill="FFFFFF"/>
          </w:tcPr>
          <w:p w14:paraId="4B351FD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w:t>
            </w:r>
            <w:r>
              <w:rPr>
                <w:rFonts w:ascii="Times New Roman" w:eastAsia="Times New Roman" w:hAnsi="Times New Roman" w:cs="Times New Roman"/>
                <w:sz w:val="16"/>
                <w:szCs w:val="16"/>
              </w:rPr>
              <w:t>19</w:t>
            </w:r>
          </w:p>
        </w:tc>
        <w:tc>
          <w:tcPr>
            <w:tcW w:w="778" w:type="dxa"/>
            <w:shd w:val="clear" w:color="auto" w:fill="FFFFFF"/>
          </w:tcPr>
          <w:p w14:paraId="5012EC5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Havrix</w:t>
            </w:r>
          </w:p>
        </w:tc>
        <w:tc>
          <w:tcPr>
            <w:tcW w:w="1142" w:type="dxa"/>
            <w:shd w:val="clear" w:color="auto" w:fill="FFFFFF"/>
          </w:tcPr>
          <w:p w14:paraId="0101CE2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1 440 ELU</w:t>
            </w:r>
          </w:p>
        </w:tc>
        <w:tc>
          <w:tcPr>
            <w:tcW w:w="984" w:type="dxa"/>
            <w:shd w:val="clear" w:color="auto" w:fill="FFFFFF"/>
          </w:tcPr>
          <w:p w14:paraId="3D4D7984"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1.0</w:t>
            </w:r>
          </w:p>
        </w:tc>
        <w:tc>
          <w:tcPr>
            <w:tcW w:w="840" w:type="dxa"/>
            <w:shd w:val="clear" w:color="auto" w:fill="FFFFFF"/>
          </w:tcPr>
          <w:p w14:paraId="603B9944"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2</w:t>
            </w:r>
          </w:p>
        </w:tc>
        <w:tc>
          <w:tcPr>
            <w:tcW w:w="2582" w:type="dxa"/>
            <w:shd w:val="clear" w:color="auto" w:fill="FFFFFF"/>
            <w:vAlign w:val="bottom"/>
          </w:tcPr>
          <w:p w14:paraId="6973A29D"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Primera dosis y otra 6 a 12 meses después</w:t>
            </w:r>
          </w:p>
        </w:tc>
      </w:tr>
      <w:tr w:rsidR="00093A32" w14:paraId="0193308F" w14:textId="77777777">
        <w:tblPrEx>
          <w:tblCellMar>
            <w:top w:w="0" w:type="dxa"/>
            <w:bottom w:w="0" w:type="dxa"/>
          </w:tblCellMar>
        </w:tblPrEx>
        <w:trPr>
          <w:trHeight w:hRule="exact" w:val="432"/>
          <w:jc w:val="center"/>
        </w:trPr>
        <w:tc>
          <w:tcPr>
            <w:tcW w:w="514" w:type="dxa"/>
            <w:shd w:val="clear" w:color="auto" w:fill="FFFFFF"/>
          </w:tcPr>
          <w:p w14:paraId="6762658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w:t>
            </w:r>
            <w:r>
              <w:rPr>
                <w:rFonts w:ascii="Times New Roman" w:eastAsia="Times New Roman" w:hAnsi="Times New Roman" w:cs="Times New Roman"/>
                <w:sz w:val="16"/>
                <w:szCs w:val="16"/>
              </w:rPr>
              <w:t>19</w:t>
            </w:r>
          </w:p>
        </w:tc>
        <w:tc>
          <w:tcPr>
            <w:tcW w:w="778" w:type="dxa"/>
            <w:shd w:val="clear" w:color="auto" w:fill="FFFFFF"/>
          </w:tcPr>
          <w:p w14:paraId="44DDC9A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Vaqta</w:t>
            </w:r>
          </w:p>
        </w:tc>
        <w:tc>
          <w:tcPr>
            <w:tcW w:w="1142" w:type="dxa"/>
            <w:shd w:val="clear" w:color="auto" w:fill="FFFFFF"/>
          </w:tcPr>
          <w:p w14:paraId="0B8CFA50"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50 U</w:t>
            </w:r>
            <w:r>
              <w:rPr>
                <w:rFonts w:ascii="Times New Roman" w:eastAsia="Times New Roman" w:hAnsi="Times New Roman" w:cs="Times New Roman"/>
                <w:sz w:val="16"/>
                <w:szCs w:val="16"/>
                <w:vertAlign w:val="superscript"/>
              </w:rPr>
              <w:t>2</w:t>
            </w:r>
          </w:p>
        </w:tc>
        <w:tc>
          <w:tcPr>
            <w:tcW w:w="984" w:type="dxa"/>
            <w:shd w:val="clear" w:color="auto" w:fill="FFFFFF"/>
          </w:tcPr>
          <w:p w14:paraId="3A6B73DA"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1.0</w:t>
            </w:r>
          </w:p>
        </w:tc>
        <w:tc>
          <w:tcPr>
            <w:tcW w:w="840" w:type="dxa"/>
            <w:shd w:val="clear" w:color="auto" w:fill="FFFFFF"/>
          </w:tcPr>
          <w:p w14:paraId="47485327"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2</w:t>
            </w:r>
          </w:p>
        </w:tc>
        <w:tc>
          <w:tcPr>
            <w:tcW w:w="2582" w:type="dxa"/>
            <w:shd w:val="clear" w:color="auto" w:fill="FFFFFF"/>
            <w:vAlign w:val="bottom"/>
          </w:tcPr>
          <w:p w14:paraId="3CAADAA8" w14:textId="77777777" w:rsidR="00093A32" w:rsidRDefault="00093A32">
            <w:pPr>
              <w:pStyle w:val="Other0"/>
              <w:spacing w:line="283" w:lineRule="auto"/>
              <w:ind w:left="180" w:hanging="180"/>
              <w:rPr>
                <w:sz w:val="16"/>
                <w:szCs w:val="16"/>
              </w:rPr>
            </w:pPr>
            <w:r>
              <w:rPr>
                <w:rFonts w:ascii="Times New Roman" w:eastAsia="Times New Roman" w:hAnsi="Times New Roman" w:cs="Times New Roman"/>
                <w:sz w:val="16"/>
                <w:szCs w:val="16"/>
              </w:rPr>
              <w:t>Primera dosis y otra 6 a 12 meses después</w:t>
            </w:r>
          </w:p>
        </w:tc>
      </w:tr>
      <w:tr w:rsidR="00093A32" w14:paraId="3F5BF9A0" w14:textId="77777777">
        <w:tblPrEx>
          <w:tblCellMar>
            <w:top w:w="0" w:type="dxa"/>
            <w:bottom w:w="0" w:type="dxa"/>
          </w:tblCellMar>
        </w:tblPrEx>
        <w:trPr>
          <w:trHeight w:hRule="exact" w:val="221"/>
          <w:jc w:val="center"/>
        </w:trPr>
        <w:tc>
          <w:tcPr>
            <w:tcW w:w="514" w:type="dxa"/>
            <w:shd w:val="clear" w:color="auto" w:fill="FFFFFF"/>
          </w:tcPr>
          <w:p w14:paraId="06BA830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18</w:t>
            </w:r>
          </w:p>
        </w:tc>
        <w:tc>
          <w:tcPr>
            <w:tcW w:w="778" w:type="dxa"/>
            <w:shd w:val="clear" w:color="auto" w:fill="FFFFFF"/>
          </w:tcPr>
          <w:p w14:paraId="3C41ED1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Twinrix</w:t>
            </w:r>
            <w:r>
              <w:rPr>
                <w:rFonts w:ascii="Times New Roman" w:eastAsia="Times New Roman" w:hAnsi="Times New Roman" w:cs="Times New Roman"/>
                <w:sz w:val="16"/>
                <w:szCs w:val="16"/>
                <w:vertAlign w:val="superscript"/>
              </w:rPr>
              <w:t>3</w:t>
            </w:r>
          </w:p>
        </w:tc>
        <w:tc>
          <w:tcPr>
            <w:tcW w:w="1142" w:type="dxa"/>
            <w:shd w:val="clear" w:color="auto" w:fill="FFFFFF"/>
          </w:tcPr>
          <w:p w14:paraId="4831D4F3"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720 ELU</w:t>
            </w:r>
          </w:p>
        </w:tc>
        <w:tc>
          <w:tcPr>
            <w:tcW w:w="984" w:type="dxa"/>
            <w:shd w:val="clear" w:color="auto" w:fill="FFFFFF"/>
          </w:tcPr>
          <w:p w14:paraId="3AC34FFC"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1.0</w:t>
            </w:r>
          </w:p>
        </w:tc>
        <w:tc>
          <w:tcPr>
            <w:tcW w:w="840" w:type="dxa"/>
            <w:shd w:val="clear" w:color="auto" w:fill="FFFFFF"/>
          </w:tcPr>
          <w:p w14:paraId="71E04AFD"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3</w:t>
            </w:r>
          </w:p>
        </w:tc>
        <w:tc>
          <w:tcPr>
            <w:tcW w:w="2582" w:type="dxa"/>
            <w:shd w:val="clear" w:color="auto" w:fill="FFFFFF"/>
          </w:tcPr>
          <w:p w14:paraId="44A9C0F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Primea dosis y un mes y seis</w:t>
            </w:r>
          </w:p>
        </w:tc>
      </w:tr>
    </w:tbl>
    <w:p w14:paraId="468456AD" w14:textId="77777777" w:rsidR="00093A32" w:rsidRDefault="00093A32">
      <w:pPr>
        <w:pStyle w:val="Tablecaption0"/>
        <w:spacing w:line="240" w:lineRule="auto"/>
        <w:ind w:left="4435"/>
        <w:rPr>
          <w:sz w:val="16"/>
          <w:szCs w:val="16"/>
        </w:rPr>
      </w:pPr>
      <w:r>
        <w:rPr>
          <w:sz w:val="16"/>
          <w:szCs w:val="16"/>
        </w:rPr>
        <w:t>meses después</w:t>
      </w:r>
    </w:p>
    <w:p w14:paraId="5DFE05BC" w14:textId="77777777" w:rsidR="00093A32" w:rsidRDefault="00093A32">
      <w:pPr>
        <w:pStyle w:val="Tablecaption0"/>
        <w:spacing w:line="254" w:lineRule="auto"/>
        <w:ind w:left="43"/>
      </w:pPr>
      <w:r>
        <w:t xml:space="preserve">ELU, unidades en inmunoanálisis enzimáticos </w:t>
      </w:r>
      <w:r>
        <w:rPr>
          <w:i/>
          <w:iCs/>
        </w:rPr>
        <w:t>(enzyme-linked immunoassay units).</w:t>
      </w:r>
    </w:p>
    <w:p w14:paraId="752EE3CC" w14:textId="77777777" w:rsidR="00093A32" w:rsidRDefault="00093A32">
      <w:pPr>
        <w:pStyle w:val="Tablecaption0"/>
        <w:numPr>
          <w:ilvl w:val="0"/>
          <w:numId w:val="67"/>
        </w:numPr>
        <w:tabs>
          <w:tab w:val="left" w:pos="36"/>
        </w:tabs>
        <w:spacing w:line="254" w:lineRule="auto"/>
        <w:ind w:left="43"/>
      </w:pPr>
      <w:r>
        <w:t>Havrix y TWinrix son fabricados por GlaxoSmithKline Biologicals, Rixenart, Bélgica Vaqta es fabricado y distribuido por Merck &amp; Co Inc, West Point, PA.</w:t>
      </w:r>
    </w:p>
    <w:p w14:paraId="22E5F588" w14:textId="77777777" w:rsidR="00093A32" w:rsidRDefault="00093A32">
      <w:pPr>
        <w:pStyle w:val="Tablecaption0"/>
        <w:numPr>
          <w:ilvl w:val="0"/>
          <w:numId w:val="67"/>
        </w:numPr>
        <w:tabs>
          <w:tab w:val="left" w:pos="216"/>
        </w:tabs>
        <w:spacing w:line="254" w:lineRule="auto"/>
        <w:ind w:left="43"/>
      </w:pPr>
      <w:r>
        <w:t>Unidades de antígeno (cada unidad equivale aproximadamente a 1 pg de proteína vírica).</w:t>
      </w:r>
    </w:p>
    <w:p w14:paraId="6B0935F3" w14:textId="77777777" w:rsidR="00093A32" w:rsidRDefault="00093A32">
      <w:pPr>
        <w:pStyle w:val="Tablecaption0"/>
        <w:numPr>
          <w:ilvl w:val="0"/>
          <w:numId w:val="67"/>
        </w:numPr>
        <w:tabs>
          <w:tab w:val="left" w:pos="221"/>
        </w:tabs>
        <w:spacing w:line="254" w:lineRule="auto"/>
        <w:ind w:left="43"/>
      </w:pPr>
      <w:r>
        <w:t>En Estados Unidos se ha probado para utilizar en jóvenes de 18 años y personas mayores en un plan</w:t>
      </w:r>
    </w:p>
    <w:p w14:paraId="5B67996C" w14:textId="77777777" w:rsidR="00093A32" w:rsidRDefault="00093A32">
      <w:pPr>
        <w:pStyle w:val="Tablecaption0"/>
        <w:spacing w:line="254" w:lineRule="auto"/>
        <w:ind w:left="43"/>
      </w:pPr>
      <w:r>
        <w:t>de tres dosis, la mezcla de vacunas contra hepatitis B (Engerix-B, 20 pg) y hepatitis A (Havrix, 720 ELU) (Twinrix).</w:t>
      </w:r>
    </w:p>
    <w:p w14:paraId="30759EAD" w14:textId="77777777" w:rsidR="00093A32" w:rsidRDefault="00093A32">
      <w:pPr>
        <w:spacing w:after="639" w:line="1" w:lineRule="exact"/>
      </w:pPr>
    </w:p>
    <w:p w14:paraId="2B550F8B" w14:textId="77777777" w:rsidR="00093A32" w:rsidRDefault="00093A32">
      <w:pPr>
        <w:pStyle w:val="BodyText"/>
        <w:ind w:firstLine="0"/>
      </w:pPr>
      <w:r>
        <w:t>forma pasiva anticuerpo contra HAV de su madre, en comparación con quienes han recibido la vacuna y que no tienen tales anticuerpos. Están en marcha estudios sobre la capacidad inmunógena de la vacuna de hepatitis A en lactantes.</w:t>
      </w:r>
    </w:p>
    <w:p w14:paraId="7941FFEA"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Eficacia.</w:t>
      </w:r>
      <w:r>
        <w:t xml:space="preserve"> En estudios doble ciego, comparativos y con asignación aleatoria, la eficacia protectora para evitar la infección clínica por hepatitis A fue de 94 a 100 por ciento.</w:t>
      </w:r>
    </w:p>
    <w:p w14:paraId="7403AB97"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Duración de la protección.</w:t>
      </w:r>
      <w:r>
        <w:t xml:space="preserve"> No se ha podido precisar la necesidad de dosis de refuerzo porque tampoco se ha definido la eficacia que tienen a largo plazo las vacunas contra hepatitis A. Sin embargo, persisten anticuerpos detectables después de dos dosis, durante ocho años como mínimo en adultos, y cinco años en niños. Los modelos cinéticos sugieren que las concentraciones protectoras de anticuerpos persistirán durante 20 años, como mínimo.</w:t>
      </w:r>
    </w:p>
    <w:p w14:paraId="4BDABC29"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Vacuna en pacientes inmunodeficientes.</w:t>
      </w:r>
      <w:r>
        <w:t xml:space="preserve"> La respuesta inmunitaria en dichos pacientes, que incluyen las personas infectadas con el virus de inmunodeficiencia humana, pudiera ser subóptima.</w:t>
      </w:r>
    </w:p>
    <w:p w14:paraId="217157EC"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Efecto del concentrado inmunoglobulínico en la capacidad inmunógena de la vacuna.</w:t>
      </w:r>
      <w:r>
        <w:t xml:space="preserve"> La administración simultánea de concentrado IG con la primera dosis de la vacuna no disminuye los índices de seroconversión, pero se alcanzan a veces menores concentraciones de anticuerpos séricos; es posible que esta menor capacidad inmunógena no tenga gran importancia clínica. Si se necesita protección rápida (en menos de dos semanas) después de aplicar la primera dosis de la vacuna, conviene administrar en forma concomitante el concentrado inmunoglobulínico.</w:t>
      </w:r>
    </w:p>
    <w:p w14:paraId="1446C936" w14:textId="77777777" w:rsidR="00093A32" w:rsidRDefault="00093A32">
      <w:pPr>
        <w:pStyle w:val="BodyText"/>
        <w:spacing w:line="290" w:lineRule="auto"/>
        <w:ind w:firstLine="360"/>
      </w:pPr>
      <w:r>
        <w:rPr>
          <w:rFonts w:ascii="Times New Roman" w:eastAsia="Times New Roman" w:hAnsi="Times New Roman" w:cs="Times New Roman"/>
          <w:b/>
          <w:bCs/>
          <w:i/>
          <w:iCs/>
          <w:sz w:val="16"/>
          <w:szCs w:val="16"/>
        </w:rPr>
        <w:t>Intercambio de vacunas.</w:t>
      </w:r>
      <w:r>
        <w:t xml:space="preserve"> Vaqta y Havrix, si se administran en la forma recomendada al parecer muestran eficacia similar. Estudios en adultos no han detectado ninguna diferencia en la capacidad inmunógena de una serie de vacunas en que hubo mezcla de las dos disponibles en el comercio, en comparación con el uso de la misma vacuna durante todo el calendario aprobado. Por tal razón, a pesar de que es preferible completar el régimen de vacunación con el mismo producto, es aceptable cambiarlo por el otro.</w:t>
      </w:r>
    </w:p>
    <w:p w14:paraId="7AA1D33D"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Administración con otras vacunas.</w:t>
      </w:r>
      <w:r>
        <w:t xml:space="preserve"> Los escasos datos de estudios en adultos indican que la vacuna de hepatitis A puede aplicarse en forma simultánea con otras vacunas. Es importante aplicar las vacunas en jeringuillas separadas y en sitios independientes (véase “Administración simultánea de múltiples vacunas”, sección 1).</w:t>
      </w:r>
    </w:p>
    <w:p w14:paraId="2D31B4F6"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Reacciones adversas.</w:t>
      </w:r>
      <w:r>
        <w:t xml:space="preserve"> Las reacciones en cuestión son leves e incluyen dolor local y, con menor frecuencia, induración en el sitio de la inyección. No se han notificado reacciones graves atribuidas definitivamente a la vacuna contra hepatitis A.</w:t>
      </w:r>
    </w:p>
    <w:p w14:paraId="66F80720"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Precauciones y contraindicaciones.</w:t>
      </w:r>
      <w:r>
        <w:t xml:space="preserve"> Es importante no administrar la vacuna a personas con hipersensibilidad a cualquiera de sus componentes. No se dispone de datos de inocuidad en embarazadas, aunque se considera que el riesgo es pequeño o nulo porque la vacuna contiene proteínas víricas purificadas inactivadas.</w:t>
      </w:r>
    </w:p>
    <w:p w14:paraId="54363496"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Pruebas serológicas antes de la vacunación.</w:t>
      </w:r>
      <w:r>
        <w:t xml:space="preserve"> Por lo común no se recomienda practicar en niños tales pruebas para búsqueda del anticuerpo contra HAV. Tal estrategia pudiera convenir económicamente en el caso de personas que tienen la gran posibilidad de estar inmunes por una infección previa, incluidos los individuos cuya niñez temprana transcurrió en un área de gran endemicidad, sujetos con el antecedente de ictericia que quizá pudo haber sido causada por HAV y personas mayores de 40 años.</w:t>
      </w:r>
    </w:p>
    <w:p w14:paraId="3E8C2FCA" w14:textId="77777777" w:rsidR="00093A32" w:rsidRDefault="00093A32">
      <w:pPr>
        <w:pStyle w:val="BodyText"/>
        <w:spacing w:after="220" w:line="276" w:lineRule="auto"/>
        <w:ind w:firstLine="360"/>
      </w:pPr>
      <w:r>
        <w:rPr>
          <w:rFonts w:ascii="Times New Roman" w:eastAsia="Times New Roman" w:hAnsi="Times New Roman" w:cs="Times New Roman"/>
          <w:b/>
          <w:bCs/>
          <w:i/>
          <w:iCs/>
          <w:sz w:val="16"/>
          <w:szCs w:val="16"/>
        </w:rPr>
        <w:t>Pruebas serológicas después de la vacunación.</w:t>
      </w:r>
      <w:r>
        <w:t xml:space="preserve"> Tampoco está indicada la práctica de tales pruebas para identificar anticuerpos contra HAV por las altas cifras de seroconversión en adultos y niños. Además, los métodos que se distribuyen en el comercio para medir anticuerpos contra HAV no detectan niveles bajos de anticuerpos inducidos por la primera dosis de la vacuna, que a pesar de ser bajos son protectores.</w:t>
      </w:r>
    </w:p>
    <w:p w14:paraId="2312354C" w14:textId="77777777" w:rsidR="00093A32" w:rsidRDefault="00093A32">
      <w:pPr>
        <w:pStyle w:val="Other0"/>
        <w:spacing w:line="240" w:lineRule="auto"/>
        <w:ind w:firstLine="0"/>
        <w:rPr>
          <w:sz w:val="20"/>
          <w:szCs w:val="20"/>
        </w:rPr>
      </w:pPr>
      <w:r>
        <w:rPr>
          <w:b/>
          <w:bCs/>
          <w:smallCaps/>
          <w:sz w:val="20"/>
          <w:szCs w:val="20"/>
        </w:rPr>
        <w:t>R</w:t>
      </w:r>
      <w:r>
        <w:rPr>
          <w:b/>
          <w:bCs/>
          <w:smallCaps/>
          <w:sz w:val="16"/>
          <w:szCs w:val="16"/>
        </w:rPr>
        <w:t>ecomendaciones para la inmunoprofilaxia</w:t>
      </w:r>
      <w:r>
        <w:rPr>
          <w:b/>
          <w:bCs/>
          <w:smallCaps/>
          <w:sz w:val="20"/>
          <w:szCs w:val="20"/>
        </w:rPr>
        <w:t>:</w:t>
      </w:r>
    </w:p>
    <w:p w14:paraId="0C936114" w14:textId="77777777" w:rsidR="00093A32" w:rsidRDefault="00093A32">
      <w:pPr>
        <w:pStyle w:val="Bodytext80"/>
        <w:rPr>
          <w:sz w:val="15"/>
          <w:szCs w:val="15"/>
        </w:rPr>
      </w:pPr>
      <w:r>
        <w:rPr>
          <w:b/>
          <w:bCs/>
          <w:i/>
          <w:iCs/>
          <w:sz w:val="15"/>
          <w:szCs w:val="15"/>
        </w:rPr>
        <w:t>Profilaxia antes de la exposición (véase cuadro 3-21)</w:t>
      </w:r>
    </w:p>
    <w:p w14:paraId="0D000626" w14:textId="77777777" w:rsidR="00093A32" w:rsidRDefault="00093A32">
      <w:pPr>
        <w:pStyle w:val="BodyText"/>
        <w:spacing w:line="276" w:lineRule="auto"/>
        <w:ind w:firstLine="0"/>
      </w:pPr>
      <w:r>
        <w:rPr>
          <w:rFonts w:ascii="Times New Roman" w:eastAsia="Times New Roman" w:hAnsi="Times New Roman" w:cs="Times New Roman"/>
          <w:b/>
          <w:bCs/>
          <w:i/>
          <w:iCs/>
          <w:sz w:val="16"/>
          <w:szCs w:val="16"/>
        </w:rPr>
        <w:t>Viajes al extranjero.</w:t>
      </w:r>
      <w:r>
        <w:t xml:space="preserve"> En el caso de personas susceptibles que viajan a zonas con cifras endémicas intermedias o altas de infección por HAV, o que trabajan en ellas, conviene la inmunoprofilaxia antes de internarse en dichas regiones. Las zonas en cuestión incluyen países además de los de la zona occidental de Europa, Península Escandinava y Australia, Canadá, Japón y Nueva Zelanda. Entre los factores que deben considerarse al seleccionar la profilaxia activa, pasiva o de ambos tipos están el lapso que media antes del viaje, los costos relativos y la disponibilidad del concentrado IG y la vacuna contra HAV, la duración de la permanencia y la posibilidad de repetir la exposición en un nuevo viaje (véase cuadro 3-21). Independientemente de estos factores, en el caso de niños de dos años de vida y mayores siempre es preferible la vacuna y no el concentrado inmunoglobulínico, salvo que exista alguna contraindicación específica.</w:t>
      </w:r>
    </w:p>
    <w:p w14:paraId="54F89707" w14:textId="77777777" w:rsidR="00093A32" w:rsidRDefault="00093A32">
      <w:pPr>
        <w:pStyle w:val="BodyText"/>
        <w:ind w:firstLine="360"/>
      </w:pPr>
      <w:r>
        <w:t>Se considera que el concentrado inmunoglobulínico protege contra la hepatitis A inmediatamente después de aplicarlo, en tanto que no se ha definido el lapso preciso necesario para que al recibir una dosis de vacuna se genere protección, pero quizá se requieran de dos a cuatro semanas. Para asegurar la protección en viajeros que están a punto de partir, cabe administrar simultáneamente el concentrado IG (véase cuadro 3-21) y la primera dosis de la vacuna (véase antes en este resumen “Efecto del concentrado inmunoglobulínico en la capacidad inmunógena de la vacuna”). Sin embargo, no se ha evaluado en investigaciones de campo el beneficio extra de administrar conjuntamente el concentrado con la primera dosis de la vacuna, y quizá sea apenas satisfactorio.</w:t>
      </w:r>
    </w:p>
    <w:p w14:paraId="5FC6BC5C" w14:textId="77777777" w:rsidR="00093A32" w:rsidRDefault="00093A32">
      <w:pPr>
        <w:pStyle w:val="BodyText"/>
        <w:ind w:firstLine="360"/>
      </w:pPr>
      <w:r>
        <w:t>Los niños menores de dos años deben recibir sólo el concentrado porque para ellos no se ha aprobado el uso de la vacuna (véase cuadro 3-21).</w:t>
      </w:r>
    </w:p>
    <w:p w14:paraId="663506F0" w14:textId="77777777" w:rsidR="00093A32" w:rsidRDefault="00093A32">
      <w:pPr>
        <w:pStyle w:val="BodyText"/>
        <w:spacing w:line="298" w:lineRule="auto"/>
        <w:ind w:firstLine="0"/>
      </w:pPr>
      <w:r>
        <w:rPr>
          <w:rFonts w:ascii="Arial" w:eastAsia="Arial" w:hAnsi="Arial" w:cs="Arial"/>
          <w:b/>
          <w:bCs/>
          <w:i/>
          <w:iCs/>
          <w:sz w:val="15"/>
          <w:szCs w:val="15"/>
        </w:rPr>
        <w:t>Otras indicaciones para vacunación.</w:t>
      </w:r>
      <w:r>
        <w:t xml:space="preserve"> Se recomienda la aplicación sistemática de vacuna contra hepatitis A en los siguientes casos:</w:t>
      </w:r>
    </w:p>
    <w:p w14:paraId="1B580626" w14:textId="77777777" w:rsidR="00093A32" w:rsidRDefault="00093A32">
      <w:pPr>
        <w:pStyle w:val="BodyText"/>
        <w:numPr>
          <w:ilvl w:val="0"/>
          <w:numId w:val="68"/>
        </w:numPr>
        <w:tabs>
          <w:tab w:val="left" w:pos="346"/>
        </w:tabs>
        <w:spacing w:line="271" w:lineRule="auto"/>
        <w:ind w:left="360" w:hanging="360"/>
      </w:pPr>
      <w:bookmarkStart w:id="164" w:name="bookmark770"/>
      <w:bookmarkEnd w:id="164"/>
      <w:r>
        <w:rPr>
          <w:rFonts w:ascii="Times New Roman" w:eastAsia="Times New Roman" w:hAnsi="Times New Roman" w:cs="Times New Roman"/>
          <w:b/>
          <w:bCs/>
          <w:i/>
          <w:iCs/>
          <w:sz w:val="16"/>
          <w:szCs w:val="16"/>
        </w:rPr>
        <w:t>Niños que viven en comunidades estadounidenses en que siempre hay cifras altas de ataque de hepatitis A.</w:t>
      </w:r>
      <w:r>
        <w:t xml:space="preserve"> Cabe considerar que las áreas que muestran tales características epidemiológicas incluyen estados, condados y comunidades donde la incidencia anual promedio notificada de hepatitis A durante 1987 a 1997 fue el doble del promedio nacional o incluso una cifra mayor; dicho promedio es de unos 10 casos por 100 000 personas. Los estados dentro de tal categoría incluyen Arizona, Alaska, Oregon, Nuevo México, Utah, Washington, Oklahoma, Dakota del Sur, Idaho, Nevada y California. Es recomendable vacunar sistemáticamente a los niños que viven en las zonas mencionadas para disminuir en forma sostenida la incidencia de la infección. Además, cabe pensar en la vacunación sistemática en niños que viven en estados, condados y comunidades en los que las cifras notificadas de hepatitis A fueron menores del doble, pero cuando menos igual que el promedio nacional en ese lapso (p. ej., más de 10, pero menos de 20 casos por 100 000 personas). Los estados en cuestión incluyen Missouri, Texas, Colorado, Arkansas, Montana y Wyoming. En Estados Unidos se ha aprobado el uso de la vacuna contra hepatitis A sólo en niños de dos años y mayores. Además, cabe considerar que los programas de vacunación contra tal enfermedad desterrarán las epidemias activas a nivel comunitario. Sin embargo, en términos generales son escasos los datos publicados que sugieren el efecto de dichos programas, y los intentos se orientarían mejor a la vacunación sistemática y constante para evitar futuras epidemias.</w:t>
      </w:r>
    </w:p>
    <w:p w14:paraId="1AF094EE" w14:textId="77777777" w:rsidR="00093A32" w:rsidRDefault="00093A32">
      <w:pPr>
        <w:pStyle w:val="BodyText"/>
        <w:ind w:left="360" w:firstLine="0"/>
      </w:pPr>
      <w:r>
        <w:t>En términos generales no ha sido eficaz el uso generalizado del concentrado inmunoglobulínico durante epidemias a nivel comunitario, salvo en los contactos de casos de hepatitis A, porque frecuentemente la transmisión no es detectada y la protección es breve.</w:t>
      </w:r>
    </w:p>
    <w:p w14:paraId="1A8E3FFC" w14:textId="77777777" w:rsidR="00093A32" w:rsidRDefault="00093A32">
      <w:pPr>
        <w:pStyle w:val="BodyText"/>
        <w:numPr>
          <w:ilvl w:val="0"/>
          <w:numId w:val="68"/>
        </w:numPr>
        <w:tabs>
          <w:tab w:val="left" w:pos="346"/>
        </w:tabs>
        <w:ind w:left="360" w:hanging="360"/>
      </w:pPr>
      <w:bookmarkStart w:id="165" w:name="bookmark771"/>
      <w:bookmarkEnd w:id="165"/>
      <w:r>
        <w:rPr>
          <w:rFonts w:ascii="Times New Roman" w:eastAsia="Times New Roman" w:hAnsi="Times New Roman" w:cs="Times New Roman"/>
          <w:b/>
          <w:bCs/>
          <w:i/>
          <w:iCs/>
          <w:sz w:val="16"/>
          <w:szCs w:val="16"/>
        </w:rPr>
        <w:t>Personas con hepatopatía crónica.</w:t>
      </w:r>
      <w:r>
        <w:t xml:space="preserve"> Las personas con hepatopatía crónica están expuestas a un mayor riesgo de mostrar hepatitis A fulminante, por lo que hay que vacunar a todo paciente susceptible que tiene tales padecimientos del hígado. La incidencia publicada de reacciones adversas después de vacunar contra hepatitis A a sujetos con hepatopatía crónica no ha sido mayor que la notificada en adultos sanos.</w:t>
      </w:r>
    </w:p>
    <w:p w14:paraId="5E397200" w14:textId="77777777" w:rsidR="00093A32" w:rsidRDefault="00093A32">
      <w:pPr>
        <w:pStyle w:val="BodyText"/>
        <w:numPr>
          <w:ilvl w:val="0"/>
          <w:numId w:val="68"/>
        </w:numPr>
        <w:tabs>
          <w:tab w:val="left" w:pos="346"/>
        </w:tabs>
        <w:ind w:left="360" w:hanging="360"/>
      </w:pPr>
      <w:bookmarkStart w:id="166" w:name="bookmark772"/>
      <w:bookmarkEnd w:id="166"/>
      <w:r>
        <w:rPr>
          <w:rFonts w:ascii="Times New Roman" w:eastAsia="Times New Roman" w:hAnsi="Times New Roman" w:cs="Times New Roman"/>
          <w:b/>
          <w:bCs/>
          <w:i/>
          <w:iCs/>
          <w:sz w:val="16"/>
          <w:szCs w:val="16"/>
        </w:rPr>
        <w:t>Varones homosexuales y bisexuales.</w:t>
      </w:r>
      <w:r>
        <w:t xml:space="preserve"> Los brotes de hepatitis A en varones que tienen relación sexual con personas de su mismo sexo ha sido notificada a menudo, incluso en áreas urbanas de Estados Unidos, Canadá y Australia. Por las razones mencionadas, los varones, adolescentes y adultos que sostienen relaciones homosexuales deben ser vacunados. Quizá esté justificada para personas de mayor edad en tal grupo la práctica de pruebas serológicas antes de la vacunación.</w:t>
      </w:r>
    </w:p>
    <w:p w14:paraId="5CD74077" w14:textId="77777777" w:rsidR="00093A32" w:rsidRDefault="00093A32">
      <w:pPr>
        <w:pStyle w:val="BodyText"/>
        <w:numPr>
          <w:ilvl w:val="0"/>
          <w:numId w:val="68"/>
        </w:numPr>
        <w:tabs>
          <w:tab w:val="left" w:pos="346"/>
        </w:tabs>
        <w:ind w:left="360" w:hanging="360"/>
      </w:pPr>
      <w:bookmarkStart w:id="167" w:name="bookmark773"/>
      <w:bookmarkEnd w:id="167"/>
      <w:r>
        <w:rPr>
          <w:rFonts w:ascii="Times New Roman" w:eastAsia="Times New Roman" w:hAnsi="Times New Roman" w:cs="Times New Roman"/>
          <w:b/>
          <w:bCs/>
          <w:i/>
          <w:iCs/>
          <w:sz w:val="16"/>
          <w:szCs w:val="16"/>
        </w:rPr>
        <w:t>Usuarios de agujas y jeringuillas y drogas ilegales no inyectables.</w:t>
      </w:r>
      <w:r>
        <w:t xml:space="preserve"> En los últimos 10 años, en muchas zonas de Estados Unidos y Europa se han señalado brotes periódicos en personas que comparten agujas y jeringuillas, así como en usuarios de drogas no inyectables. Es importante vacunar a los adolescentes y los adultos que consumen drogas ilegales. En el caso de personas de mayor edad dentro de tal grupo, quizá se justifique el costo de aplicar métodos serológicos antes de la vacunación.</w:t>
      </w:r>
    </w:p>
    <w:p w14:paraId="48D10699" w14:textId="77777777" w:rsidR="00093A32" w:rsidRDefault="00093A32">
      <w:pPr>
        <w:pStyle w:val="BodyText"/>
        <w:numPr>
          <w:ilvl w:val="0"/>
          <w:numId w:val="68"/>
        </w:numPr>
        <w:tabs>
          <w:tab w:val="left" w:pos="331"/>
        </w:tabs>
        <w:ind w:left="320" w:hanging="320"/>
      </w:pPr>
      <w:bookmarkStart w:id="168" w:name="bookmark774"/>
      <w:bookmarkEnd w:id="168"/>
      <w:r>
        <w:rPr>
          <w:rFonts w:ascii="Times New Roman" w:eastAsia="Times New Roman" w:hAnsi="Times New Roman" w:cs="Times New Roman"/>
          <w:b/>
          <w:bCs/>
          <w:i/>
          <w:iCs/>
          <w:sz w:val="16"/>
          <w:szCs w:val="16"/>
        </w:rPr>
        <w:t>Pacientes con trastornos de los factores de coagulación.</w:t>
      </w:r>
      <w:r>
        <w:t xml:space="preserve"> Se ha sabido de brotes confirmados de hepatitis A en hemofílicos que recibían los concentrados de factor VIII y IX tratados con solvente-detergente, más bien en Europa, aunque se tiene noticias de un caso en Estados Unidos. Por todo lo mencionado, es necesario vacunar a personas susceptibles que reciben concentrados de factores de coagulación, en particular los preparados tratados con las dos sustancias mencionadas. Tal vez se justifique el costo de practicar estudios para detectar anticuerpos contra HAV desde antes de la vacunación.</w:t>
      </w:r>
    </w:p>
    <w:p w14:paraId="15F6EE9B" w14:textId="77777777" w:rsidR="00093A32" w:rsidRDefault="00093A32">
      <w:pPr>
        <w:pStyle w:val="BodyText"/>
        <w:numPr>
          <w:ilvl w:val="0"/>
          <w:numId w:val="68"/>
        </w:numPr>
        <w:tabs>
          <w:tab w:val="left" w:pos="331"/>
        </w:tabs>
        <w:spacing w:line="276" w:lineRule="auto"/>
        <w:ind w:left="320" w:hanging="320"/>
      </w:pPr>
      <w:bookmarkStart w:id="169" w:name="bookmark775"/>
      <w:bookmarkEnd w:id="169"/>
      <w:r>
        <w:rPr>
          <w:rFonts w:ascii="Times New Roman" w:eastAsia="Times New Roman" w:hAnsi="Times New Roman" w:cs="Times New Roman"/>
          <w:b/>
          <w:bCs/>
          <w:i/>
          <w:iCs/>
          <w:sz w:val="16"/>
          <w:szCs w:val="16"/>
        </w:rPr>
        <w:t>Personas en peligro de mostrar exposición ocupacional (como los manejadores de primates no humanos y personas que trabajan con HAV en laboratorios de investigación).</w:t>
      </w:r>
      <w:r>
        <w:t xml:space="preserve"> Se ha informado de brotes de hepatitis A en personas que trabajan con primates no humanos y que son susceptibles a la infección por dicho virus. Los primates infectados han sido los nacidos en selvas y no aquellos nacidos</w:t>
      </w:r>
    </w:p>
    <w:p w14:paraId="3D2C6DAD" w14:textId="77777777" w:rsidR="00093A32" w:rsidRDefault="00093A32">
      <w:pPr>
        <w:pStyle w:val="BodyText"/>
        <w:spacing w:after="220"/>
        <w:ind w:firstLine="320"/>
      </w:pPr>
      <w:r>
        <w:t>y criados en cautiverio.</w:t>
      </w:r>
    </w:p>
    <w:p w14:paraId="6C78569E" w14:textId="77777777" w:rsidR="00093A32" w:rsidRDefault="00093A32">
      <w:pPr>
        <w:pStyle w:val="Bodytext80"/>
        <w:rPr>
          <w:sz w:val="15"/>
          <w:szCs w:val="15"/>
        </w:rPr>
      </w:pPr>
      <w:r>
        <w:rPr>
          <w:b/>
          <w:bCs/>
          <w:i/>
          <w:iCs/>
          <w:sz w:val="15"/>
          <w:szCs w:val="15"/>
        </w:rPr>
        <w:t>Vacunación contra hepatitis A en otras situaciones:</w:t>
      </w:r>
    </w:p>
    <w:p w14:paraId="5F9FE442" w14:textId="77777777" w:rsidR="00093A32" w:rsidRDefault="00093A32">
      <w:pPr>
        <w:pStyle w:val="BodyText"/>
        <w:numPr>
          <w:ilvl w:val="0"/>
          <w:numId w:val="68"/>
        </w:numPr>
        <w:tabs>
          <w:tab w:val="left" w:pos="331"/>
        </w:tabs>
        <w:ind w:left="320" w:hanging="320"/>
      </w:pPr>
      <w:bookmarkStart w:id="170" w:name="bookmark776"/>
      <w:bookmarkEnd w:id="170"/>
      <w:r>
        <w:rPr>
          <w:rFonts w:ascii="Times New Roman" w:eastAsia="Times New Roman" w:hAnsi="Times New Roman" w:cs="Times New Roman"/>
          <w:b/>
          <w:bCs/>
          <w:i/>
          <w:iCs/>
          <w:sz w:val="16"/>
          <w:szCs w:val="16"/>
        </w:rPr>
        <w:t>Personal y población atendida en centros de cuidado pediátrico.</w:t>
      </w:r>
      <w:r>
        <w:t xml:space="preserve"> Los brotes de hepatitis A en centros de atención pediátrica pueden ser el punto de partida de brotes en la comunidad, pero la enfermedad en niños atendidos en tales centros más a menudo refleja la transmisión extendida desde la comunidad. Además de la profilaxia después de exposición que se recomienda (véase antes en este resumen “Pruebas serológicas después de la vacunación”), cabe plantearse la posibilidad de vacunar contra hepatitis A a niños de dos años de vida y mayores en los centros mencionados que han tenido brotes constantes o repetitivos, especialmente en comunidades en que se recomienda la vacunación sistemática de los menores.</w:t>
      </w:r>
    </w:p>
    <w:p w14:paraId="1404915E" w14:textId="77777777" w:rsidR="00093A32" w:rsidRDefault="00093A32">
      <w:pPr>
        <w:pStyle w:val="BodyText"/>
        <w:ind w:left="320"/>
      </w:pPr>
      <w:r>
        <w:t>En caso de no haber brotes constantes, también puede recurrirse a la vacunación en los centros de puericultura mencionados para llevar a la práctica en forma sistemática dicha medida contra la hepatitis A, particularmente en comunidades en que los casos en los centros comentados contribuyen en forma sustancial al número total de casos de la enfermedad y al parecer intervienen decisivamente para perpetuar los brotes a nivel comunitario.</w:t>
      </w:r>
    </w:p>
    <w:p w14:paraId="0E499160" w14:textId="77777777" w:rsidR="00093A32" w:rsidRDefault="00093A32">
      <w:pPr>
        <w:pStyle w:val="BodyText"/>
        <w:numPr>
          <w:ilvl w:val="0"/>
          <w:numId w:val="68"/>
        </w:numPr>
        <w:tabs>
          <w:tab w:val="left" w:pos="331"/>
        </w:tabs>
        <w:ind w:left="320" w:hanging="320"/>
      </w:pPr>
      <w:bookmarkStart w:id="171" w:name="bookmark777"/>
      <w:bookmarkEnd w:id="171"/>
      <w:r>
        <w:rPr>
          <w:rFonts w:ascii="Times New Roman" w:eastAsia="Times New Roman" w:hAnsi="Times New Roman" w:cs="Times New Roman"/>
          <w:b/>
          <w:bCs/>
          <w:i/>
          <w:iCs/>
          <w:sz w:val="16"/>
          <w:szCs w:val="16"/>
        </w:rPr>
        <w:t>Instituciones de cuidado a largo plazo.</w:t>
      </w:r>
      <w:r>
        <w:t xml:space="preserve"> En los decenios de 1970 y 1980 se informó de epidemias de hepatitis A en instituciones de esa índole, pero en fecha reciente son pocos los casos notificados. Sin embargo, en instituciones en que está en marcha un brote de hepatitis A puede considerarse la aplicación de la vacuna contra la enfermedad además del concentrado inmunoglobulínico, tal como convendría en la profilaxia después de exposición (véase antes en este resumen “Pruebas serológicas después de la vacunación”) para el personal y los niños atendidos en las instituciones.</w:t>
      </w:r>
    </w:p>
    <w:p w14:paraId="375ADBA1" w14:textId="77777777" w:rsidR="00093A32" w:rsidRDefault="00093A32">
      <w:pPr>
        <w:pStyle w:val="BodyText"/>
        <w:numPr>
          <w:ilvl w:val="0"/>
          <w:numId w:val="68"/>
        </w:numPr>
        <w:tabs>
          <w:tab w:val="left" w:pos="331"/>
        </w:tabs>
        <w:spacing w:after="120"/>
        <w:ind w:left="320" w:hanging="320"/>
      </w:pPr>
      <w:bookmarkStart w:id="172" w:name="bookmark778"/>
      <w:bookmarkEnd w:id="172"/>
      <w:r>
        <w:rPr>
          <w:rFonts w:ascii="Times New Roman" w:eastAsia="Times New Roman" w:hAnsi="Times New Roman" w:cs="Times New Roman"/>
          <w:b/>
          <w:bCs/>
          <w:i/>
          <w:iCs/>
          <w:sz w:val="16"/>
          <w:szCs w:val="16"/>
        </w:rPr>
        <w:t>Personal de hospital.</w:t>
      </w:r>
      <w:r>
        <w:t xml:space="preserve"> Por lo común, la aparición de hepatitis A en personal nosocomial se ha producido por la propagación a partir de pacientes con infección aguda en quienes no se identificó la infección por HAV ni se diagnosticó. Hay que insistir en prácticas cuidadosas de higiene cuando se interna en un hospital a una persona con infección de hepatitis A. Cuando surgen los brotes, se recomienda la aplicación de concentrado inmunoglobulínico para personas en contacto muy cercano con pacientes infectados (véase después en este resumen “Instituciones y hospitales”). No se ha estudiado la conveniencia de la vacuna contra hepatitis A en tales situaciones. No se recomienda el uso sistemático de vacuna contra hepatitis A para el personal hospitalario, antes de la exposición.</w:t>
      </w:r>
    </w:p>
    <w:p w14:paraId="33A87B77" w14:textId="77777777" w:rsidR="00093A32" w:rsidRDefault="00093A32">
      <w:pPr>
        <w:pStyle w:val="BodyText"/>
        <w:numPr>
          <w:ilvl w:val="0"/>
          <w:numId w:val="68"/>
        </w:numPr>
        <w:tabs>
          <w:tab w:val="left" w:pos="339"/>
        </w:tabs>
        <w:ind w:left="360" w:hanging="360"/>
      </w:pPr>
      <w:bookmarkStart w:id="173" w:name="bookmark779"/>
      <w:bookmarkEnd w:id="173"/>
      <w:r>
        <w:rPr>
          <w:rFonts w:ascii="Times New Roman" w:eastAsia="Times New Roman" w:hAnsi="Times New Roman" w:cs="Times New Roman"/>
          <w:b/>
          <w:bCs/>
          <w:i/>
          <w:iCs/>
          <w:sz w:val="16"/>
          <w:szCs w:val="16"/>
        </w:rPr>
        <w:t>Manejadores de alimentos.</w:t>
      </w:r>
      <w:r>
        <w:t xml:space="preserve"> En Estados Unidos son relativamente infrecuentes los brotes identificados de hepatitis A transmitida por alimentos, y por lo común dependen de contaminación de alimentos crudos durante la fase de preparación por parte de un manejador infectado que tiene HAV. La forma más importante de evitar tales brotes lo constituyen las prácticas cuidadosas de higiene durante la preparación de alimentos. No se recomienda la vacunación sistemática contra la hepatitis A en tales personas.</w:t>
      </w:r>
    </w:p>
    <w:p w14:paraId="6195651C" w14:textId="77777777" w:rsidR="00093A32" w:rsidRDefault="00093A32">
      <w:pPr>
        <w:pStyle w:val="BodyText"/>
        <w:numPr>
          <w:ilvl w:val="0"/>
          <w:numId w:val="68"/>
        </w:numPr>
        <w:tabs>
          <w:tab w:val="left" w:pos="339"/>
        </w:tabs>
        <w:spacing w:after="220"/>
        <w:ind w:left="360" w:hanging="360"/>
      </w:pPr>
      <w:bookmarkStart w:id="174" w:name="bookmark780"/>
      <w:bookmarkEnd w:id="174"/>
      <w:r>
        <w:rPr>
          <w:rFonts w:ascii="Times New Roman" w:eastAsia="Times New Roman" w:hAnsi="Times New Roman" w:cs="Times New Roman"/>
          <w:b/>
          <w:bCs/>
          <w:i/>
          <w:iCs/>
          <w:sz w:val="16"/>
          <w:szCs w:val="16"/>
        </w:rPr>
        <w:t>Otros.</w:t>
      </w:r>
      <w:r>
        <w:t xml:space="preserve"> Además, cualquier persona sana de dos años de vida y mayor puede necesitar vacuna contra hepatitis A a discreción del médico, el paciente o su familia.</w:t>
      </w:r>
    </w:p>
    <w:p w14:paraId="3B54DE0E" w14:textId="77777777" w:rsidR="00093A32" w:rsidRDefault="00093A32">
      <w:pPr>
        <w:pStyle w:val="BodyText"/>
        <w:spacing w:line="288" w:lineRule="auto"/>
        <w:ind w:firstLine="0"/>
      </w:pPr>
      <w:r>
        <w:rPr>
          <w:rFonts w:ascii="Arial" w:eastAsia="Arial" w:hAnsi="Arial" w:cs="Arial"/>
          <w:b/>
          <w:bCs/>
          <w:i/>
          <w:iCs/>
          <w:sz w:val="15"/>
          <w:szCs w:val="15"/>
        </w:rPr>
        <w:t>Profilaxia después de exposición (véase cuadro 3-22).</w:t>
      </w:r>
      <w:r>
        <w:t xml:space="preserve"> El empleo del concentrado inmunoglobulínico es recomendable en los casos siguientes (consultar las dosis en el cuadro 3-22):</w:t>
      </w:r>
    </w:p>
    <w:p w14:paraId="41D794BB" w14:textId="77777777" w:rsidR="00093A32" w:rsidRDefault="00093A32">
      <w:pPr>
        <w:pStyle w:val="BodyText"/>
        <w:numPr>
          <w:ilvl w:val="0"/>
          <w:numId w:val="68"/>
        </w:numPr>
        <w:tabs>
          <w:tab w:val="left" w:pos="339"/>
        </w:tabs>
        <w:ind w:left="360" w:hanging="360"/>
      </w:pPr>
      <w:bookmarkStart w:id="175" w:name="bookmark781"/>
      <w:bookmarkEnd w:id="175"/>
      <w:r>
        <w:rPr>
          <w:rFonts w:ascii="Times New Roman" w:eastAsia="Times New Roman" w:hAnsi="Times New Roman" w:cs="Times New Roman"/>
          <w:b/>
          <w:bCs/>
          <w:i/>
          <w:iCs/>
          <w:sz w:val="16"/>
          <w:szCs w:val="16"/>
        </w:rPr>
        <w:t>Contactos del núcleo familiar y de orden sexual.</w:t>
      </w:r>
      <w:r>
        <w:t xml:space="preserve"> Es importante que todas las personas no vacunadas que mantengan contacto personal muy cercano con un paciente de hepatitis A, como el que ocurriría con un contacto del núcleo familiar o de orden sexual, reciban concentrado inmunoglobulínico (IG) en término de dos semanas de haber ocurrido la exposición más reciente. No es recomendable la práctica de estudios serológicos de los contactos porque tal medida agregaría costos innecesarios y podría retrasar la administración del concentrado. No está indicado el uso del concentrado, si han transcurrido más de dos semanas después de la exposición más reciente.</w:t>
      </w:r>
    </w:p>
    <w:p w14:paraId="06719504" w14:textId="77777777" w:rsidR="00093A32" w:rsidRDefault="00093A32">
      <w:pPr>
        <w:pStyle w:val="BodyText"/>
        <w:numPr>
          <w:ilvl w:val="0"/>
          <w:numId w:val="68"/>
        </w:numPr>
        <w:tabs>
          <w:tab w:val="left" w:pos="339"/>
        </w:tabs>
        <w:ind w:left="360" w:hanging="360"/>
      </w:pPr>
      <w:bookmarkStart w:id="176" w:name="bookmark782"/>
      <w:bookmarkEnd w:id="176"/>
      <w:r>
        <w:rPr>
          <w:rFonts w:ascii="Times New Roman" w:eastAsia="Times New Roman" w:hAnsi="Times New Roman" w:cs="Times New Roman"/>
          <w:b/>
          <w:bCs/>
          <w:i/>
          <w:iCs/>
          <w:sz w:val="16"/>
          <w:szCs w:val="16"/>
        </w:rPr>
        <w:t>Hijos neonatos de madres infectadas por HAV.</w:t>
      </w:r>
      <w:r>
        <w:t xml:space="preserve"> Es rara la transmisión de HAV en el periodo perinatal. Algunos expertos recomiendan aplicar el concentrado (0.02 ml/kg) al neonato si los síntomas de su madre comenzaron entre dos semanas antes del parto y una semana después de éste. No se ha definido su eficacia en tales circunstancias. Pocas veces la enfermedad grave ataca a productos sanos.</w:t>
      </w:r>
    </w:p>
    <w:p w14:paraId="4E6E6E14" w14:textId="77777777" w:rsidR="00093A32" w:rsidRDefault="00093A32">
      <w:pPr>
        <w:pStyle w:val="BodyText"/>
        <w:numPr>
          <w:ilvl w:val="0"/>
          <w:numId w:val="68"/>
        </w:numPr>
        <w:tabs>
          <w:tab w:val="left" w:pos="339"/>
        </w:tabs>
        <w:spacing w:after="220"/>
        <w:ind w:left="360" w:hanging="360"/>
      </w:pPr>
      <w:bookmarkStart w:id="177" w:name="bookmark783"/>
      <w:bookmarkEnd w:id="177"/>
      <w:r>
        <w:rPr>
          <w:rFonts w:ascii="Times New Roman" w:eastAsia="Times New Roman" w:hAnsi="Times New Roman" w:cs="Times New Roman"/>
          <w:b/>
          <w:bCs/>
          <w:i/>
          <w:iCs/>
          <w:sz w:val="16"/>
          <w:szCs w:val="16"/>
        </w:rPr>
        <w:t>Personal de un centro de atención pediátrica, empleados, niños y sus contactos del núcleo familiar.</w:t>
      </w:r>
      <w:r>
        <w:t xml:space="preserve"> Conviene practicar estudios serológicos para confirmar la existencia de infección por HAV en casos sospechosos. Si se identifica dicha infección en un empleado o en un niño atendido en un centro en el cual todos los menores tienen control de esfínteres, se recomienda aplicar el concentrado inmunoglobulínico en empleados que no han sido vacunados y que están en contacto con el primer caso declarado y en niños no vacunados que comparten la misma sala que dicho primer paciente.</w:t>
      </w:r>
    </w:p>
    <w:p w14:paraId="7D81D4DF" w14:textId="77777777" w:rsidR="00093A32" w:rsidRDefault="00093A32">
      <w:pPr>
        <w:pStyle w:val="BodyText"/>
        <w:ind w:firstLine="360"/>
      </w:pPr>
      <w:r>
        <w:t>Cuando se identifica la infección por HAV en un empleado, un niño o un miembro del núcleo familiar de dos o más de los niños que son atendidos en el centro de puericultura, en el cual los menores todavía no tienen control de esfínteres, se recomienda aplicar el concentrado en todos los empleados y niños no vacunados, en tal institución. En las seis semanas después de identificar el último caso también deben recibir el concentrado los empleados nuevos y los niños no vacunados.</w:t>
      </w:r>
    </w:p>
    <w:p w14:paraId="78D06685" w14:textId="77777777" w:rsidR="00093A32" w:rsidRDefault="00093A32">
      <w:pPr>
        <w:pStyle w:val="BodyText"/>
        <w:ind w:firstLine="360"/>
      </w:pPr>
      <w:r>
        <w:t>La vacuna contra hepatitis A se puede administrar con el concentrado a niños no vacunados, y se recomienda la vacunación sistemática de menores en la comunidad (véase “Inmunización activa de personas que han recibido recientemente concentrados de inmunoglobulinas”, sección 1).</w:t>
      </w:r>
    </w:p>
    <w:p w14:paraId="6DF9F1BA" w14:textId="77777777" w:rsidR="00093A32" w:rsidRDefault="00093A32">
      <w:pPr>
        <w:pStyle w:val="BodyText"/>
        <w:ind w:firstLine="360"/>
        <w:sectPr w:rsidR="00093A32" w:rsidSect="00093A32">
          <w:headerReference w:type="even" r:id="rId348"/>
          <w:headerReference w:type="default" r:id="rId349"/>
          <w:footerReference w:type="even" r:id="rId350"/>
          <w:footerReference w:type="default" r:id="rId351"/>
          <w:type w:val="continuous"/>
          <w:pgSz w:w="8501" w:h="13022"/>
          <w:pgMar w:top="705" w:right="766" w:bottom="438" w:left="812" w:header="0" w:footer="3" w:gutter="0"/>
          <w:cols w:space="720"/>
          <w:noEndnote/>
          <w:docGrid w:linePitch="360"/>
          <w15:footnoteColumns w:val="1"/>
        </w:sectPr>
      </w:pPr>
      <w:r>
        <w:t xml:space="preserve">Si la identificación del brote de hepatitis A en un centro de atención pediátrica se retrasa tres semanas o más desde que se identifica el primer caso, o si la enfermedad </w:t>
      </w:r>
    </w:p>
    <w:p w14:paraId="28BB5EB0" w14:textId="77777777" w:rsidR="00093A32" w:rsidRDefault="00093A32">
      <w:pPr>
        <w:pStyle w:val="BodyText"/>
        <w:ind w:firstLine="0"/>
      </w:pPr>
      <w:r>
        <w:t>afectó a tres familias o más, es posible que ya se haya propagado ampliamente la infección. En dichas circunstancias habrá que pensar en la aplicación del concentrado IG a miembros del núcleo familiar de los niños atendidos en el centro.</w:t>
      </w:r>
    </w:p>
    <w:p w14:paraId="372C51FE" w14:textId="77777777" w:rsidR="00093A32" w:rsidRDefault="00093A32">
      <w:pPr>
        <w:pStyle w:val="BodyText"/>
        <w:ind w:firstLine="360"/>
      </w:pPr>
      <w:r>
        <w:t>Es importante alejar del centro a todos los niños y los adultos con infección aguda por HAV hasta una semana después de haber comenzado la enfermedad, hasta que se haya completado el programa de profilaxia con inmunoglobulina o hasta que sea dirigido por el departamento sanitario correspondiente. A pesar de que no se dispone de datos precisos que indiquen cuándo comienza la protección después de aplicar una dosis de IG, parece razonable permitir a quienes han recibido el concentrado reanudar sus labores en el centro de atención inmediatamente después de haber recibido la dosis de dicho preparado inmunoglobulínico.</w:t>
      </w:r>
    </w:p>
    <w:p w14:paraId="3A523EC3" w14:textId="77777777" w:rsidR="00093A32" w:rsidRDefault="00093A32">
      <w:pPr>
        <w:pStyle w:val="BodyText"/>
        <w:numPr>
          <w:ilvl w:val="0"/>
          <w:numId w:val="68"/>
        </w:numPr>
        <w:tabs>
          <w:tab w:val="left" w:pos="338"/>
        </w:tabs>
        <w:ind w:left="360" w:hanging="360"/>
      </w:pPr>
      <w:bookmarkStart w:id="178" w:name="bookmark784"/>
      <w:bookmarkEnd w:id="178"/>
      <w:r>
        <w:rPr>
          <w:rFonts w:ascii="Times New Roman" w:eastAsia="Times New Roman" w:hAnsi="Times New Roman" w:cs="Times New Roman"/>
          <w:b/>
          <w:bCs/>
          <w:i/>
          <w:iCs/>
          <w:sz w:val="16"/>
          <w:szCs w:val="16"/>
        </w:rPr>
        <w:t>Escuelas.</w:t>
      </w:r>
      <w:r>
        <w:t xml:space="preserve"> La exposición en el salón de clases generalmente no conlleva un peligro considerable de infección, y cuando surge un solo caso no está indicada la administración del concentrado IG. Sin embargo, cabe utilizarlo si se corrobora que hubo contagio en el entorno escolar. Puede aplicarse la vacuna contra hepatitis A además de la inmunoglobulina si es recomendable vacunar sistemáticamente a los niños de la comunidad.</w:t>
      </w:r>
    </w:p>
    <w:p w14:paraId="003E8F3E" w14:textId="77777777" w:rsidR="00093A32" w:rsidRDefault="00093A32">
      <w:pPr>
        <w:pStyle w:val="BodyText"/>
        <w:numPr>
          <w:ilvl w:val="0"/>
          <w:numId w:val="68"/>
        </w:numPr>
        <w:tabs>
          <w:tab w:val="left" w:pos="338"/>
        </w:tabs>
        <w:ind w:left="360" w:hanging="360"/>
      </w:pPr>
      <w:bookmarkStart w:id="179" w:name="bookmark785"/>
      <w:bookmarkEnd w:id="179"/>
      <w:r>
        <w:rPr>
          <w:rFonts w:ascii="Times New Roman" w:eastAsia="Times New Roman" w:hAnsi="Times New Roman" w:cs="Times New Roman"/>
          <w:b/>
          <w:bCs/>
          <w:i/>
          <w:iCs/>
          <w:sz w:val="16"/>
          <w:szCs w:val="16"/>
        </w:rPr>
        <w:t>Instituciones y hospitales.</w:t>
      </w:r>
      <w:r>
        <w:t xml:space="preserve"> En instituciones para el cuidado a largo plazo, en que ha surgido un brote de infección por HAV, deben recibir concentrado IG los niños atendidos y el personal en contacto muy cercano con los pacientes infectados. No está indicada sistemáticamente la administración del concentrado a personal del hospital que atiende a niños con hepatitis A, salvo que se haya corroborado un brote en los pacientes o entre ellos y el personal. Puede considerarse la posibilidad de agregar la vacuna contra hepatitis A si se prevé que se repetirá la exposición.</w:t>
      </w:r>
    </w:p>
    <w:p w14:paraId="7B09ED2D" w14:textId="77777777" w:rsidR="00093A32" w:rsidRDefault="00093A32">
      <w:pPr>
        <w:pStyle w:val="BodyText"/>
        <w:numPr>
          <w:ilvl w:val="0"/>
          <w:numId w:val="68"/>
        </w:numPr>
        <w:tabs>
          <w:tab w:val="left" w:pos="338"/>
        </w:tabs>
        <w:ind w:left="360" w:hanging="360"/>
      </w:pPr>
      <w:bookmarkStart w:id="180" w:name="bookmark786"/>
      <w:bookmarkEnd w:id="180"/>
      <w:r>
        <w:rPr>
          <w:rFonts w:ascii="Times New Roman" w:eastAsia="Times New Roman" w:hAnsi="Times New Roman" w:cs="Times New Roman"/>
          <w:b/>
          <w:bCs/>
          <w:i/>
          <w:iCs/>
          <w:sz w:val="16"/>
          <w:szCs w:val="16"/>
        </w:rPr>
        <w:t>Exposición de fuentes comunes.</w:t>
      </w:r>
      <w:r>
        <w:t xml:space="preserve"> Estos brotes son identificados en fecha muy tardía como para que sea eficaz el concentrado IG para evitar la hepatitis A en personas expuestas, por por lo que no se recomienda su administración. Cabe pensar en la aplicación del concentrado inmunoglobulínico si puede administrarse a personas expuestas en un lapso no mayor de dos semanas de la última exposición a agua o alimentos contaminados por el virus.</w:t>
      </w:r>
    </w:p>
    <w:p w14:paraId="46DCC545" w14:textId="77777777" w:rsidR="00093A32" w:rsidRDefault="00093A32">
      <w:pPr>
        <w:pStyle w:val="BodyText"/>
        <w:numPr>
          <w:ilvl w:val="0"/>
          <w:numId w:val="68"/>
        </w:numPr>
        <w:tabs>
          <w:tab w:val="left" w:pos="338"/>
        </w:tabs>
        <w:spacing w:after="100"/>
        <w:ind w:left="360" w:hanging="360"/>
      </w:pPr>
      <w:bookmarkStart w:id="181" w:name="bookmark787"/>
      <w:bookmarkEnd w:id="181"/>
      <w:r>
        <w:rPr>
          <w:rFonts w:ascii="Times New Roman" w:eastAsia="Times New Roman" w:hAnsi="Times New Roman" w:cs="Times New Roman"/>
          <w:b/>
          <w:bCs/>
          <w:i/>
          <w:iCs/>
          <w:sz w:val="16"/>
          <w:szCs w:val="16"/>
        </w:rPr>
        <w:t>Vacuna contra hepatitis A para profilaxia después de exposición.</w:t>
      </w:r>
      <w:r>
        <w:t xml:space="preserve"> Los datos publicados no bastan para recomendar el uso de la vacuna contra hepatitis A sola para profilaxia después de exposición. Se necesitan estudios en seres humanos para conocer la eficacia de la vacuna contra hepatitis A en comparación con el uso de concentrado IG después de exposición.</w:t>
      </w:r>
    </w:p>
    <w:p w14:paraId="1E88BBEA" w14:textId="77777777" w:rsidR="00093A32" w:rsidRDefault="00093A32">
      <w:pPr>
        <w:pStyle w:val="Bodytext70"/>
        <w:spacing w:after="0"/>
      </w:pPr>
      <w:r>
        <w:t>Hepatitis B</w:t>
      </w:r>
    </w:p>
    <w:p w14:paraId="7E9DBD4C"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Las personas infectadas del virus de hepatitis B </w:t>
      </w:r>
      <w:r>
        <w:rPr>
          <w:i/>
          <w:iCs/>
        </w:rPr>
        <w:t>(</w:t>
      </w:r>
      <w:r>
        <w:rPr>
          <w:rFonts w:ascii="Times New Roman" w:eastAsia="Times New Roman" w:hAnsi="Times New Roman" w:cs="Times New Roman"/>
          <w:i/>
          <w:iCs/>
          <w:sz w:val="16"/>
          <w:szCs w:val="16"/>
        </w:rPr>
        <w:t>hepatitis B virus,</w:t>
      </w:r>
      <w:r>
        <w:t xml:space="preserve"> HBV) pueden mostrar signos y síntomas variados, que incluyen un cuadro subagudo con manifestaciones inespecíficas (anorexia, náuseas o malestar generalizado), hepatitis clínica con ictericia o la forma letal fulminante. Es frecuente que haya seroconversión asintomática, y la posibilidad de que surjan los síntomas de la enfermedad dependen de la edad de la persona. En niños de corta edad es más frecuente la infección anictérica o asintomática. En los comienzos de la evolución pueden surgir manifestaciones extrahepáticas, como artralgias, artritis, erupciones maculosas, trombocitopenia o acrodermatitis papulosa (síndrome de Gianotti-Crosti), antes de que surja la ictericia. Es difícil distinguir entre la hepatitis B aguda y otras formas de hepatitis aguda por virus con base sólo en los signos y síntomas clínicos o afectó a tres familias o más, es posible que ya se haya propagado ampliamente la infección. En dichas circunstancias habrá que pensar en la aplicación del concentrado IG a miembros del núcleo familiar de los niños atendidos en el centro.</w:t>
      </w:r>
    </w:p>
    <w:p w14:paraId="0473FCC8" w14:textId="77777777" w:rsidR="00093A32" w:rsidRDefault="00093A32">
      <w:pPr>
        <w:pStyle w:val="BodyText"/>
        <w:ind w:firstLine="360"/>
      </w:pPr>
      <w:r>
        <w:t>Es importante alejar del centro a todos los niños y los adultos con infección aguda por HAV hasta una semana después de haber comenzado la enfermedad, hasta que se haya completado el programa de profilaxia con inmunoglobulina o hasta que sea dirigido por el departamento sanitario correspondiente. A pesar de que no se dispone de datos precisos que indiquen cuándo comienza la protección después de aplicar una dosis de IG, parece razonable permitir a quienes han recibido el concentrado reanudar sus labores en el centro de atención inmediatamente después de haber recibido la dosis de dicho preparado inmunoglobulínico.</w:t>
      </w:r>
    </w:p>
    <w:p w14:paraId="70B534FB" w14:textId="77777777" w:rsidR="00093A32" w:rsidRDefault="00093A32">
      <w:pPr>
        <w:pStyle w:val="BodyText"/>
        <w:numPr>
          <w:ilvl w:val="0"/>
          <w:numId w:val="68"/>
        </w:numPr>
        <w:tabs>
          <w:tab w:val="left" w:pos="338"/>
        </w:tabs>
        <w:ind w:left="360" w:hanging="360"/>
      </w:pPr>
      <w:bookmarkStart w:id="182" w:name="bookmark788"/>
      <w:bookmarkEnd w:id="182"/>
      <w:r>
        <w:rPr>
          <w:rFonts w:ascii="Times New Roman" w:eastAsia="Times New Roman" w:hAnsi="Times New Roman" w:cs="Times New Roman"/>
          <w:b/>
          <w:bCs/>
          <w:i/>
          <w:iCs/>
          <w:sz w:val="16"/>
          <w:szCs w:val="16"/>
        </w:rPr>
        <w:t>Escuelas.</w:t>
      </w:r>
      <w:r>
        <w:t xml:space="preserve"> La exposición en el salón de clases generalmente no conlleva un peligro considerable de infección, y cuando surge un solo caso no está indicada la administración del concentrado IG. Sin embargo, cabe utilizarlo si se corrobora que hubo contagio en el entorno escolar. Puede aplicarse la vacuna contra hepatitis A además de la inmunoglobulina si es recomendable vacunar sistemáticamente a los niños de la comunidad.</w:t>
      </w:r>
    </w:p>
    <w:p w14:paraId="72BE8774" w14:textId="77777777" w:rsidR="00093A32" w:rsidRDefault="00093A32">
      <w:pPr>
        <w:pStyle w:val="BodyText"/>
        <w:numPr>
          <w:ilvl w:val="0"/>
          <w:numId w:val="68"/>
        </w:numPr>
        <w:tabs>
          <w:tab w:val="left" w:pos="338"/>
        </w:tabs>
        <w:ind w:left="360" w:hanging="360"/>
      </w:pPr>
      <w:bookmarkStart w:id="183" w:name="bookmark789"/>
      <w:bookmarkEnd w:id="183"/>
      <w:r>
        <w:rPr>
          <w:rFonts w:ascii="Times New Roman" w:eastAsia="Times New Roman" w:hAnsi="Times New Roman" w:cs="Times New Roman"/>
          <w:b/>
          <w:bCs/>
          <w:i/>
          <w:iCs/>
          <w:sz w:val="16"/>
          <w:szCs w:val="16"/>
        </w:rPr>
        <w:t>Instituciones y hospitales.</w:t>
      </w:r>
      <w:r>
        <w:t xml:space="preserve"> En instituciones para el cuidado a largo plazo, en que ha surgido un brote de infección por HAV, deben recibir concentrado IG los niños atendidos y el personal en contacto muy cercano con los pacientes infectados. No está indicada sistemáticamente la administración del concentrado a personal del hospital que atiende a niños con hepatitis A, salvo que se haya corroborado un brote en los pacientes o entre ellos y el personal. Puede considerarse la posibilidad de agregar la vacuna contra hepatitis A si se prevé que se repetirá la exposición.</w:t>
      </w:r>
    </w:p>
    <w:p w14:paraId="125F5A2A" w14:textId="77777777" w:rsidR="00093A32" w:rsidRDefault="00093A32">
      <w:pPr>
        <w:pStyle w:val="BodyText"/>
        <w:numPr>
          <w:ilvl w:val="0"/>
          <w:numId w:val="68"/>
        </w:numPr>
        <w:tabs>
          <w:tab w:val="left" w:pos="338"/>
        </w:tabs>
        <w:ind w:left="360" w:hanging="360"/>
      </w:pPr>
      <w:bookmarkStart w:id="184" w:name="bookmark790"/>
      <w:bookmarkEnd w:id="184"/>
      <w:r>
        <w:rPr>
          <w:rFonts w:ascii="Times New Roman" w:eastAsia="Times New Roman" w:hAnsi="Times New Roman" w:cs="Times New Roman"/>
          <w:b/>
          <w:bCs/>
          <w:i/>
          <w:iCs/>
          <w:sz w:val="16"/>
          <w:szCs w:val="16"/>
        </w:rPr>
        <w:t>Exposición de fuentes comunes.</w:t>
      </w:r>
      <w:r>
        <w:t xml:space="preserve"> Estos brotes son identificados en fecha muy tardía como para que sea eficaz el concentrado IG para evitar la hepatitis A en personas expuestas, por por lo que no se recomienda su administración. Cabe pensar en la aplicación del concentrado inmunoglobulínico si puede administrarse a personas expuestas en un lapso no mayor de dos semanas de la última exposición a agua o alimentos contaminados por el virus.</w:t>
      </w:r>
    </w:p>
    <w:p w14:paraId="6F12BBD2" w14:textId="77777777" w:rsidR="00093A32" w:rsidRDefault="00093A32">
      <w:pPr>
        <w:pStyle w:val="BodyText"/>
        <w:numPr>
          <w:ilvl w:val="0"/>
          <w:numId w:val="68"/>
        </w:numPr>
        <w:tabs>
          <w:tab w:val="left" w:pos="338"/>
        </w:tabs>
        <w:spacing w:after="100"/>
        <w:ind w:left="360" w:hanging="360"/>
      </w:pPr>
      <w:bookmarkStart w:id="185" w:name="bookmark791"/>
      <w:bookmarkEnd w:id="185"/>
      <w:r>
        <w:rPr>
          <w:rFonts w:ascii="Times New Roman" w:eastAsia="Times New Roman" w:hAnsi="Times New Roman" w:cs="Times New Roman"/>
          <w:b/>
          <w:bCs/>
          <w:i/>
          <w:iCs/>
          <w:sz w:val="16"/>
          <w:szCs w:val="16"/>
        </w:rPr>
        <w:t>Vacuna contra hepatitis A para profilaxia después de exposición.</w:t>
      </w:r>
      <w:r>
        <w:t xml:space="preserve"> Los datos publicados no bastan para recomendar el uso de la vacuna contra hepatitis A sola para profilaxia después de exposición. Se necesitan estudios en seres humanos para conocer la eficacia de la vacuna contra hepatitis A en comparación con el uso de concentrado IG después de exposición.</w:t>
      </w:r>
    </w:p>
    <w:p w14:paraId="3CBC5AD4" w14:textId="77777777" w:rsidR="00093A32" w:rsidRDefault="00093A32">
      <w:pPr>
        <w:pStyle w:val="Bodytext70"/>
        <w:spacing w:after="0"/>
      </w:pPr>
      <w:r>
        <w:t>Hepatitis B</w:t>
      </w:r>
    </w:p>
    <w:p w14:paraId="20F55474" w14:textId="77777777" w:rsidR="00093A32" w:rsidRDefault="00093A32">
      <w:pPr>
        <w:pStyle w:val="BodyText"/>
        <w:ind w:firstLine="0"/>
        <w:sectPr w:rsidR="00093A32" w:rsidSect="00093A32">
          <w:headerReference w:type="even" r:id="rId352"/>
          <w:headerReference w:type="default" r:id="rId353"/>
          <w:footerReference w:type="even" r:id="rId354"/>
          <w:footerReference w:type="default" r:id="rId355"/>
          <w:type w:val="continuous"/>
          <w:pgSz w:w="8501" w:h="13022"/>
          <w:pgMar w:top="705" w:right="766" w:bottom="438" w:left="812" w:header="0" w:footer="10" w:gutter="0"/>
          <w:cols w:space="720"/>
          <w:noEndnote/>
          <w:docGrid w:linePitch="360"/>
          <w15:footnoteColumns w:val="1"/>
        </w:sectPr>
      </w:pPr>
      <w:r>
        <w:rPr>
          <w:b/>
          <w:bCs/>
        </w:rPr>
        <w:t>M</w:t>
      </w:r>
      <w:r>
        <w:rPr>
          <w:b/>
          <w:bCs/>
          <w:sz w:val="13"/>
          <w:szCs w:val="13"/>
        </w:rPr>
        <w:t>ANIFESTACIONES CLÍNICAS</w:t>
      </w:r>
      <w:r>
        <w:rPr>
          <w:b/>
          <w:bCs/>
        </w:rPr>
        <w:t xml:space="preserve">: </w:t>
      </w:r>
      <w:r>
        <w:t xml:space="preserve">Las personas infectadas del virus de hepatitis B </w:t>
      </w:r>
      <w:r>
        <w:rPr>
          <w:i/>
          <w:iCs/>
        </w:rPr>
        <w:t>(</w:t>
      </w:r>
      <w:r>
        <w:rPr>
          <w:rFonts w:ascii="Times New Roman" w:eastAsia="Times New Roman" w:hAnsi="Times New Roman" w:cs="Times New Roman"/>
          <w:i/>
          <w:iCs/>
          <w:sz w:val="16"/>
          <w:szCs w:val="16"/>
        </w:rPr>
        <w:t>hepatitis B virus,</w:t>
      </w:r>
      <w:r>
        <w:t xml:space="preserve"> HBV) pueden mostrar signos y síntomas variados, que incluyen un cuadro subagudo con manifestaciones inespecíficas (anorexia, náuseas o malestar generalizado), hepatitis clínica con ictericia o la forma letal fulminante. Es frecuente que haya seroconversión asintomática, y la posibilidad de que surjan los síntomas de la enfermedad dependen de la edad de la persona. En niños de corta edad es más frecuente la infección anictérica o asintomática. En los comienzos de la evolución pueden surgir manifestaciones extrahepáticas, como artralgias, artritis, erupciones maculosas, trombocitopenia o acrodermatitis papulosa (síndrome de Gianotti-Crosti), antes de que surja la ictericia. Es difícil distinguir entre la hepatitis B aguda y otras formas de hepatitis aguda por virus con base sólo en los signos y síntomas clínicos o </w:t>
      </w:r>
    </w:p>
    <w:p w14:paraId="7EB5AD05" w14:textId="77777777" w:rsidR="00093A32" w:rsidRDefault="00093A32">
      <w:pPr>
        <w:pStyle w:val="BodyText"/>
        <w:ind w:firstLine="0"/>
      </w:pPr>
      <w:r>
        <w:t xml:space="preserve">datos inespecíficos de estudios de laboratorio. La infección crónica por HBV se define como la presencia del antígeno de superficie de hepatitis B </w:t>
      </w:r>
      <w:r>
        <w:rPr>
          <w:i/>
          <w:iCs/>
        </w:rPr>
        <w:t>(</w:t>
      </w:r>
      <w:r>
        <w:rPr>
          <w:rFonts w:ascii="Times New Roman" w:eastAsia="Times New Roman" w:hAnsi="Times New Roman" w:cs="Times New Roman"/>
          <w:i/>
          <w:iCs/>
          <w:sz w:val="16"/>
          <w:szCs w:val="16"/>
        </w:rPr>
        <w:t>hepatitis B surface antigen</w:t>
      </w:r>
      <w:r>
        <w:rPr>
          <w:i/>
          <w:iCs/>
        </w:rPr>
        <w:t xml:space="preserve">, </w:t>
      </w:r>
      <w:r>
        <w:t xml:space="preserve">HBsAg) en el suero durante seis meses, como mínimo, o por la presencia de dicho antígeno en una persona que no ha generado anticuerpos de la subclase IgM al antígeno central de hepatitis B </w:t>
      </w:r>
      <w:r>
        <w:rPr>
          <w:i/>
          <w:iCs/>
        </w:rPr>
        <w:t>(</w:t>
      </w:r>
      <w:r>
        <w:rPr>
          <w:rFonts w:ascii="Times New Roman" w:eastAsia="Times New Roman" w:hAnsi="Times New Roman" w:cs="Times New Roman"/>
          <w:i/>
          <w:iCs/>
          <w:sz w:val="16"/>
          <w:szCs w:val="16"/>
        </w:rPr>
        <w:t>hepatitis B core antigen,</w:t>
      </w:r>
      <w:r>
        <w:t xml:space="preserve"> anti-HBc).</w:t>
      </w:r>
    </w:p>
    <w:p w14:paraId="1ABB9294" w14:textId="77777777" w:rsidR="00093A32" w:rsidRDefault="00093A32">
      <w:pPr>
        <w:pStyle w:val="BodyText"/>
        <w:ind w:firstLine="360"/>
      </w:pPr>
      <w:r>
        <w:t>El elemento determinante del riesgo de que el trastorno evolucione hasta volverse crónico es la edad en que ocurrió la infección aguda. Más de 90% de los lactantes infectados en fase perinatal terminarán por mostrar infección crónica (HBV). De 25 a 50% de los niños infectados cuando tenían entre uno y cinco años de edad terminarán siendo enfermos crónicos, en tanto que sólo 6 a 10% de niños mayores y adultos con la infección aguda terminarán por mostrar la infección crónica. Los sujetos que muestran la infección aguda por HBV cuando están en una fase de inmunosupresión o cuando tienen una enfermedad crónica primaria están expuestos a un mayor peligro de sufrir la infección crónica. Hasta 25% de los lactantes y niños de mayor edad que se contagian de la infección crónica por HBV al final mostrarán un carcinoma hepatocelular o cirrosis vinculada con dicho virus.</w:t>
      </w:r>
    </w:p>
    <w:p w14:paraId="28F2F1B0" w14:textId="77777777" w:rsidR="00093A32" w:rsidRDefault="00093A32">
      <w:pPr>
        <w:pStyle w:val="BodyText"/>
        <w:ind w:firstLine="360"/>
      </w:pPr>
      <w:r>
        <w:t>El pronóstico clínico de la infección crónica no tratada varía con la población estudiada, y refleja diferencias en la edad de contagio, la cifra de pérdida del antígeno e de hepatitis B (</w:t>
      </w:r>
      <w:r>
        <w:rPr>
          <w:rFonts w:ascii="Times New Roman" w:eastAsia="Times New Roman" w:hAnsi="Times New Roman" w:cs="Times New Roman"/>
          <w:i/>
          <w:iCs/>
          <w:sz w:val="16"/>
          <w:szCs w:val="16"/>
        </w:rPr>
        <w:t>hepatitis B e antigen</w:t>
      </w:r>
      <w:r>
        <w:t xml:space="preserve">, HBeAg) y quizá el genotipo del paciente. Los niños infectados en fase perinatal suelen tener concentraciones normales de transaminasa de alanina </w:t>
      </w:r>
      <w:r>
        <w:rPr>
          <w:i/>
          <w:iCs/>
        </w:rPr>
        <w:t>(</w:t>
      </w:r>
      <w:r>
        <w:rPr>
          <w:rFonts w:ascii="Times New Roman" w:eastAsia="Times New Roman" w:hAnsi="Times New Roman" w:cs="Times New Roman"/>
          <w:i/>
          <w:iCs/>
          <w:sz w:val="16"/>
          <w:szCs w:val="16"/>
        </w:rPr>
        <w:t>alanine transaminase</w:t>
      </w:r>
      <w:r>
        <w:rPr>
          <w:i/>
          <w:iCs/>
        </w:rPr>
        <w:t>,</w:t>
      </w:r>
      <w:r>
        <w:t xml:space="preserve"> ALT) y cambios mínimos o leves en la arquitectura histológica del hígado durante años o decenios después de la infección inicial (“fase de tolerancia”). La infección crónica adquirida en etapa ulterior de la niñez o en la adolescencia generalmente se acompaña de un ataque más activo del hígado y mayores concentraciones séricas de transaminasa. Las personas con HBeAg detectable (hepatitis B crónica con la presencia de HBeAg) por lo común tienen concentraciones altas del DNA y de HBsAg en la sangre y mayor probabilidad de transmitir la infección. La seroconversión, que incluye la presencia de anticuerpo a HBeAg (anti-HBe), se acompaña de disminución de las concentraciones séricas del DNA de la partícula y de transaminasa sérica y puede ser antecedida por una exacerbación temporal del ataque del hígado. La reversión serológica (reaparición de HBeAg) es común si la pérdida de dicho antígeno no se acompaña de la aparición de anticuerpo contra HBe; también puede observarse reversión con pérdida del anticuerpo comentado.</w:t>
      </w:r>
    </w:p>
    <w:p w14:paraId="0B2EB014" w14:textId="77777777" w:rsidR="00093A32" w:rsidRDefault="00093A32">
      <w:pPr>
        <w:pStyle w:val="BodyText"/>
        <w:ind w:firstLine="360"/>
      </w:pPr>
      <w:r>
        <w:t>Con el paso del tiempo algunas personas terminan por mostrar una infección crónica inactiva de HBV en la cual está presente el antígeno de superficie, disminuyen las concentraciones del DNA del virus, desaparece el antígeno e y puede surgir el anticuerpo contra el antígeno mencionado (HBe). Personas que tienen la forma inactiva mencionada aún pueden sufrir exacerbaciones de la hepatitis. Algunos pacientes en quienes desaparece el antígeno e seguirán mostrando siempre signos histológicos del daño del hígado y concentraciones moderadas o altas de DNA del virus (hepatitis B crónica sin HBeAg). En términos generales, los enfermos con signos histológicos de hepatitis B crónica, sea cual sea el estado de su antígeno e, siguen mostrando un mayor peligro de muerte atribuible a insuficiencia hepática, en comparación con personas infectadas por HBV sin signos histológicos de inflamación y fibrosis del hígado. Otros factores que a veces influyen en el curso natural de la infección crónica son sexo, raza, consumo de alcohol e infección coexistente por virus de las hepatitis A, C o D.</w:t>
      </w:r>
    </w:p>
    <w:p w14:paraId="19259927" w14:textId="77777777" w:rsidR="00093A32" w:rsidRDefault="00093A32">
      <w:pPr>
        <w:pStyle w:val="BodyText"/>
        <w:ind w:firstLine="360"/>
      </w:pPr>
      <w:r>
        <w:t xml:space="preserve">La hepatitis B resuelta se define como la desaparición del antígeno de superficie y la normalización de las concentraciones de transaminasa sérica; también puede identificarse el anticuerpo a HBsAg (anti-HBs) que apareció. Los adultos con infección crónica eliminan el antígeno s y terminan por mostrar anticuerpos contra HBs, a razón de 1 a 2% anualmente. En la niñez, la cifra anual de desaparición es menor de 1%. Con la inmunosupresión es posible que se reactive una infección crónica resuelta. </w:t>
      </w:r>
      <w:r>
        <w:rPr>
          <w:b/>
          <w:bCs/>
        </w:rPr>
        <w:t>C</w:t>
      </w:r>
      <w:r>
        <w:rPr>
          <w:b/>
          <w:bCs/>
          <w:sz w:val="13"/>
          <w:szCs w:val="13"/>
        </w:rPr>
        <w:t>AUSAS</w:t>
      </w:r>
      <w:r>
        <w:rPr>
          <w:b/>
          <w:bCs/>
        </w:rPr>
        <w:t xml:space="preserve">: </w:t>
      </w:r>
      <w:r>
        <w:t>La partícula infectante es un hepadnavirus de 42 nm de diámetro que contiene DNA. Entre los componentes importantes de tal partícula están los antígenos de superficie, el antígeno central y el antígeno e. El anticuerpo contra el antígeno de superficie (anti-HBs) protege de la infección por dicho virus.</w:t>
      </w:r>
    </w:p>
    <w:p w14:paraId="52713540" w14:textId="77777777" w:rsidR="00093A32" w:rsidRDefault="00093A32">
      <w:pPr>
        <w:pStyle w:val="BodyText"/>
        <w:ind w:firstLine="0"/>
      </w:pPr>
      <w:r>
        <w:rPr>
          <w:b/>
          <w:bCs/>
        </w:rPr>
        <w:t>A</w:t>
      </w:r>
      <w:r>
        <w:rPr>
          <w:b/>
          <w:bCs/>
          <w:sz w:val="13"/>
          <w:szCs w:val="13"/>
        </w:rPr>
        <w:t>SPECTOS EPIDEMIOLÓGICOS</w:t>
      </w:r>
      <w:r>
        <w:rPr>
          <w:b/>
          <w:bCs/>
        </w:rPr>
        <w:t xml:space="preserve">: </w:t>
      </w:r>
      <w:r>
        <w:t>La hepatitis B se transmite por sangre o líquidos corporales, que incluyen exudado de heridas, semen, secreciones cervicouterinas y saliva. La sangre y el suero son los líquidos que contienen el número máximo de virus, en tanto que la saliva contiene el número más bajo. Las personas con infección crónica son los reservorios primarios de la enfermedad. Entre los mecanismos frecuentes de transmisión están la exposición percutánea y de mucosas a líquidos corporales infectantes, uso compartido de jeringuillas o agujas no esterilizadas; contacto sexual con una persona infectada y exposición perinatal a la madre infectada. En la actualidad en Estados Unidos es rara la transmisión por sangre o hemoderivados contaminados transfundidos porque se hace una detección sistemática del virus en donantes de sangre, y algunos hemoderivados son sometidos a técnicas de inactivación vírica (véase “Aspectos de seguridad en el uso de sangre y hemoderivados: disminución del riesgo de infecciones transmitidas en transfusiones”, sección 2). La propagación directa, es decir, de persona a persona, puede surgir en situaciones que incluyen el contacto interpersonal por largo tiempo, como cuando una persona con infección crónica reside en un núcleo familiar. En el núcleo en cuestión, la transmisión no sexual surge más bien de un niño a otro, y los niños de corta edad estarán expuestos al máximo riesgo de ser infectados. Se desconocen los mecanismos exactos de transmisión directa de un niño a otro; sin embargo, la forma más posible de transmisión quizá sea el contacto interpersonal frecuente de la piel o las mucosas no intactas con secreciones sanguinolentas o tal vez saliva. También se observa transmisión al compartir objetos inanimados como toallas y sábanas, maquinillas de rasurar o cepillos dentales. El virus de la hepatitis B sobrevive en el entorno una semana o más, pero es inactivado por los desinfectantes de uso común, como serían los desinfectantes y blanqueadores caseros diluidos al 1:10 con agua. El virus en cuestión no es transmitido por la vía fecal-oral.</w:t>
      </w:r>
    </w:p>
    <w:p w14:paraId="5C14A80C" w14:textId="77777777" w:rsidR="00093A32" w:rsidRDefault="00093A32">
      <w:pPr>
        <w:pStyle w:val="BodyText"/>
        <w:ind w:firstLine="360"/>
      </w:pPr>
      <w:r>
        <w:t>La transmisión perinatal del virus es muy eficiente y suele ocurrir por exposiciones de sangre durante la primera y segunda fases del parto. Es rara la transmisión in utero y causa menos de 2% de las infecciones perinatales, en casi todos los estudios. El peligro de que un producto se contagie de HBV de su madre infectada es de 70 a 90% en el caso de hijos de madres que tienen los antígenos de superficie y e; el riesgo es de 5 a 20% si el pequeño es hijo de una madre sin el antígeno e.</w:t>
      </w:r>
    </w:p>
    <w:p w14:paraId="1F7FBF5C" w14:textId="77777777" w:rsidR="00093A32" w:rsidRDefault="00093A32">
      <w:pPr>
        <w:pStyle w:val="BodyText"/>
        <w:ind w:firstLine="360"/>
      </w:pPr>
      <w:r>
        <w:t>Innumerables estudios han corroborado cifras altas de transmisión en la niñez temprana (no perinatal) del virus de hepatitis B. En el decenio de 1980, antes de que fuera sistemática la vacunación de niños contra hepatitis B, se calculaba que cada año se infectaban unos 16 000 niños (menores de 10 años de vida). El máximo riesgo de transmisión en la niñez temprana se observa en menores que migraron a los Estados Unidos de países en que la infección por dicho virus es altamente endémica (como el sureste asiático y China).</w:t>
      </w:r>
    </w:p>
    <w:p w14:paraId="02DCEE96" w14:textId="77777777" w:rsidR="00093A32" w:rsidRDefault="00093A32">
      <w:pPr>
        <w:pStyle w:val="BodyText"/>
        <w:ind w:firstLine="360"/>
      </w:pPr>
      <w:r>
        <w:t>Otros niños de corta edad en peligro de infectarse incluyen: 1) los contactos del núcleo familiar de personas con infección crónica por HBV; 2) niños internados en instituciones para discapacitados del desarrollo; 3) niños a quienes se practica hemodiálisis, y 4) menores con coagulopatías y otros que reciben repetidamente hemoderivados. En centros de atención pediátrica en Estados Unidos, el riesgo de transmisión se ha vuelto insignificante gracias a la protección de lactantes con la vacuna contra hepatitis B. Si bien menos de 10% de las nuevas infecciones por el virus se localizan en niños, en promedio 33% del 1.25 millones de estadounidenses calculados que tienen la infección crónica la adquirieron de niños o lactantes.</w:t>
      </w:r>
    </w:p>
    <w:p w14:paraId="70B9B2E0" w14:textId="77777777" w:rsidR="00093A32" w:rsidRDefault="00093A32">
      <w:pPr>
        <w:pStyle w:val="BodyText"/>
        <w:ind w:firstLine="360"/>
      </w:pPr>
      <w:r>
        <w:t>La infección aguda por HBV surge más a menudo en adolescentes y adultos en Estados Unidos. Los grupos de máximo riesgo incluyen quienes usan drogas inyectables, personas con múltiples compañeros sexuales y varones jóvenes homosexuales. Otros sujetos expuestos a un mayor riesgo son las personas con exposición ocupacional a sangre o líquidos corporales, personal de instituciones y programas de atención infantil de corto plazo para discapacitados del desarrollo, sujetos a los cuales se hace hemodiálisis y contactos sexuales o familiares de personas con infección aguda o crónica. Se sabe que en promedio 33% de personas infectadas no tienen un factor de peligro identificable fácilmente. La prevalencia de infección en adolescentes y adultos es tres a cuatro veces mayor en personas de raza negra que en las de raza blanca. La infección por el virus en adolescentes y adultos se acompaña de otras enfermedades de transmisión sexual, como sífilis e infección por virus de inmunodeficiencia humana (VIH).</w:t>
      </w:r>
    </w:p>
    <w:p w14:paraId="1F103909" w14:textId="77777777" w:rsidR="00093A32" w:rsidRDefault="00093A32">
      <w:pPr>
        <w:pStyle w:val="BodyText"/>
        <w:ind w:firstLine="360"/>
      </w:pPr>
      <w:r>
        <w:t>La frecuencia de infección por HBV y las características de la transmisión varían notablemente en el mundo. Casi todas las áreas de Estados Unidos, Canadá, Europa Occidental, Australia y países meridionales de América del Sur, tienen una endemnicidad baja de tal infección. La enfermedad ataca más bien a adolescentes y adultos; 5 a 8% de la población total ha estado infectada y 0.2 a 0.9% de la población muestra infección crónica. Sin embargo, dentro de estas zonas geográficas hay poblaciones con una cifra de endemnicidad alta, como serían nativos de Alaska, habitantes de las islas del Pacífico en Asia y migrantes de países con enfermedad endémica. La infección por el virus de hepatitis B es altamente endémica en China, Sureste Asiático, Europa Oriental, Repúblicas del centro de Asia en la Ex-Unión Soviética, casi todos los países del Medio Oriente, África, la Cuenca del Amazonas y las islas del Pacífico. En las zonas mencionadas, casi todas las infecciones aparecen en lactantes o niños menores de cinco años; se ha infectado 70 a 90% de la población adulta y 8 a 15% de la población muestra la infección crónica. En el resto del mundo, la cifra de endemia es intermedia y la infección crónica por HBV surge en 2 a 7% de la población.</w:t>
      </w:r>
    </w:p>
    <w:p w14:paraId="4C68C9D6" w14:textId="77777777" w:rsidR="00093A32" w:rsidRDefault="00093A32">
      <w:pPr>
        <w:pStyle w:val="BodyText"/>
        <w:ind w:firstLine="360"/>
      </w:pPr>
      <w:r>
        <w:t xml:space="preserve">El </w:t>
      </w:r>
      <w:r>
        <w:rPr>
          <w:b/>
          <w:bCs/>
        </w:rPr>
        <w:t xml:space="preserve">periodo de incubación </w:t>
      </w:r>
      <w:r>
        <w:t>de la infección aguda es de 45 a 160 días, con un promedio de 90 días.</w:t>
      </w:r>
    </w:p>
    <w:p w14:paraId="6B140017" w14:textId="77777777" w:rsidR="00093A32" w:rsidRDefault="00093A32">
      <w:pPr>
        <w:pStyle w:val="BodyText"/>
        <w:ind w:firstLine="0"/>
      </w:pPr>
      <w:r>
        <w:rPr>
          <w:b/>
          <w:bCs/>
        </w:rPr>
        <w:t>M</w:t>
      </w:r>
      <w:r>
        <w:rPr>
          <w:b/>
          <w:bCs/>
          <w:sz w:val="13"/>
          <w:szCs w:val="13"/>
        </w:rPr>
        <w:t>ÉTODOS DIAGNÓSTICOS</w:t>
      </w:r>
      <w:r>
        <w:rPr>
          <w:b/>
          <w:bCs/>
        </w:rPr>
        <w:t xml:space="preserve">: </w:t>
      </w:r>
      <w:r>
        <w:t>Se cuenta en el comercio con métodos serológicos para detectar los antígenos de superficie y e (HBsAg y HBeAg). También se cuenta con técnicas para detectar anticuerpos contra el antígeno de superficie (anti-HBs), anticuerpos totales contra el antígeno central (anti-HBc), anticuerpo IgM contra HBc y anticuerpo contra el antígeno e (véase cuadro 3-24). Además, se dispone de métodos de hibridación y de amplificación génica (reacción en cadena de polimerasa, métodos para DNA ramificado) para detectar y cuantificar el DNA de HBV. Durante la infección aguda se puede detectar el antígeno de superficie de hepatitis B. Si la infección cede por sí sola, en casi todos los pacientes desaparece el antígeno s antes de que se detecte la presencia de anticuerpos contra él (ha recibido el nombre de fase de</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474"/>
        <w:gridCol w:w="2578"/>
        <w:gridCol w:w="2870"/>
      </w:tblGrid>
      <w:tr w:rsidR="00093A32" w14:paraId="3435124E" w14:textId="77777777">
        <w:tblPrEx>
          <w:tblCellMar>
            <w:top w:w="0" w:type="dxa"/>
            <w:bottom w:w="0" w:type="dxa"/>
          </w:tblCellMar>
        </w:tblPrEx>
        <w:trPr>
          <w:trHeight w:hRule="exact" w:val="869"/>
          <w:jc w:val="center"/>
        </w:trPr>
        <w:tc>
          <w:tcPr>
            <w:tcW w:w="6922" w:type="dxa"/>
            <w:gridSpan w:val="3"/>
            <w:tcBorders>
              <w:top w:val="single" w:sz="4" w:space="0" w:color="auto"/>
            </w:tcBorders>
            <w:shd w:val="clear" w:color="auto" w:fill="FFFFFF"/>
            <w:vAlign w:val="bottom"/>
          </w:tcPr>
          <w:p w14:paraId="79545B07" w14:textId="77777777" w:rsidR="00093A32" w:rsidRDefault="00093A32">
            <w:pPr>
              <w:pStyle w:val="Other0"/>
              <w:spacing w:line="216" w:lineRule="auto"/>
              <w:ind w:firstLine="0"/>
              <w:jc w:val="center"/>
              <w:rPr>
                <w:sz w:val="26"/>
                <w:szCs w:val="26"/>
              </w:rPr>
            </w:pPr>
            <w:r>
              <w:rPr>
                <w:rFonts w:ascii="Arial" w:eastAsia="Arial" w:hAnsi="Arial" w:cs="Arial"/>
                <w:w w:val="70"/>
                <w:sz w:val="26"/>
                <w:szCs w:val="26"/>
              </w:rPr>
              <w:t xml:space="preserve">Cuadro 3-24. </w:t>
            </w:r>
            <w:r>
              <w:rPr>
                <w:rFonts w:ascii="Arial" w:eastAsia="Arial" w:hAnsi="Arial" w:cs="Arial"/>
                <w:b/>
                <w:bCs/>
                <w:w w:val="70"/>
                <w:sz w:val="26"/>
                <w:szCs w:val="26"/>
              </w:rPr>
              <w:t>Prueba para diagnosticar el virus de la hepatitis B (HBV), antígenos y anticuerpos</w:t>
            </w:r>
          </w:p>
        </w:tc>
      </w:tr>
      <w:tr w:rsidR="00093A32" w14:paraId="1D5C1E58" w14:textId="77777777">
        <w:tblPrEx>
          <w:tblCellMar>
            <w:top w:w="0" w:type="dxa"/>
            <w:bottom w:w="0" w:type="dxa"/>
          </w:tblCellMar>
        </w:tblPrEx>
        <w:trPr>
          <w:trHeight w:hRule="exact" w:val="552"/>
          <w:jc w:val="center"/>
        </w:trPr>
        <w:tc>
          <w:tcPr>
            <w:tcW w:w="1474" w:type="dxa"/>
            <w:shd w:val="clear" w:color="auto" w:fill="231F20"/>
          </w:tcPr>
          <w:p w14:paraId="730C106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00" w:hanging="200"/>
              <w:rPr>
                <w:sz w:val="24"/>
                <w:szCs w:val="24"/>
              </w:rPr>
            </w:pPr>
            <w:r>
              <w:rPr>
                <w:rFonts w:ascii="Arial" w:eastAsia="Arial" w:hAnsi="Arial" w:cs="Arial"/>
                <w:b/>
                <w:bCs/>
                <w:color w:val="FFFFFF"/>
                <w:w w:val="70"/>
                <w:sz w:val="24"/>
                <w:szCs w:val="24"/>
              </w:rPr>
              <w:t>Factor por identificar</w:t>
            </w:r>
          </w:p>
        </w:tc>
        <w:tc>
          <w:tcPr>
            <w:tcW w:w="2578" w:type="dxa"/>
            <w:shd w:val="clear" w:color="auto" w:fill="231F20"/>
          </w:tcPr>
          <w:p w14:paraId="30DF1A7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jc w:val="center"/>
              <w:rPr>
                <w:sz w:val="24"/>
                <w:szCs w:val="24"/>
              </w:rPr>
            </w:pPr>
            <w:r>
              <w:rPr>
                <w:rFonts w:ascii="Arial" w:eastAsia="Arial" w:hAnsi="Arial" w:cs="Arial"/>
                <w:b/>
                <w:bCs/>
                <w:color w:val="FFFFFF"/>
                <w:w w:val="70"/>
                <w:sz w:val="24"/>
                <w:szCs w:val="24"/>
              </w:rPr>
              <w:t>Antígeno o anticuerpo contra el virus de hepatitis B</w:t>
            </w:r>
          </w:p>
        </w:tc>
        <w:tc>
          <w:tcPr>
            <w:tcW w:w="2870" w:type="dxa"/>
            <w:shd w:val="clear" w:color="auto" w:fill="231F20"/>
            <w:vAlign w:val="bottom"/>
          </w:tcPr>
          <w:p w14:paraId="7A07EEA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Uso</w:t>
            </w:r>
          </w:p>
        </w:tc>
      </w:tr>
      <w:tr w:rsidR="00093A32" w14:paraId="2D365217" w14:textId="77777777">
        <w:tblPrEx>
          <w:tblCellMar>
            <w:top w:w="0" w:type="dxa"/>
            <w:bottom w:w="0" w:type="dxa"/>
          </w:tblCellMar>
        </w:tblPrEx>
        <w:trPr>
          <w:trHeight w:hRule="exact" w:val="936"/>
          <w:jc w:val="center"/>
        </w:trPr>
        <w:tc>
          <w:tcPr>
            <w:tcW w:w="1474" w:type="dxa"/>
            <w:shd w:val="clear" w:color="auto" w:fill="FFFFFF"/>
          </w:tcPr>
          <w:p w14:paraId="7204D22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HBsAg</w:t>
            </w:r>
          </w:p>
        </w:tc>
        <w:tc>
          <w:tcPr>
            <w:tcW w:w="2578" w:type="dxa"/>
            <w:shd w:val="clear" w:color="auto" w:fill="FFFFFF"/>
          </w:tcPr>
          <w:p w14:paraId="3DFE5D16"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Antígeno de superficie de hepatitis B</w:t>
            </w:r>
          </w:p>
        </w:tc>
        <w:tc>
          <w:tcPr>
            <w:tcW w:w="2870" w:type="dxa"/>
            <w:shd w:val="clear" w:color="auto" w:fill="FFFFFF"/>
            <w:vAlign w:val="bottom"/>
          </w:tcPr>
          <w:p w14:paraId="6245DCD9"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Detección de personas con infección aguda o crónica; antígeno usado en la elaboración de la vacuna contra hepatitis</w:t>
            </w:r>
          </w:p>
        </w:tc>
      </w:tr>
      <w:tr w:rsidR="00093A32" w14:paraId="3D65C2A7" w14:textId="77777777">
        <w:tblPrEx>
          <w:tblCellMar>
            <w:top w:w="0" w:type="dxa"/>
            <w:bottom w:w="0" w:type="dxa"/>
          </w:tblCellMar>
        </w:tblPrEx>
        <w:trPr>
          <w:trHeight w:hRule="exact" w:val="1066"/>
          <w:jc w:val="center"/>
        </w:trPr>
        <w:tc>
          <w:tcPr>
            <w:tcW w:w="1474" w:type="dxa"/>
            <w:shd w:val="clear" w:color="auto" w:fill="FFFFFF"/>
          </w:tcPr>
          <w:p w14:paraId="17F80D5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Anti-HBs</w:t>
            </w:r>
          </w:p>
        </w:tc>
        <w:tc>
          <w:tcPr>
            <w:tcW w:w="2578" w:type="dxa"/>
            <w:shd w:val="clear" w:color="auto" w:fill="FFFFFF"/>
          </w:tcPr>
          <w:p w14:paraId="22251D19"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Anticuerpos contra HBsAg</w:t>
            </w:r>
          </w:p>
        </w:tc>
        <w:tc>
          <w:tcPr>
            <w:tcW w:w="2870" w:type="dxa"/>
            <w:shd w:val="clear" w:color="auto" w:fill="FFFFFF"/>
          </w:tcPr>
          <w:p w14:paraId="04DA150A"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Identificación de personas en que ha habido infecciones resueltas, por HBV; conocer el estado de inmunidad después de la vacunación</w:t>
            </w:r>
          </w:p>
        </w:tc>
      </w:tr>
      <w:tr w:rsidR="00093A32" w14:paraId="61E9B894" w14:textId="77777777">
        <w:tblPrEx>
          <w:tblCellMar>
            <w:top w:w="0" w:type="dxa"/>
            <w:bottom w:w="0" w:type="dxa"/>
          </w:tblCellMar>
        </w:tblPrEx>
        <w:trPr>
          <w:trHeight w:hRule="exact" w:val="643"/>
          <w:jc w:val="center"/>
        </w:trPr>
        <w:tc>
          <w:tcPr>
            <w:tcW w:w="1474" w:type="dxa"/>
            <w:shd w:val="clear" w:color="auto" w:fill="FFFFFF"/>
          </w:tcPr>
          <w:p w14:paraId="03E945F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HbeAg</w:t>
            </w:r>
          </w:p>
        </w:tc>
        <w:tc>
          <w:tcPr>
            <w:tcW w:w="2578" w:type="dxa"/>
            <w:shd w:val="clear" w:color="auto" w:fill="FFFFFF"/>
          </w:tcPr>
          <w:p w14:paraId="272E6256"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Antígeno e de hepatitis B</w:t>
            </w:r>
          </w:p>
        </w:tc>
        <w:tc>
          <w:tcPr>
            <w:tcW w:w="2870" w:type="dxa"/>
            <w:shd w:val="clear" w:color="auto" w:fill="FFFFFF"/>
            <w:vAlign w:val="bottom"/>
          </w:tcPr>
          <w:p w14:paraId="397F40E7"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Identificación de personas infectadas expuestas a un mayor peligro de transmitir HBV</w:t>
            </w:r>
          </w:p>
        </w:tc>
      </w:tr>
      <w:tr w:rsidR="00093A32" w14:paraId="69EE6B93" w14:textId="77777777">
        <w:tblPrEx>
          <w:tblCellMar>
            <w:top w:w="0" w:type="dxa"/>
            <w:bottom w:w="0" w:type="dxa"/>
          </w:tblCellMar>
        </w:tblPrEx>
        <w:trPr>
          <w:trHeight w:hRule="exact" w:val="648"/>
          <w:jc w:val="center"/>
        </w:trPr>
        <w:tc>
          <w:tcPr>
            <w:tcW w:w="1474" w:type="dxa"/>
            <w:shd w:val="clear" w:color="auto" w:fill="FFFFFF"/>
          </w:tcPr>
          <w:p w14:paraId="5E5AFDB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Anti-HBe</w:t>
            </w:r>
          </w:p>
        </w:tc>
        <w:tc>
          <w:tcPr>
            <w:tcW w:w="2578" w:type="dxa"/>
            <w:shd w:val="clear" w:color="auto" w:fill="FFFFFF"/>
          </w:tcPr>
          <w:p w14:paraId="63C49AFD"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Anticuerpos</w:t>
            </w:r>
          </w:p>
          <w:p w14:paraId="087AD4A0" w14:textId="77777777" w:rsidR="00093A32" w:rsidRDefault="00093A32">
            <w:pPr>
              <w:pStyle w:val="Other0"/>
              <w:spacing w:line="240" w:lineRule="auto"/>
              <w:ind w:firstLine="380"/>
              <w:rPr>
                <w:sz w:val="16"/>
                <w:szCs w:val="16"/>
              </w:rPr>
            </w:pPr>
            <w:r>
              <w:rPr>
                <w:rFonts w:ascii="Times New Roman" w:eastAsia="Times New Roman" w:hAnsi="Times New Roman" w:cs="Times New Roman"/>
                <w:sz w:val="16"/>
                <w:szCs w:val="16"/>
              </w:rPr>
              <w:t>contra HBe</w:t>
            </w:r>
          </w:p>
        </w:tc>
        <w:tc>
          <w:tcPr>
            <w:tcW w:w="2870" w:type="dxa"/>
            <w:shd w:val="clear" w:color="auto" w:fill="FFFFFF"/>
            <w:vAlign w:val="bottom"/>
          </w:tcPr>
          <w:p w14:paraId="6B3BA323"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Identificación de personas infectadas con menor peligro de transmitir HBV</w:t>
            </w:r>
          </w:p>
        </w:tc>
      </w:tr>
      <w:tr w:rsidR="00093A32" w14:paraId="5DF279D8" w14:textId="77777777">
        <w:tblPrEx>
          <w:tblCellMar>
            <w:top w:w="0" w:type="dxa"/>
            <w:bottom w:w="0" w:type="dxa"/>
          </w:tblCellMar>
        </w:tblPrEx>
        <w:trPr>
          <w:trHeight w:hRule="exact" w:val="869"/>
          <w:jc w:val="center"/>
        </w:trPr>
        <w:tc>
          <w:tcPr>
            <w:tcW w:w="1474" w:type="dxa"/>
            <w:shd w:val="clear" w:color="auto" w:fill="FFFFFF"/>
          </w:tcPr>
          <w:p w14:paraId="7AA1DBF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Anti-HBc</w:t>
            </w:r>
          </w:p>
        </w:tc>
        <w:tc>
          <w:tcPr>
            <w:tcW w:w="2578" w:type="dxa"/>
            <w:shd w:val="clear" w:color="auto" w:fill="FFFFFF"/>
          </w:tcPr>
          <w:p w14:paraId="2E806C59"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Anticuerpo</w:t>
            </w:r>
          </w:p>
          <w:p w14:paraId="0FC94F1A" w14:textId="77777777" w:rsidR="00093A32" w:rsidRDefault="00093A32">
            <w:pPr>
              <w:pStyle w:val="Other0"/>
              <w:spacing w:line="240" w:lineRule="auto"/>
              <w:ind w:firstLine="380"/>
              <w:rPr>
                <w:sz w:val="16"/>
                <w:szCs w:val="16"/>
              </w:rPr>
            </w:pPr>
            <w:r>
              <w:rPr>
                <w:rFonts w:ascii="Times New Roman" w:eastAsia="Times New Roman" w:hAnsi="Times New Roman" w:cs="Times New Roman"/>
                <w:sz w:val="16"/>
                <w:szCs w:val="16"/>
              </w:rPr>
              <w:t>contra HBcAg</w:t>
            </w:r>
            <w:r>
              <w:rPr>
                <w:rFonts w:ascii="Times New Roman" w:eastAsia="Times New Roman" w:hAnsi="Times New Roman" w:cs="Times New Roman"/>
                <w:sz w:val="16"/>
                <w:szCs w:val="16"/>
                <w:vertAlign w:val="superscript"/>
              </w:rPr>
              <w:t>1</w:t>
            </w:r>
          </w:p>
        </w:tc>
        <w:tc>
          <w:tcPr>
            <w:tcW w:w="2870" w:type="dxa"/>
            <w:shd w:val="clear" w:color="auto" w:fill="FFFFFF"/>
            <w:vAlign w:val="bottom"/>
          </w:tcPr>
          <w:p w14:paraId="38EC57D6"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Identificación de personas con infecciones aguda resuelta o crónica por HBV (no presente después de la vacunación)</w:t>
            </w:r>
          </w:p>
        </w:tc>
      </w:tr>
      <w:tr w:rsidR="00093A32" w14:paraId="15CB1C9E" w14:textId="77777777">
        <w:tblPrEx>
          <w:tblCellMar>
            <w:top w:w="0" w:type="dxa"/>
            <w:bottom w:w="0" w:type="dxa"/>
          </w:tblCellMar>
        </w:tblPrEx>
        <w:trPr>
          <w:trHeight w:hRule="exact" w:val="1186"/>
          <w:jc w:val="center"/>
        </w:trPr>
        <w:tc>
          <w:tcPr>
            <w:tcW w:w="1474" w:type="dxa"/>
            <w:tcBorders>
              <w:bottom w:val="single" w:sz="4" w:space="0" w:color="auto"/>
            </w:tcBorders>
            <w:shd w:val="clear" w:color="auto" w:fill="FFFFFF"/>
          </w:tcPr>
          <w:p w14:paraId="3A3929C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IgM anti-HBc</w:t>
            </w:r>
          </w:p>
        </w:tc>
        <w:tc>
          <w:tcPr>
            <w:tcW w:w="2578" w:type="dxa"/>
            <w:tcBorders>
              <w:bottom w:val="single" w:sz="4" w:space="0" w:color="auto"/>
            </w:tcBorders>
            <w:shd w:val="clear" w:color="auto" w:fill="FFFFFF"/>
          </w:tcPr>
          <w:p w14:paraId="3E04E773"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Anticuerpo IgM contra HBcAg</w:t>
            </w:r>
          </w:p>
        </w:tc>
        <w:tc>
          <w:tcPr>
            <w:tcW w:w="2870" w:type="dxa"/>
            <w:tcBorders>
              <w:bottom w:val="single" w:sz="4" w:space="0" w:color="auto"/>
            </w:tcBorders>
            <w:shd w:val="clear" w:color="auto" w:fill="FFFFFF"/>
          </w:tcPr>
          <w:p w14:paraId="5D30020A"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Identificación de sujetos con infecciones agudas o recientes por HBV (incluidos los individuos sin antígeno de superficie, durante la fase de ventana de la infección</w:t>
            </w:r>
          </w:p>
        </w:tc>
      </w:tr>
    </w:tbl>
    <w:p w14:paraId="2C158ADA" w14:textId="77777777" w:rsidR="00093A32" w:rsidRDefault="00093A32">
      <w:pPr>
        <w:pStyle w:val="Tablecaption0"/>
        <w:spacing w:line="240" w:lineRule="auto"/>
        <w:ind w:left="91"/>
      </w:pPr>
      <w:r>
        <w:t>Ig, inmunoglobulina.</w:t>
      </w:r>
    </w:p>
    <w:p w14:paraId="517CA28A" w14:textId="77777777" w:rsidR="00093A32" w:rsidRDefault="00093A32">
      <w:pPr>
        <w:pStyle w:val="Tablecaption0"/>
        <w:spacing w:line="240" w:lineRule="auto"/>
        <w:ind w:left="91"/>
      </w:pPr>
      <w:r>
        <w:rPr>
          <w:sz w:val="8"/>
          <w:szCs w:val="8"/>
          <w:vertAlign w:val="superscript"/>
        </w:rPr>
        <w:t>1</w:t>
      </w:r>
      <w:r>
        <w:rPr>
          <w:sz w:val="8"/>
          <w:szCs w:val="8"/>
        </w:rPr>
        <w:t xml:space="preserve"> </w:t>
      </w:r>
      <w:r>
        <w:t>No se dispone de prueba alguna en el comercio para medir el antígeno central de la hepatitis B (HBcAg).</w:t>
      </w:r>
    </w:p>
    <w:p w14:paraId="35745DB4" w14:textId="77777777" w:rsidR="00093A32" w:rsidRDefault="00093A32">
      <w:pPr>
        <w:spacing w:after="459" w:line="1" w:lineRule="exact"/>
      </w:pPr>
    </w:p>
    <w:p w14:paraId="4C3B8680" w14:textId="77777777" w:rsidR="00093A32" w:rsidRDefault="00093A32">
      <w:pPr>
        <w:pStyle w:val="BodyText"/>
        <w:ind w:firstLine="0"/>
      </w:pPr>
      <w:r>
        <w:t>ventana de la infección). El anticuerpo IgM contra el antígeno central es altamente específico para corroborar el diagnóstico de infección aguda, porque está presente ya desde los comienzos de la infección y en la fase de ventana de niños mayores y adultos. Sin embargo, el anticuerpo contra el antígeno central por lo común no se identifica en lactantes infectados en etapa perinatal. Las personas con infección crónica tienen en su circulación el antígeno de superficie y el anticuerpo contra el antígeno central; en raras ocasiones también hay anticuerpo contra el antígeno de superficie. Los anticuerpos contra los antígenos de superficie (s) y central (c) se detectan en personas cuya infección no ha mostrado resolución, en tanto que el anticuerpo contra el antígeno s sólo aparece en individuos que han recibido la vacuna contra hepatitis B. La presencia del antígeno e en el suero guarda relación con un número mucho mayor de títulos de HBV y una mayor infectividad. Los métodos para detectar DNA de HBV y antígeno e son útiles para seleccionar a candidatos que recibirán antivíricos y vigilar su respuesta a tal farmacoterapia.</w:t>
      </w:r>
    </w:p>
    <w:p w14:paraId="22A3BA9D" w14:textId="77777777" w:rsidR="00093A32" w:rsidRDefault="00093A32">
      <w:pPr>
        <w:pStyle w:val="BodyText"/>
        <w:spacing w:line="283" w:lineRule="auto"/>
        <w:ind w:firstLine="0"/>
      </w:pPr>
      <w:r>
        <w:rPr>
          <w:b/>
          <w:bCs/>
        </w:rPr>
        <w:t>T</w:t>
      </w:r>
      <w:r>
        <w:rPr>
          <w:b/>
          <w:bCs/>
          <w:sz w:val="13"/>
          <w:szCs w:val="13"/>
        </w:rPr>
        <w:t>RATAMIENTO</w:t>
      </w:r>
      <w:r>
        <w:rPr>
          <w:b/>
          <w:bCs/>
        </w:rPr>
        <w:t xml:space="preserve">: </w:t>
      </w:r>
      <w:r>
        <w:t xml:space="preserve">No se cuenta con ninguna terapia específica contra la infección aguda por HBV. Son ineficaces el concentrado inmunoglobulínico contra la hepatitis B </w:t>
      </w:r>
      <w:r>
        <w:rPr>
          <w:rFonts w:ascii="Times New Roman" w:eastAsia="Times New Roman" w:hAnsi="Times New Roman" w:cs="Times New Roman"/>
          <w:i/>
          <w:iCs/>
          <w:sz w:val="16"/>
          <w:szCs w:val="16"/>
        </w:rPr>
        <w:t>(hepatitis B immune globulin</w:t>
      </w:r>
      <w:r>
        <w:rPr>
          <w:i/>
          <w:iCs/>
        </w:rPr>
        <w:t>,</w:t>
      </w:r>
      <w:r>
        <w:t xml:space="preserve"> HBIG) y los corticosteroides. Se sabe que 25 a 40% de los adultos con infección crónica y hepatopatía logran la remisión por largo tiempo (pérdida del DNA detectable de HBV o del antígeno e) después de recibir interferón- alfa. La cifra de remisión comentada es 20% mayor, en promedio, que la de remisión espontánea observada en testigos sin tratamiento. Los adultos en los cuales desaparece el antígeno e muestran menores cifras de mortalidad y de las complicaciones clínicas de la cirrosis. No se cuenta con tantos datos respecto del tratamiento de niños, pero algunos estudios indican que en promedio 30% de los menores con mayores concentraciones de transaminasa que han recibido interferón alfa-2b durante seis meses, muestran desaparición del antígeno e, en comparación con 10%, en promedio, de los testigos no tratados. El interferón alfa es menos eficaz contra infecciones crónicas adquiridas en los comienzos de la niñez, en particular si las concentraciones de transaminasa son normales. En Estados Unidos se ha aprobado el uso de lamivudina para tratar infección crónica por HBV en niños de dos años de edad y mayores. Los niños con infección crónica tratados con dicho antivírico han mostrado cifras más altas de respuesta virológica (pérdida del DNA detectable de HBV y del antígeno e) después de un año de tratamiento, que quienes recibieron placebo (23 en comparación con 13%). En Estados Unidos, la FDA ha aprobado el adefovir dipivoxilo para tratar la infección crónica por HBV en adultos, pero no se ha definido su inocuidad y eficacia en los niños.</w:t>
      </w:r>
    </w:p>
    <w:p w14:paraId="7E3AD1E7" w14:textId="77777777" w:rsidR="00093A32" w:rsidRDefault="00093A32">
      <w:pPr>
        <w:pStyle w:val="BodyText"/>
        <w:ind w:firstLine="360"/>
      </w:pPr>
      <w:r>
        <w:t xml:space="preserve">Los niños y los adolescentes con infección crónica por HBV están en peligro de presentar hepatopatía grave, incluido el carcinoma hepatocelular primario </w:t>
      </w:r>
      <w:r>
        <w:rPr>
          <w:i/>
          <w:iCs/>
        </w:rPr>
        <w:t>(</w:t>
      </w:r>
      <w:r>
        <w:rPr>
          <w:rFonts w:ascii="Times New Roman" w:eastAsia="Times New Roman" w:hAnsi="Times New Roman" w:cs="Times New Roman"/>
          <w:i/>
          <w:iCs/>
          <w:sz w:val="16"/>
          <w:szCs w:val="16"/>
        </w:rPr>
        <w:t>hepatocellular carcinoma</w:t>
      </w:r>
      <w:r>
        <w:rPr>
          <w:i/>
          <w:iCs/>
        </w:rPr>
        <w:t>,</w:t>
      </w:r>
      <w:r>
        <w:t xml:space="preserve"> HCC), al tener mayor edad. La incidencia máxima de dicho cáncer primario se localiza en el quinto decenio de la vida, pero tal carcinoma a veces ataca a niños que se han infectado en fase perinatal o en los comienzos de la niñez. El principal factor de riesgo de que surja hepatopatía grave es haber adquirido la infección crónica desde el nacimiento o en la niñez temprana. Habrá que someter periódicamente a todo niño con infección crónica a estudios sistemáticos para buscar complicaciones hepáticas, y para ello se practicarán valoraciones de transaminasa hepática en suero, concentración de fetoproteína alfa y ultrasonografía abdominal. No se han hecho recomendaciones definitivas sobre la frecuencia y las indicaciones de estudios específicos porque se carece de datos de su viabilidad para predecir las secuelas. Habría que enviar al gastroenterólogo para su tratamiento a todo paciente que muestre en forma persistente mayores concentraciones séricas de ALT (que rebasen dos tantos los límites superiores de lo normal) y sujetos con mayor concentración de fetoproteína alfa sérica o con signos anormales en el ultrasonograma abdominal. Es importante aplicar la vacuna contra hepatitis A a todo sujeto con infección crónica por hepatitis B que no sea inmune a la hepatitis A.</w:t>
      </w:r>
    </w:p>
    <w:p w14:paraId="319385F4"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Conviene seguir las precauciones estándar en todo paciente con infección aguda o crónica por virus de hepatitis B.</w:t>
      </w:r>
    </w:p>
    <w:p w14:paraId="03869F03" w14:textId="77777777" w:rsidR="00093A32" w:rsidRDefault="00093A32">
      <w:pPr>
        <w:pStyle w:val="BodyText"/>
        <w:spacing w:after="220"/>
        <w:ind w:firstLine="360"/>
      </w:pPr>
      <w:r>
        <w:t>En el caso de pequeños que nacieron de madres con el antígeno de superficie no se necesitan medidas especiales, salvo eliminar la sangre de la madre, tarea que corresponde a un auxiliar con guantes, y seguir las precauciones estándar.</w:t>
      </w:r>
    </w:p>
    <w:p w14:paraId="5E8EE07F" w14:textId="77777777" w:rsidR="00093A32" w:rsidRDefault="00093A32">
      <w:pPr>
        <w:pStyle w:val="Other0"/>
        <w:spacing w:line="240" w:lineRule="auto"/>
        <w:ind w:firstLine="0"/>
        <w:rPr>
          <w:sz w:val="16"/>
          <w:szCs w:val="16"/>
        </w:rPr>
      </w:pPr>
      <w:r>
        <w:rPr>
          <w:b/>
          <w:bCs/>
          <w:smallCaps/>
          <w:sz w:val="20"/>
          <w:szCs w:val="20"/>
        </w:rPr>
        <w:t>M</w:t>
      </w:r>
      <w:r>
        <w:rPr>
          <w:b/>
          <w:bCs/>
          <w:smallCaps/>
          <w:sz w:val="16"/>
          <w:szCs w:val="16"/>
        </w:rPr>
        <w:t>edidas preventivas</w:t>
      </w:r>
    </w:p>
    <w:p w14:paraId="2A4760FF" w14:textId="77777777" w:rsidR="00093A32" w:rsidRDefault="00093A32">
      <w:pPr>
        <w:pStyle w:val="Bodytext80"/>
        <w:rPr>
          <w:sz w:val="15"/>
          <w:szCs w:val="15"/>
        </w:rPr>
      </w:pPr>
      <w:r>
        <w:rPr>
          <w:b/>
          <w:bCs/>
          <w:i/>
          <w:iCs/>
          <w:sz w:val="15"/>
          <w:szCs w:val="15"/>
        </w:rPr>
        <w:t>Estrategia para evitar HBV</w:t>
      </w:r>
    </w:p>
    <w:p w14:paraId="0F60EFF4" w14:textId="77777777" w:rsidR="00093A32" w:rsidRDefault="00093A32">
      <w:pPr>
        <w:pStyle w:val="BodyText"/>
        <w:ind w:firstLine="0"/>
      </w:pPr>
      <w:r>
        <w:t>El objetivo primario de los programas para evitar HBV es disminuir las cifras de infección crónica y hepatopatía crónica por tal partícula. El objetivo secundario sería evitar la infección aguda de hepatitis B. En los últimos 20 años, se ha creado una estrategia global de vacunación en Estados Unidos que ha incluido los cuatro componentes siguientes: 1) vacunación de lactantes, niños, adolescentes y adultos expuestos a un mayor peligro de infección (1982); 2) prevención de infección perinatal por HBV mediante la detección sistemática de todas las embarazadas y el tratamiento apropiado de hijos de mujeres con antígeno s (1988); 3) vacunación sistemática de lactantes (1992), y 4) vacunación sistemática de adolescentes no vacunados (1995).</w:t>
      </w:r>
    </w:p>
    <w:p w14:paraId="14E22AE6" w14:textId="77777777" w:rsidR="00093A32" w:rsidRDefault="00093A32">
      <w:pPr>
        <w:pStyle w:val="BodyText"/>
        <w:spacing w:line="276" w:lineRule="auto"/>
        <w:ind w:firstLine="360"/>
      </w:pPr>
      <w:r>
        <w:rPr>
          <w:rFonts w:ascii="Arial" w:eastAsia="Arial" w:hAnsi="Arial" w:cs="Arial"/>
          <w:b/>
          <w:bCs/>
          <w:i/>
          <w:iCs/>
          <w:sz w:val="15"/>
          <w:szCs w:val="15"/>
        </w:rPr>
        <w:t>Inmunoprofilaxia contra hepatitis B.</w:t>
      </w:r>
      <w:r>
        <w:t xml:space="preserve"> Se cuenta con dos tipos de productos para la inmunoprofilaxia. Con el concentrado inmunoglobulínico contra hepatitis B se obtiene protección breve (tres a seis meses) y está indicado su uso sólo en circunstancias específicas después de la exposición (véase después en este resumen “Atención de personas expuestas”). La vacuna contra hepatitis B se usa para protección antes y después de la exposición, y con ella se obtiene protección por largo tiempo. La aplicación de vacuna contra hepatitis B antes de la exposición es el medio más eficaz para evitar el contagio. Para disminuir con la mayor prontitud posible la frecuencia del contagio de HBV, y al final eliminarla, se necesita la vacunación universal u obligatoria. Sobre tal base, se recomienda aplicar vacuna contra hepatitis B en todos los lactantes como parte del calendario habitual de vacunaciones para niños y adolescentes, y conviene aplicar la vacuna a todo niño que no la ha recibido, cuando cumpla 11 a 12 años de edad o antes. La vacunación antes de los 11 años (en niños no vacunados) es ventajosa porque el paciente cumple mejor sus visitas cotidianas al médico y así completa el calendario de tres dosis.</w:t>
      </w:r>
    </w:p>
    <w:p w14:paraId="4394896E" w14:textId="77777777" w:rsidR="00093A32" w:rsidRDefault="00093A32">
      <w:pPr>
        <w:pStyle w:val="BodyText"/>
        <w:ind w:firstLine="360"/>
      </w:pPr>
      <w:r>
        <w:t>La inmunoprofilaxia después de exposición, a base de la combinación de vacunas contra hepatitis B y concentrado HBIG o la sola vacuna, evita eficazmente la infección después de exposición al virus. Es esencial la práctica de pruebas serológicas en busca del antígeno s en todas las embarazadas para identificar aquellas cuyo producto necesitará desde el nacimiento inmunoprofilaxia después de exposición (véase después en este resumen “Atención de personas expuestas”).</w:t>
      </w:r>
    </w:p>
    <w:p w14:paraId="34690C91" w14:textId="77777777" w:rsidR="00093A32" w:rsidRDefault="00093A32">
      <w:pPr>
        <w:pStyle w:val="BodyText"/>
        <w:spacing w:line="276" w:lineRule="auto"/>
        <w:ind w:firstLine="360"/>
      </w:pPr>
      <w:r>
        <w:t>Concentrado inmunoglobulínico de hepatitis B.</w:t>
      </w:r>
      <w:r>
        <w:footnoteReference w:id="14"/>
      </w:r>
      <w:r>
        <w:t xml:space="preserve"> El concentrado de inmunoglobulina de hepatitis B se prepara de donantes hiperinmunes cuyo plasma contiene concentraciones altas de anticuerpo contra el antígeno de superficie de la hepatitis y no tienen anticuerpos contra VIH y el virus de hepatitis C </w:t>
      </w:r>
      <w:r>
        <w:rPr>
          <w:i/>
          <w:iCs/>
        </w:rPr>
        <w:t>(</w:t>
      </w:r>
      <w:r>
        <w:rPr>
          <w:rFonts w:ascii="Times New Roman" w:eastAsia="Times New Roman" w:hAnsi="Times New Roman" w:cs="Times New Roman"/>
          <w:i/>
          <w:iCs/>
          <w:sz w:val="16"/>
          <w:szCs w:val="16"/>
        </w:rPr>
        <w:t>hepatitis C virus</w:t>
      </w:r>
      <w:r>
        <w:rPr>
          <w:i/>
          <w:iCs/>
        </w:rPr>
        <w:t>,</w:t>
      </w:r>
      <w:r>
        <w:t xml:space="preserve"> HCV). El proceso utilizado para preparar HBIG inactiva o elimina VIH y HCV. El concentrado estándar no es eficaz como agente profiláctico después de exposición contra la infección por HBV porque tiene muy poca concentración de anticuerpos contra el antígeno de superficie del virus B.</w:t>
      </w:r>
    </w:p>
    <w:p w14:paraId="3D13D4B8" w14:textId="77777777" w:rsidR="00093A32" w:rsidRDefault="00093A32">
      <w:pPr>
        <w:pStyle w:val="Bodytext80"/>
        <w:rPr>
          <w:sz w:val="15"/>
          <w:szCs w:val="15"/>
        </w:rPr>
      </w:pPr>
      <w:r>
        <w:rPr>
          <w:b/>
          <w:bCs/>
          <w:i/>
          <w:iCs/>
          <w:sz w:val="15"/>
          <w:szCs w:val="15"/>
        </w:rPr>
        <w:t>Vacuna contra hepatitis B</w:t>
      </w:r>
    </w:p>
    <w:p w14:paraId="3CD4599B" w14:textId="77777777" w:rsidR="00093A32" w:rsidRDefault="00093A32">
      <w:pPr>
        <w:pStyle w:val="BodyText"/>
        <w:ind w:firstLine="0"/>
      </w:pPr>
      <w:r>
        <w:t>En Estados Unidos se ha aprobado el uso de vacunas altamente eficaces e innocuas contra hepatitis B por biotecnología con DNA, y el producto contiene un solo antígeno, así como componentes de vacunas mixtas. En el país en cuestión no se distribuyen ya las vacunas derivadas de plasma contra hepatitis B, pero en otras naciones se las utiliza en forma amplia y satisfactoria. Las vacunas obtenidas con biotecnología contienen 5 a 40 pg de proteína de HBsAg por mililitro, adsorbidos en hidróxido de aluminio. Ninguna presentación para niños contiene timerosal, o lo tienen en cantidades ínfimas. La concentración de la proteína de HBsAg biotecnológica difiere entre una y otra vacunas, pero sus índices de seroconversion son equivalentes después de aplicarlas a lactantes, niños, adolescentes o adultos jóvenes inmunocompetentes en las dosis recomendadas (véase cuadro 3-25).</w:t>
      </w:r>
    </w:p>
    <w:p w14:paraId="397E6314" w14:textId="77777777" w:rsidR="00093A32" w:rsidRDefault="00093A32">
      <w:pPr>
        <w:pStyle w:val="BodyText"/>
        <w:ind w:firstLine="360"/>
      </w:pPr>
      <w:r>
        <w:t>Es posible aplicar simultáneamente la vacuna contra hepatitis B, con otras más (véase “Administración simultánea de múltiples vacunas”, sección 1).</w:t>
      </w:r>
    </w:p>
    <w:p w14:paraId="40ABD2F4"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Intercambio de vacunas.</w:t>
      </w:r>
      <w:r>
        <w:t xml:space="preserve"> Las vacunas de hepatitis B son intercambiables, dentro de una serie de vacunas. La respuesta inmunitaria con una o dos dosis de la vacuna elaborada por un fabricante, seguida de una o más dosis ulteriores del producto de otro fabricante, es similar a un ciclo completo de vacunas con la misma marca. Es limitada la posibilidad de intercambiar las vacunas mixtas, es decir de toxoides de difteria y tétanos y acelular de tos ferina </w:t>
      </w:r>
      <w:r>
        <w:rPr>
          <w:i/>
          <w:iCs/>
        </w:rPr>
        <w:t>(</w:t>
      </w:r>
      <w:r>
        <w:rPr>
          <w:rFonts w:ascii="Times New Roman" w:eastAsia="Times New Roman" w:hAnsi="Times New Roman" w:cs="Times New Roman"/>
          <w:i/>
          <w:iCs/>
          <w:sz w:val="16"/>
          <w:szCs w:val="16"/>
        </w:rPr>
        <w:t>diphtheria and tetanus toxoids and acellular pertussis</w:t>
      </w:r>
      <w:r>
        <w:rPr>
          <w:i/>
          <w:iCs/>
        </w:rPr>
        <w:t xml:space="preserve">, </w:t>
      </w:r>
      <w:r>
        <w:t xml:space="preserve">DTaP), virus poliomielíticos inactivados </w:t>
      </w:r>
      <w:r>
        <w:rPr>
          <w:i/>
          <w:iCs/>
        </w:rPr>
        <w:t>(</w:t>
      </w:r>
      <w:r>
        <w:rPr>
          <w:rFonts w:ascii="Times New Roman" w:eastAsia="Times New Roman" w:hAnsi="Times New Roman" w:cs="Times New Roman"/>
          <w:i/>
          <w:iCs/>
          <w:sz w:val="16"/>
          <w:szCs w:val="16"/>
        </w:rPr>
        <w:t>inactivated poliovirus</w:t>
      </w:r>
      <w:r>
        <w:rPr>
          <w:i/>
          <w:iCs/>
        </w:rPr>
        <w:t>,</w:t>
      </w:r>
      <w:r>
        <w:t xml:space="preserve"> IPV) y vacuna con hepatitis B (Pediarix [GlaxoSmithKline Biologicals], Rixensart, Bélgica) por las vacunas aprobadas de DTaP, IPV y hepatitis B biotecnológica, por el componente DTaP (véase “Tos Ferina” en esta sección).</w:t>
      </w:r>
    </w:p>
    <w:p w14:paraId="1AC8A892"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Vías de administración.</w:t>
      </w:r>
      <w:r>
        <w:t xml:space="preserve"> La vacuna se aplica por vía intramuscular en la cara anteroexterna del muslo o la zona deltoidea, según la edad y talla de quien la recibirá (véase “Administración de vacunas”, sección 1). La aplicación en los glúteos o intradérmica se ha acompañado de disminución de la capacidad inmunógena, y no es recomendable. En personas con diátesis hemorrágica se puede reducir al mínimo el peligro de hemorragia después de la aplicación intramuscular de la vacuna, si se administra inmediatamente después que el paciente recibió factor de reposición, se usa una aguja de calibre 23 (o más pequeña) y se aplica presión directa al sitio de vacunación durante 2 min, como mínimo.</w:t>
      </w:r>
    </w:p>
    <w:p w14:paraId="1EF798EC"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Eficacia y duración de la protección.</w:t>
      </w:r>
      <w:r>
        <w:t xml:space="preserve"> Las vacunas contra hepatitis B aprobadas en Estados Unidos tienen una eficacia de 90 a 95% para evitar la infección por dicho virus y la hepatitis B clínica en niños y adultos susceptibles. Los estudios a largo plazo en ambos grupos de edad indican que la memoria inmunológica permanece intacta durante 15 años o más y protege de infecciones agudas clínicas e infecciones crónicas por HBV, a pesar de que las concentraciones del anticuerpo contra el antígeno de superficie pudieran tornarse bajas o no detectables con el paso del tiempo.</w:t>
      </w:r>
    </w:p>
    <w:p w14:paraId="1BB24BD6"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Dosis de refuerzo.</w:t>
      </w:r>
      <w:r>
        <w:t xml:space="preserve"> En el caso de niños y adultos con estado inmunológico normal, no se recomiendan sistemáticamente las dosis de refuerzo. En pacientes sometidos a hemodiálisis y otras personas inmunodeficientes expuestas a un riesgo incesante de infección, habrá que valorar la necesidad de una dosis de refuerzo con la medición anual de anticuerpos contra el antígeno de superficie de HB, y se aplicará una dosis de refuerzo si la concentración de dicho anticuerpo es menor de 10 mUI/mililitro.</w:t>
      </w:r>
    </w:p>
    <w:p w14:paraId="221409C4"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Reacciones adversas.</w:t>
      </w:r>
      <w:r>
        <w:t xml:space="preserve"> Las reacciones adversas notificadas con mayor frecuencia en adultos y niños son dolor en el sitio de inyección, señalado por 3 a 29% de los vacunados, y una temperatura mayor de 37.7°C, dato señalado por 1 a 6%. La anafilaxia es poco común, y surge aproximadamente un caso en 600 000 vacunados, según la notificación pasiva de hechos adversos por la vacuna. Los datos de grandes estudios epidemiológicos comparativos no han señalado vínculo entre la vacuna de hepatitis B y el síndrome de muerte repentina del lactante, diabetes mellitus o enfermedad desmielinizante, incluida la esclerosis múltiple.</w:t>
      </w:r>
    </w:p>
    <w:p w14:paraId="75C76071"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Vacunación durante el embarazo o la lactancia.</w:t>
      </w:r>
      <w:r>
        <w:t xml:space="preserve"> La vacunación de una embarazada no ha originado ningún efecto adverso en el feto. La infección por HBV puede originar ataque grave en la mujer e infección crónica en el neonato, por lo que el</w:t>
      </w:r>
      <w:r>
        <w:br w:type="page"/>
      </w:r>
    </w:p>
    <w:p w14:paraId="7CCBD0C0" w14:textId="77777777" w:rsidR="00093A32" w:rsidRDefault="00093A32">
      <w:pPr>
        <w:pStyle w:val="Heading31"/>
        <w:keepNext/>
        <w:keepLines/>
        <w:spacing w:after="51"/>
        <w:jc w:val="center"/>
      </w:pPr>
      <w:bookmarkStart w:id="186" w:name="bookmark792"/>
      <w:bookmarkStart w:id="187" w:name="bookmark793"/>
      <w:bookmarkStart w:id="188" w:name="bookmark794"/>
      <w:r>
        <w:rPr>
          <w:b w:val="0"/>
          <w:bCs w:val="0"/>
        </w:rPr>
        <w:t xml:space="preserve">Cuadro 3-25. </w:t>
      </w:r>
      <w:r>
        <w:t>Dosis recomendadas de vacunas contra hepatitis B</w:t>
      </w:r>
      <w:bookmarkEnd w:id="186"/>
      <w:bookmarkEnd w:id="187"/>
      <w:bookmarkEnd w:id="188"/>
    </w:p>
    <w:p w14:paraId="32143FC6" w14:textId="77777777" w:rsidR="00093A32" w:rsidRDefault="00093A32">
      <w:pPr>
        <w:pStyle w:val="Heading41"/>
        <w:keepNext/>
        <w:keepLines/>
        <w:pBdr>
          <w:top w:val="single" w:sz="0" w:space="1" w:color="231F20"/>
          <w:left w:val="single" w:sz="0" w:space="0" w:color="231F20"/>
          <w:bottom w:val="single" w:sz="0" w:space="30" w:color="231F20"/>
          <w:right w:val="single" w:sz="0" w:space="0" w:color="231F20"/>
        </w:pBdr>
        <w:shd w:val="clear" w:color="auto" w:fill="231F20"/>
        <w:jc w:val="center"/>
      </w:pPr>
      <w:bookmarkStart w:id="189" w:name="bookmark795"/>
      <w:bookmarkStart w:id="190" w:name="bookmark796"/>
      <w:bookmarkStart w:id="191" w:name="bookmark797"/>
      <w:r>
        <w:rPr>
          <w:color w:val="FFFFFF"/>
        </w:rPr>
        <w:t>Vacuna</w:t>
      </w:r>
      <w:r>
        <w:rPr>
          <w:color w:val="FFFFFF"/>
          <w:vertAlign w:val="superscript"/>
        </w:rPr>
        <w:t>1</w:t>
      </w:r>
      <w:bookmarkEnd w:id="189"/>
      <w:bookmarkEnd w:id="190"/>
      <w:bookmarkEnd w:id="191"/>
    </w:p>
    <w:tbl>
      <w:tblPr>
        <w:tblOverlap w:val="never"/>
        <w:tblW w:w="0" w:type="auto"/>
        <w:jc w:val="center"/>
        <w:tblLayout w:type="fixed"/>
        <w:tblCellMar>
          <w:left w:w="10" w:type="dxa"/>
          <w:right w:w="10" w:type="dxa"/>
        </w:tblCellMar>
        <w:tblLook w:val="04A0" w:firstRow="1" w:lastRow="0" w:firstColumn="1" w:lastColumn="0" w:noHBand="0" w:noVBand="1"/>
      </w:tblPr>
      <w:tblGrid>
        <w:gridCol w:w="3120"/>
        <w:gridCol w:w="1906"/>
        <w:gridCol w:w="1728"/>
      </w:tblGrid>
      <w:tr w:rsidR="00093A32" w14:paraId="2356F1E2" w14:textId="77777777">
        <w:tblPrEx>
          <w:tblCellMar>
            <w:top w:w="0" w:type="dxa"/>
            <w:bottom w:w="0" w:type="dxa"/>
          </w:tblCellMar>
        </w:tblPrEx>
        <w:trPr>
          <w:trHeight w:hRule="exact" w:val="538"/>
          <w:jc w:val="center"/>
        </w:trPr>
        <w:tc>
          <w:tcPr>
            <w:tcW w:w="3120" w:type="dxa"/>
            <w:shd w:val="clear" w:color="auto" w:fill="231F20"/>
            <w:vAlign w:val="bottom"/>
          </w:tcPr>
          <w:p w14:paraId="4DDF69A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Pacientes</w:t>
            </w:r>
          </w:p>
        </w:tc>
        <w:tc>
          <w:tcPr>
            <w:tcW w:w="1906" w:type="dxa"/>
            <w:tcBorders>
              <w:top w:val="single" w:sz="4" w:space="0" w:color="auto"/>
            </w:tcBorders>
            <w:shd w:val="clear" w:color="auto" w:fill="231F20"/>
          </w:tcPr>
          <w:p w14:paraId="0EE59DB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Dosis de Recombivax HB</w:t>
            </w:r>
            <w:r>
              <w:rPr>
                <w:rFonts w:ascii="Arial" w:eastAsia="Arial" w:hAnsi="Arial" w:cs="Arial"/>
                <w:b/>
                <w:bCs/>
                <w:color w:val="FFFFFF"/>
                <w:w w:val="70"/>
                <w:sz w:val="24"/>
                <w:szCs w:val="24"/>
                <w:vertAlign w:val="superscript"/>
              </w:rPr>
              <w:footnoteReference w:id="15"/>
            </w:r>
            <w:r>
              <w:rPr>
                <w:rFonts w:ascii="Arial" w:eastAsia="Arial" w:hAnsi="Arial" w:cs="Arial"/>
                <w:b/>
                <w:bCs/>
                <w:color w:val="FFFFFF"/>
                <w:w w:val="70"/>
                <w:sz w:val="24"/>
                <w:szCs w:val="24"/>
                <w:vertAlign w:val="superscript"/>
              </w:rPr>
              <w:t xml:space="preserve"> </w:t>
            </w:r>
            <w:r>
              <w:rPr>
                <w:rFonts w:ascii="Arial" w:eastAsia="Arial" w:hAnsi="Arial" w:cs="Arial"/>
                <w:b/>
                <w:bCs/>
                <w:color w:val="FFFFFF"/>
                <w:w w:val="70"/>
                <w:sz w:val="24"/>
                <w:szCs w:val="24"/>
                <w:vertAlign w:val="superscript"/>
              </w:rPr>
              <w:footnoteReference w:id="16"/>
            </w:r>
            <w:r>
              <w:rPr>
                <w:rFonts w:ascii="Arial" w:eastAsia="Arial" w:hAnsi="Arial" w:cs="Arial"/>
                <w:b/>
                <w:bCs/>
                <w:color w:val="FFFFFF"/>
                <w:w w:val="70"/>
                <w:sz w:val="24"/>
                <w:szCs w:val="24"/>
                <w:vertAlign w:val="superscript"/>
              </w:rPr>
              <w:t xml:space="preserve"> </w:t>
            </w:r>
            <w:r>
              <w:rPr>
                <w:rFonts w:ascii="Arial" w:eastAsia="Arial" w:hAnsi="Arial" w:cs="Arial"/>
                <w:b/>
                <w:bCs/>
                <w:color w:val="FFFFFF"/>
                <w:w w:val="70"/>
                <w:sz w:val="24"/>
                <w:szCs w:val="24"/>
                <w:vertAlign w:val="superscript"/>
              </w:rPr>
              <w:footnoteReference w:id="17"/>
            </w:r>
            <w:r>
              <w:rPr>
                <w:rFonts w:ascii="Arial" w:eastAsia="Arial" w:hAnsi="Arial" w:cs="Arial"/>
                <w:b/>
                <w:bCs/>
                <w:color w:val="FFFFFF"/>
                <w:w w:val="70"/>
                <w:sz w:val="24"/>
                <w:szCs w:val="24"/>
              </w:rPr>
              <w:t>, pg (ml)</w:t>
            </w:r>
          </w:p>
        </w:tc>
        <w:tc>
          <w:tcPr>
            <w:tcW w:w="1728" w:type="dxa"/>
            <w:tcBorders>
              <w:top w:val="single" w:sz="4" w:space="0" w:color="auto"/>
            </w:tcBorders>
            <w:shd w:val="clear" w:color="auto" w:fill="231F20"/>
          </w:tcPr>
          <w:p w14:paraId="19DF373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jc w:val="center"/>
              <w:rPr>
                <w:sz w:val="24"/>
                <w:szCs w:val="24"/>
              </w:rPr>
            </w:pPr>
            <w:r>
              <w:rPr>
                <w:rFonts w:ascii="Arial" w:eastAsia="Arial" w:hAnsi="Arial" w:cs="Arial"/>
                <w:b/>
                <w:bCs/>
                <w:color w:val="FFFFFF"/>
                <w:w w:val="70"/>
                <w:sz w:val="24"/>
                <w:szCs w:val="24"/>
              </w:rPr>
              <w:t>Dosis de Engerix-B</w:t>
            </w:r>
            <w:r>
              <w:rPr>
                <w:rFonts w:ascii="Arial" w:eastAsia="Arial" w:hAnsi="Arial" w:cs="Arial"/>
                <w:b/>
                <w:bCs/>
                <w:color w:val="FFFFFF"/>
                <w:w w:val="70"/>
                <w:sz w:val="24"/>
                <w:szCs w:val="24"/>
                <w:vertAlign w:val="superscript"/>
              </w:rPr>
              <w:footnoteReference w:id="18"/>
            </w:r>
            <w:r>
              <w:rPr>
                <w:rFonts w:ascii="Arial" w:eastAsia="Arial" w:hAnsi="Arial" w:cs="Arial"/>
                <w:b/>
                <w:bCs/>
                <w:color w:val="FFFFFF"/>
                <w:w w:val="70"/>
                <w:sz w:val="24"/>
                <w:szCs w:val="24"/>
              </w:rPr>
              <w:t>, pg (ml)</w:t>
            </w:r>
          </w:p>
        </w:tc>
      </w:tr>
      <w:tr w:rsidR="00093A32" w14:paraId="22D4ABA5" w14:textId="77777777">
        <w:tblPrEx>
          <w:tblCellMar>
            <w:top w:w="0" w:type="dxa"/>
            <w:bottom w:w="0" w:type="dxa"/>
          </w:tblCellMar>
        </w:tblPrEx>
        <w:trPr>
          <w:trHeight w:hRule="exact" w:val="706"/>
          <w:jc w:val="center"/>
        </w:trPr>
        <w:tc>
          <w:tcPr>
            <w:tcW w:w="3120" w:type="dxa"/>
            <w:shd w:val="clear" w:color="auto" w:fill="FFFFFF"/>
            <w:vAlign w:val="bottom"/>
          </w:tcPr>
          <w:p w14:paraId="598A32F5"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Recién nacidos de madres sin antígenos de superficie de HB y niños y adolescentes menores de 20 años de edad</w:t>
            </w:r>
          </w:p>
        </w:tc>
        <w:tc>
          <w:tcPr>
            <w:tcW w:w="1906" w:type="dxa"/>
            <w:shd w:val="clear" w:color="auto" w:fill="FFFFFF"/>
          </w:tcPr>
          <w:p w14:paraId="25D1C243"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5 (0.5)</w:t>
            </w:r>
          </w:p>
        </w:tc>
        <w:tc>
          <w:tcPr>
            <w:tcW w:w="1728" w:type="dxa"/>
            <w:shd w:val="clear" w:color="auto" w:fill="FFFFFF"/>
          </w:tcPr>
          <w:p w14:paraId="7B165556" w14:textId="77777777" w:rsidR="00093A32" w:rsidRDefault="00093A32">
            <w:pPr>
              <w:pStyle w:val="Other0"/>
              <w:spacing w:line="240" w:lineRule="auto"/>
              <w:ind w:firstLine="340"/>
              <w:rPr>
                <w:sz w:val="16"/>
                <w:szCs w:val="16"/>
              </w:rPr>
            </w:pPr>
            <w:r>
              <w:rPr>
                <w:rFonts w:ascii="Times New Roman" w:eastAsia="Times New Roman" w:hAnsi="Times New Roman" w:cs="Times New Roman"/>
                <w:sz w:val="16"/>
                <w:szCs w:val="16"/>
              </w:rPr>
              <w:t>10 (0.5)</w:t>
            </w:r>
          </w:p>
        </w:tc>
      </w:tr>
      <w:tr w:rsidR="00093A32" w14:paraId="105C16B5" w14:textId="77777777">
        <w:tblPrEx>
          <w:tblCellMar>
            <w:top w:w="0" w:type="dxa"/>
            <w:bottom w:w="0" w:type="dxa"/>
          </w:tblCellMar>
        </w:tblPrEx>
        <w:trPr>
          <w:trHeight w:hRule="exact" w:val="648"/>
          <w:jc w:val="center"/>
        </w:trPr>
        <w:tc>
          <w:tcPr>
            <w:tcW w:w="3120" w:type="dxa"/>
            <w:shd w:val="clear" w:color="auto" w:fill="FFFFFF"/>
            <w:vAlign w:val="bottom"/>
          </w:tcPr>
          <w:p w14:paraId="53C9A5E4"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Lactantes de madres con el antígeno de superficie (también se recomienda concentrado HBIG [0.5 ml])</w:t>
            </w:r>
          </w:p>
        </w:tc>
        <w:tc>
          <w:tcPr>
            <w:tcW w:w="1906" w:type="dxa"/>
            <w:shd w:val="clear" w:color="auto" w:fill="FFFFFF"/>
          </w:tcPr>
          <w:p w14:paraId="79EE0A92"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5 (0.5)</w:t>
            </w:r>
          </w:p>
        </w:tc>
        <w:tc>
          <w:tcPr>
            <w:tcW w:w="1728" w:type="dxa"/>
            <w:shd w:val="clear" w:color="auto" w:fill="FFFFFF"/>
          </w:tcPr>
          <w:p w14:paraId="3C186EB6" w14:textId="77777777" w:rsidR="00093A32" w:rsidRDefault="00093A32">
            <w:pPr>
              <w:pStyle w:val="Other0"/>
              <w:spacing w:line="240" w:lineRule="auto"/>
              <w:ind w:firstLine="340"/>
              <w:rPr>
                <w:sz w:val="16"/>
                <w:szCs w:val="16"/>
              </w:rPr>
            </w:pPr>
            <w:r>
              <w:rPr>
                <w:rFonts w:ascii="Times New Roman" w:eastAsia="Times New Roman" w:hAnsi="Times New Roman" w:cs="Times New Roman"/>
                <w:sz w:val="16"/>
                <w:szCs w:val="16"/>
              </w:rPr>
              <w:t>10 (0.5)</w:t>
            </w:r>
          </w:p>
        </w:tc>
      </w:tr>
      <w:tr w:rsidR="00093A32" w14:paraId="7BC03867" w14:textId="77777777">
        <w:tblPrEx>
          <w:tblCellMar>
            <w:top w:w="0" w:type="dxa"/>
            <w:bottom w:w="0" w:type="dxa"/>
          </w:tblCellMar>
        </w:tblPrEx>
        <w:trPr>
          <w:trHeight w:hRule="exact" w:val="226"/>
          <w:jc w:val="center"/>
        </w:trPr>
        <w:tc>
          <w:tcPr>
            <w:tcW w:w="3120" w:type="dxa"/>
            <w:shd w:val="clear" w:color="auto" w:fill="FFFFFF"/>
            <w:vAlign w:val="bottom"/>
          </w:tcPr>
          <w:p w14:paraId="37DFE86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Adultos de 20 años de edad o mayores</w:t>
            </w:r>
          </w:p>
        </w:tc>
        <w:tc>
          <w:tcPr>
            <w:tcW w:w="1906" w:type="dxa"/>
            <w:shd w:val="clear" w:color="auto" w:fill="FFFFFF"/>
            <w:vAlign w:val="bottom"/>
          </w:tcPr>
          <w:p w14:paraId="23E2CE25"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10 (1.0)</w:t>
            </w:r>
          </w:p>
        </w:tc>
        <w:tc>
          <w:tcPr>
            <w:tcW w:w="1728" w:type="dxa"/>
            <w:shd w:val="clear" w:color="auto" w:fill="FFFFFF"/>
            <w:vAlign w:val="bottom"/>
          </w:tcPr>
          <w:p w14:paraId="4F0B336A" w14:textId="77777777" w:rsidR="00093A32" w:rsidRDefault="00093A32">
            <w:pPr>
              <w:pStyle w:val="Other0"/>
              <w:spacing w:line="240" w:lineRule="auto"/>
              <w:ind w:firstLine="340"/>
              <w:rPr>
                <w:sz w:val="16"/>
                <w:szCs w:val="16"/>
              </w:rPr>
            </w:pPr>
            <w:r>
              <w:rPr>
                <w:rFonts w:ascii="Times New Roman" w:eastAsia="Times New Roman" w:hAnsi="Times New Roman" w:cs="Times New Roman"/>
                <w:sz w:val="16"/>
                <w:szCs w:val="16"/>
              </w:rPr>
              <w:t>20 (1.0)</w:t>
            </w:r>
          </w:p>
        </w:tc>
      </w:tr>
      <w:tr w:rsidR="00093A32" w14:paraId="2B49457C" w14:textId="77777777">
        <w:tblPrEx>
          <w:tblCellMar>
            <w:top w:w="0" w:type="dxa"/>
            <w:bottom w:w="0" w:type="dxa"/>
          </w:tblCellMar>
        </w:tblPrEx>
        <w:trPr>
          <w:trHeight w:hRule="exact" w:val="230"/>
          <w:jc w:val="center"/>
        </w:trPr>
        <w:tc>
          <w:tcPr>
            <w:tcW w:w="3120" w:type="dxa"/>
            <w:shd w:val="clear" w:color="auto" w:fill="FFFFFF"/>
          </w:tcPr>
          <w:p w14:paraId="1840D1E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Personas sometidas a diálisis y otros adultos</w:t>
            </w:r>
          </w:p>
        </w:tc>
        <w:tc>
          <w:tcPr>
            <w:tcW w:w="1906" w:type="dxa"/>
            <w:shd w:val="clear" w:color="auto" w:fill="FFFFFF"/>
          </w:tcPr>
          <w:p w14:paraId="09C0BEB8"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40 (1.0)</w:t>
            </w:r>
            <w:r>
              <w:rPr>
                <w:rFonts w:ascii="Times New Roman" w:eastAsia="Times New Roman" w:hAnsi="Times New Roman" w:cs="Times New Roman"/>
                <w:sz w:val="16"/>
                <w:szCs w:val="16"/>
                <w:vertAlign w:val="superscript"/>
              </w:rPr>
              <w:footnoteReference w:id="19"/>
            </w:r>
          </w:p>
        </w:tc>
        <w:tc>
          <w:tcPr>
            <w:tcW w:w="1728" w:type="dxa"/>
            <w:shd w:val="clear" w:color="auto" w:fill="FFFFFF"/>
          </w:tcPr>
          <w:p w14:paraId="426156BC" w14:textId="77777777" w:rsidR="00093A32" w:rsidRDefault="00093A32">
            <w:pPr>
              <w:pStyle w:val="Other0"/>
              <w:spacing w:line="240" w:lineRule="auto"/>
              <w:ind w:firstLine="340"/>
              <w:rPr>
                <w:sz w:val="16"/>
                <w:szCs w:val="16"/>
              </w:rPr>
            </w:pPr>
            <w:r>
              <w:rPr>
                <w:rFonts w:ascii="Times New Roman" w:eastAsia="Times New Roman" w:hAnsi="Times New Roman" w:cs="Times New Roman"/>
                <w:sz w:val="16"/>
                <w:szCs w:val="16"/>
              </w:rPr>
              <w:t>40 (2.0)</w:t>
            </w:r>
            <w:r>
              <w:rPr>
                <w:rFonts w:ascii="Times New Roman" w:eastAsia="Times New Roman" w:hAnsi="Times New Roman" w:cs="Times New Roman"/>
                <w:sz w:val="16"/>
                <w:szCs w:val="16"/>
                <w:vertAlign w:val="superscript"/>
              </w:rPr>
              <w:footnoteReference w:id="20"/>
            </w:r>
          </w:p>
        </w:tc>
      </w:tr>
    </w:tbl>
    <w:p w14:paraId="34FB820F" w14:textId="77777777" w:rsidR="00093A32" w:rsidRDefault="00093A32">
      <w:pPr>
        <w:pStyle w:val="Tablecaption0"/>
        <w:spacing w:line="240" w:lineRule="auto"/>
        <w:ind w:left="115"/>
        <w:rPr>
          <w:sz w:val="16"/>
          <w:szCs w:val="16"/>
        </w:rPr>
      </w:pPr>
      <w:r>
        <w:rPr>
          <w:sz w:val="16"/>
          <w:szCs w:val="16"/>
        </w:rPr>
        <w:t>con inmunosupresión</w:t>
      </w:r>
    </w:p>
    <w:p w14:paraId="2FB95563" w14:textId="77777777" w:rsidR="00093A32" w:rsidRDefault="00093A32">
      <w:pPr>
        <w:pStyle w:val="BodyText"/>
        <w:ind w:firstLine="0"/>
      </w:pPr>
      <w:r>
        <w:t>antígeno de superfìcie de HB. Además, los productos de madres con el antígeno recién mencionado deben ser sometidos a pruebas para detectarlo y también los anticuerpos contra él, a los nueve y 15 meses de vida. Algunos expertos prefieren realizar pruebas serológicas uno a tres meses después de haber completado la serie primaria (véase después en este resumen “Prevención de infección perinatal por HBV”).</w:t>
      </w:r>
    </w:p>
    <w:p w14:paraId="740D8BEE"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Tratamiento de personas que no reaccionan.</w:t>
      </w:r>
      <w:r>
        <w:t xml:space="preserve"> Las personas que han recibido vacuna, pero que no desencadenaron una respuesta sérica de anticuerpo contra HBs (</w:t>
      </w:r>
      <w:r>
        <w:rPr>
          <w:rFonts w:ascii="Arial" w:eastAsia="Arial" w:hAnsi="Arial" w:cs="Arial"/>
        </w:rPr>
        <w:t xml:space="preserve">&gt; </w:t>
      </w:r>
      <w:r>
        <w:t>10 mUI/ml) después de una serie de vacunas primarias, deben ser vacunados de nuevo (salvo que se advierta que poseen el antígeno de superficie) con otra serie complementaria de tres dosis. Las personas que siguen mostrando ausencia del antígeno de superficie después de una nueva serie de vacunas quizá no reaccionen a las dosis extra de estos productos.</w:t>
      </w:r>
    </w:p>
    <w:p w14:paraId="46BE28EA"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Alteración de dosis y calendarios.</w:t>
      </w:r>
      <w:r>
        <w:t xml:space="preserve"> A veces se necesitan dosis más altas de la vacuna, un número mayor de ellas, o ambas estrategias, para obtener concentraciones protectoras de anticuerpos contra HBs en adultos sometidos a hemodiálisis (cuadro 3-25). En ocasiones también se necesitan más dosis, o que éstas sean mayores, en personas inmunodeficientes, incluidos los VIH-seropositivos. Sin embargo, son escasos los datos correspondientes a adultos, y no hay información de niños respecto de la reacción inmunitaria a dosis mayores de vacunas en tales pacientes, por lo que es imposible hacer recomendaciones específicas. En el caso de niños con insuficiencia renal crónica progresiva, se recomienda aplicar la vacuna contra hepatitis B en los comienzos de la evolución de la enfermedad para obtener protección y disminuir posiblemente la necesidad de recurrir a dosis mayores una vez iniciada la diálisis. Para personas de 11 a 15 años se ha aprobado un calendario de dos dosis con la presentación univacunal; cuatro a seis meses después de la primera dosis se aplica una segunda.</w:t>
      </w:r>
    </w:p>
    <w:p w14:paraId="083471CD" w14:textId="77777777" w:rsidR="00093A32" w:rsidRDefault="00093A32">
      <w:pPr>
        <w:pStyle w:val="BodyText"/>
        <w:spacing w:line="276" w:lineRule="auto"/>
        <w:ind w:firstLine="360"/>
      </w:pPr>
      <w:r>
        <w:rPr>
          <w:rFonts w:ascii="Arial" w:eastAsia="Arial" w:hAnsi="Arial" w:cs="Arial"/>
          <w:b/>
          <w:bCs/>
          <w:i/>
          <w:iCs/>
          <w:sz w:val="15"/>
          <w:szCs w:val="15"/>
        </w:rPr>
        <w:t>Vacunación universal previa a exposición.</w:t>
      </w:r>
      <w:r>
        <w:t xml:space="preserve"> En todos los lactantes se recomienda la vacunación sistemática antes de cualquier exposición. La primera dosis se aplicará poco después del nacimiento y antes del alta del hospital u otro centro de atención. La primera dosis también puede aplicarse a los dos meses de vida, pero sólo si la madre no tiene antígeno de superficie de HB. Entre los seis y 18 meses de vida se completará la serie de vacunas contra hepatitis B (tres o cuatro dosis; consúltese los comentarios en cuanto a la dosis que se aplica al neonato, en párrafos siguientes) en hijos de madres sin el antígeno mencionado. En cualquier visita al médico se comenzará la serie de vacunas en todo niño y adolescente que no ha sido vacunado contra la hepatitis B.</w:t>
      </w:r>
    </w:p>
    <w:p w14:paraId="5EFE8250" w14:textId="77777777" w:rsidR="00093A32" w:rsidRDefault="00093A32">
      <w:pPr>
        <w:pStyle w:val="BodyText"/>
        <w:ind w:firstLine="360"/>
      </w:pPr>
      <w:r>
        <w:t>Se alcanzan cifras altas de seroconversión y concentraciones protectoras de anticuerpo contra HBs (</w:t>
      </w:r>
      <w:r>
        <w:rPr>
          <w:rFonts w:ascii="Arial" w:eastAsia="Arial" w:hAnsi="Arial" w:cs="Arial"/>
        </w:rPr>
        <w:t>&gt;</w:t>
      </w:r>
      <w:r>
        <w:t>10 mUI/ml) cuando se aplica la vacuna en cualquiera de los calendarios de tres y cuatro dosis, incluidos los que iniciaron la aplicación poco después del nacimiento en productos a término. Sólo se utilizará vacuna contra un solo antígeno de hepatitis B si se aplica entre el nacimiento y las seis semanas de vida. La vacuna de un solo antígeno o varios de ellos puede utilizarse para completar la serie; cabe aplicar cuatro dosis de la vacuna si se aplicó una de ellas al nacer el producto y se utilizará para completar la serie</w:t>
      </w:r>
      <w:r>
        <w:footnoteReference w:id="21"/>
      </w:r>
      <w:r>
        <w:t xml:space="preserve"> una vacuna mixta que contenga un componente contra hepatitis B. Consúltese el cuadro 1-7 las directrices para los lapsos mínimos de programación entre una y otra dosis de la vacuna, en lactantes. El calendario seleccionado debe utilizarse para facilitar el máximo cumplimiento de órdenes médicas con la serie primaria de tres a cuatro dosis de la vacuna. En el caso de vacunación de niños de mayor edad y adolescentes, se puede seguir un plan que incluya aplicación a cero, uno y seis meses, o bien, cero, dos y cuatro meses; en el caso de adolescentes, los intervalos que varían de cero, dos y 24 meses originan una capacidad inmunógena equivalente. Se ha aprobado para niños de 11 a 15 años un plan de dos dosis con la vacuna de un solo antígeno; las vacunas se aplican al cero mes y cuatro a seis meses.</w:t>
      </w:r>
    </w:p>
    <w:p w14:paraId="64DA23C8" w14:textId="77777777" w:rsidR="00093A32" w:rsidRDefault="00093A32">
      <w:pPr>
        <w:pStyle w:val="BodyText"/>
        <w:ind w:firstLine="360"/>
      </w:pPr>
      <w:r>
        <w:t>En la figura 1-1 se señala el calendario recomendado para la vacunación sistemática contra hepatitis B en hijos de madres sin el antígeno de superficie. Las dosis de vacuna específicas para cada edad se indican en el cuadro 3-25. En Estados Unidos se pueden hacer productos mixtos (por combinación) que contengan vacuna contra hepatitis B, a condición de que sean aprobados por la Food and Drug Administration con base en la edad actual del menor y si también está indicada la administración de otros componentes del producto.</w:t>
      </w:r>
    </w:p>
    <w:p w14:paraId="1F9B9F01" w14:textId="77777777" w:rsidR="00093A32" w:rsidRDefault="00093A32">
      <w:pPr>
        <w:pStyle w:val="BodyText"/>
        <w:spacing w:line="276" w:lineRule="auto"/>
        <w:ind w:firstLine="360"/>
        <w:rPr>
          <w:sz w:val="20"/>
          <w:szCs w:val="20"/>
        </w:rPr>
      </w:pPr>
      <w:r>
        <w:rPr>
          <w:rFonts w:ascii="Times New Roman" w:eastAsia="Times New Roman" w:hAnsi="Times New Roman" w:cs="Times New Roman"/>
          <w:b/>
          <w:bCs/>
          <w:i/>
          <w:iCs/>
          <w:sz w:val="16"/>
          <w:szCs w:val="16"/>
        </w:rPr>
        <w:t>Vacunaciones retrasadas.</w:t>
      </w:r>
      <w:r>
        <w:t xml:space="preserve"> En el caso de retraso de vacunaciones (es decir, que el intervalo entre una y otra dosis es más largo del que se recomienda en los calendarios) se puede completar la serie de tres dosis, independientemente del lapso que medió desde la última dosis de la vacuna (véase “Retrasos y omisiones de las vacunaciones”, sección 1). </w:t>
      </w:r>
      <w:r>
        <w:rPr>
          <w:b/>
          <w:bCs/>
          <w:smallCaps/>
          <w:sz w:val="20"/>
          <w:szCs w:val="20"/>
        </w:rPr>
        <w:t>C</w:t>
      </w:r>
      <w:r>
        <w:rPr>
          <w:b/>
          <w:bCs/>
          <w:smallCaps/>
          <w:sz w:val="16"/>
          <w:szCs w:val="16"/>
        </w:rPr>
        <w:t>onsideraciones especiales</w:t>
      </w:r>
      <w:r>
        <w:rPr>
          <w:b/>
          <w:bCs/>
          <w:smallCaps/>
          <w:sz w:val="20"/>
          <w:szCs w:val="20"/>
        </w:rPr>
        <w:t>:</w:t>
      </w:r>
    </w:p>
    <w:p w14:paraId="302F99B1" w14:textId="77777777" w:rsidR="00093A32" w:rsidRDefault="00093A32">
      <w:pPr>
        <w:pStyle w:val="BodyText"/>
        <w:spacing w:line="276" w:lineRule="auto"/>
        <w:ind w:firstLine="0"/>
      </w:pPr>
      <w:r>
        <w:rPr>
          <w:rFonts w:ascii="Arial" w:eastAsia="Arial" w:hAnsi="Arial" w:cs="Arial"/>
          <w:b/>
          <w:bCs/>
          <w:i/>
          <w:iCs/>
          <w:sz w:val="15"/>
          <w:szCs w:val="15"/>
        </w:rPr>
        <w:t>Productos pretérmino.</w:t>
      </w:r>
      <w:r>
        <w:t xml:space="preserve"> Algunos estudios han demostrado que se observa la disminución de los índices de seroconversión en algunos productos pretérmino de bajo peso natal (p. ej., menos de 2 000 g) después de aplicarles al nacer la vacuna contra hepatitis B. Sin embargo, al mes de edad cronológica, todos los productos mencionados, médicamente estables (véase “Productos pretérmino y productos con bajo peso neonatal”, sección 1), independientemente del peso que tuvieron al nacer o la edad gestacional, tienen la misma capacidad de reaccionar a la vacuna que los productos de mayor edad y mayor peso. Todos los pequeños pretérmino hijos de mujeres con antígeno de superficie deben recibir inmunoprofilaxia de la vacuna contra hepatitis B y el concentrado HBIG en término de 12 h de haber nacido, seguido de las demás dosis en la serie y las pruebas adecuadas para los productos a término, después de la vacunación (véase cuadro 3-26). Si el pequeño hijo de una madre con antígeno s pesa menos de 2 000 g al nacer, será mejor no contar la dosis de vacuna aplicada en el nacimiento cuando se complete la serie de ellas, y se comenzará la aplicación de tres dosis cuando el menor tenga un mes de vida (véase cuadro 3-26). Desde el nacimiento hasta las seis semanas habrá que usar sólo vacunas monovalentes.</w:t>
      </w:r>
    </w:p>
    <w:p w14:paraId="2D27FB36" w14:textId="77777777" w:rsidR="00093A32" w:rsidRDefault="00093A32">
      <w:pPr>
        <w:pStyle w:val="BodyText"/>
        <w:ind w:firstLine="360"/>
      </w:pPr>
      <w:r>
        <w:t>Si en el nacimiento se desconoce el estado de la madre en cuanto al antígeno de superficie de HB habrá que aplicar la vacuna contra hepatitis B en el producto pretérmino en término de 12 h de nacido. En el caso de tales productos que pesan menos de 2 000 g al nacer habrá que conocer el estado antigénico (del antígeno de superficie) con la mayor prontitud posible; en caso de detectar tal antígeno se aplicará lo más pronto posible el concentrado de HBIG, pero en término de siete días desde el nacimiento, en un sitio distinto del de la vacuna. Si el peso neonatal es menor de 2 000 g y es imposible saber en término de 12 h de vida el estado antigénico de la madre, se aplicará un concentrado de HBIG porque la respuesta inmunitaria es menos fiable en productos pretérmino que pesan menos de 2 000 g e impide seguir la opción del periodo de espera de siete días, que es aceptable para los productos a término y pretérminos de mayor peso. Se utilizará sólo la vacuna monovalente desde el nacimiento hasta las seis semanas de vida.</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325"/>
        <w:gridCol w:w="2880"/>
        <w:gridCol w:w="2717"/>
      </w:tblGrid>
      <w:tr w:rsidR="00093A32" w14:paraId="374A85E1" w14:textId="77777777">
        <w:tblPrEx>
          <w:tblCellMar>
            <w:top w:w="0" w:type="dxa"/>
            <w:bottom w:w="0" w:type="dxa"/>
          </w:tblCellMar>
        </w:tblPrEx>
        <w:trPr>
          <w:trHeight w:hRule="exact" w:val="547"/>
          <w:jc w:val="center"/>
        </w:trPr>
        <w:tc>
          <w:tcPr>
            <w:tcW w:w="1325" w:type="dxa"/>
            <w:vMerge w:val="restart"/>
            <w:tcBorders>
              <w:top w:val="single" w:sz="4" w:space="0" w:color="auto"/>
            </w:tcBorders>
            <w:shd w:val="clear" w:color="auto" w:fill="FFFFFF"/>
            <w:vAlign w:val="center"/>
          </w:tcPr>
          <w:p w14:paraId="71DD0D46" w14:textId="77777777" w:rsidR="00093A32" w:rsidRDefault="00093A32">
            <w:pPr>
              <w:pStyle w:val="Other0"/>
              <w:spacing w:line="240" w:lineRule="auto"/>
              <w:ind w:firstLine="0"/>
              <w:rPr>
                <w:sz w:val="26"/>
                <w:szCs w:val="26"/>
              </w:rPr>
            </w:pPr>
            <w:r>
              <w:rPr>
                <w:rFonts w:ascii="Arial" w:eastAsia="Arial" w:hAnsi="Arial" w:cs="Arial"/>
                <w:w w:val="70"/>
                <w:sz w:val="26"/>
                <w:szCs w:val="26"/>
              </w:rPr>
              <w:t>Cuadro 3-26.</w:t>
            </w:r>
          </w:p>
        </w:tc>
        <w:tc>
          <w:tcPr>
            <w:tcW w:w="5597" w:type="dxa"/>
            <w:gridSpan w:val="2"/>
            <w:tcBorders>
              <w:top w:val="single" w:sz="4" w:space="0" w:color="auto"/>
            </w:tcBorders>
            <w:shd w:val="clear" w:color="auto" w:fill="FFFFFF"/>
            <w:vAlign w:val="bottom"/>
          </w:tcPr>
          <w:p w14:paraId="48531B48" w14:textId="77777777" w:rsidR="00093A32" w:rsidRDefault="00093A32">
            <w:pPr>
              <w:pStyle w:val="Other0"/>
              <w:spacing w:line="240" w:lineRule="auto"/>
              <w:ind w:firstLine="0"/>
              <w:rPr>
                <w:sz w:val="26"/>
                <w:szCs w:val="26"/>
              </w:rPr>
            </w:pPr>
            <w:r>
              <w:rPr>
                <w:rFonts w:ascii="Arial" w:eastAsia="Arial" w:hAnsi="Arial" w:cs="Arial"/>
                <w:b/>
                <w:bCs/>
                <w:w w:val="70"/>
                <w:sz w:val="26"/>
                <w:szCs w:val="26"/>
              </w:rPr>
              <w:t>Esquema inmunoprofiláctico contra hepatitis B en productos</w:t>
            </w:r>
          </w:p>
        </w:tc>
      </w:tr>
      <w:tr w:rsidR="00093A32" w14:paraId="0614CADF" w14:textId="77777777">
        <w:tblPrEx>
          <w:tblCellMar>
            <w:top w:w="0" w:type="dxa"/>
            <w:bottom w:w="0" w:type="dxa"/>
          </w:tblCellMar>
        </w:tblPrEx>
        <w:trPr>
          <w:trHeight w:hRule="exact" w:val="322"/>
          <w:jc w:val="center"/>
        </w:trPr>
        <w:tc>
          <w:tcPr>
            <w:tcW w:w="1325" w:type="dxa"/>
            <w:vMerge/>
            <w:shd w:val="clear" w:color="auto" w:fill="FFFFFF"/>
            <w:vAlign w:val="center"/>
          </w:tcPr>
          <w:p w14:paraId="40FED1B8" w14:textId="77777777" w:rsidR="00093A32" w:rsidRDefault="00093A32"/>
        </w:tc>
        <w:tc>
          <w:tcPr>
            <w:tcW w:w="2880" w:type="dxa"/>
            <w:shd w:val="clear" w:color="auto" w:fill="FFFFFF"/>
          </w:tcPr>
          <w:p w14:paraId="0AC0568A" w14:textId="77777777" w:rsidR="00093A32" w:rsidRDefault="00093A32">
            <w:pPr>
              <w:pStyle w:val="Other0"/>
              <w:spacing w:line="240" w:lineRule="auto"/>
              <w:ind w:firstLine="460"/>
              <w:rPr>
                <w:sz w:val="26"/>
                <w:szCs w:val="26"/>
              </w:rPr>
            </w:pPr>
            <w:r>
              <w:rPr>
                <w:rFonts w:ascii="Arial" w:eastAsia="Arial" w:hAnsi="Arial" w:cs="Arial"/>
                <w:b/>
                <w:bCs/>
                <w:w w:val="70"/>
                <w:sz w:val="26"/>
                <w:szCs w:val="26"/>
              </w:rPr>
              <w:t>pretérmino y de bajo peso</w:t>
            </w:r>
          </w:p>
        </w:tc>
        <w:tc>
          <w:tcPr>
            <w:tcW w:w="2717" w:type="dxa"/>
            <w:shd w:val="clear" w:color="auto" w:fill="FFFFFF"/>
          </w:tcPr>
          <w:p w14:paraId="0FC4A5AE" w14:textId="77777777" w:rsidR="00093A32" w:rsidRDefault="00093A32">
            <w:pPr>
              <w:pStyle w:val="Other0"/>
              <w:spacing w:line="240" w:lineRule="auto"/>
              <w:ind w:firstLine="0"/>
              <w:rPr>
                <w:sz w:val="26"/>
                <w:szCs w:val="26"/>
              </w:rPr>
            </w:pPr>
            <w:r>
              <w:rPr>
                <w:rFonts w:ascii="Arial" w:eastAsia="Arial" w:hAnsi="Arial" w:cs="Arial"/>
                <w:b/>
                <w:bCs/>
                <w:w w:val="70"/>
                <w:sz w:val="26"/>
                <w:szCs w:val="26"/>
              </w:rPr>
              <w:t>neonatal</w:t>
            </w:r>
            <w:r>
              <w:rPr>
                <w:rFonts w:ascii="Arial" w:eastAsia="Arial" w:hAnsi="Arial" w:cs="Arial"/>
                <w:b/>
                <w:bCs/>
                <w:w w:val="70"/>
                <w:sz w:val="26"/>
                <w:szCs w:val="26"/>
                <w:vertAlign w:val="superscript"/>
              </w:rPr>
              <w:t>1</w:t>
            </w:r>
          </w:p>
        </w:tc>
      </w:tr>
      <w:tr w:rsidR="00093A32" w14:paraId="5BFD73D9" w14:textId="77777777">
        <w:tblPrEx>
          <w:tblCellMar>
            <w:top w:w="0" w:type="dxa"/>
            <w:bottom w:w="0" w:type="dxa"/>
          </w:tblCellMar>
        </w:tblPrEx>
        <w:trPr>
          <w:trHeight w:hRule="exact" w:val="274"/>
          <w:jc w:val="center"/>
        </w:trPr>
        <w:tc>
          <w:tcPr>
            <w:tcW w:w="1325" w:type="dxa"/>
            <w:shd w:val="clear" w:color="auto" w:fill="231F20"/>
            <w:vAlign w:val="bottom"/>
          </w:tcPr>
          <w:p w14:paraId="66B78B8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Estado</w:t>
            </w:r>
          </w:p>
        </w:tc>
        <w:tc>
          <w:tcPr>
            <w:tcW w:w="2880" w:type="dxa"/>
            <w:shd w:val="clear" w:color="auto" w:fill="231F20"/>
            <w:vAlign w:val="bottom"/>
          </w:tcPr>
          <w:p w14:paraId="2A6F9A13"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00"/>
              <w:rPr>
                <w:sz w:val="24"/>
                <w:szCs w:val="24"/>
              </w:rPr>
            </w:pPr>
            <w:r>
              <w:rPr>
                <w:rFonts w:ascii="Arial" w:eastAsia="Arial" w:hAnsi="Arial" w:cs="Arial"/>
                <w:b/>
                <w:bCs/>
                <w:color w:val="FFFFFF"/>
                <w:w w:val="70"/>
                <w:sz w:val="24"/>
                <w:szCs w:val="24"/>
              </w:rPr>
              <w:t>Producto que pesa</w:t>
            </w:r>
          </w:p>
        </w:tc>
        <w:tc>
          <w:tcPr>
            <w:tcW w:w="2717" w:type="dxa"/>
            <w:shd w:val="clear" w:color="auto" w:fill="231F20"/>
            <w:vAlign w:val="bottom"/>
          </w:tcPr>
          <w:p w14:paraId="167685F3"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Lactante que pesa</w:t>
            </w:r>
          </w:p>
        </w:tc>
      </w:tr>
      <w:tr w:rsidR="00093A32" w14:paraId="4524965B" w14:textId="77777777">
        <w:tblPrEx>
          <w:tblCellMar>
            <w:top w:w="0" w:type="dxa"/>
            <w:bottom w:w="0" w:type="dxa"/>
          </w:tblCellMar>
        </w:tblPrEx>
        <w:trPr>
          <w:trHeight w:hRule="exact" w:val="278"/>
          <w:jc w:val="center"/>
        </w:trPr>
        <w:tc>
          <w:tcPr>
            <w:tcW w:w="1325" w:type="dxa"/>
            <w:shd w:val="clear" w:color="auto" w:fill="231F20"/>
          </w:tcPr>
          <w:p w14:paraId="25522AF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de la madre</w:t>
            </w:r>
          </w:p>
        </w:tc>
        <w:tc>
          <w:tcPr>
            <w:tcW w:w="2880" w:type="dxa"/>
            <w:shd w:val="clear" w:color="auto" w:fill="231F20"/>
          </w:tcPr>
          <w:p w14:paraId="5C481FF9"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60"/>
              <w:rPr>
                <w:sz w:val="24"/>
                <w:szCs w:val="24"/>
              </w:rPr>
            </w:pPr>
            <w:r>
              <w:rPr>
                <w:rFonts w:ascii="Arial" w:eastAsia="Arial" w:hAnsi="Arial" w:cs="Arial"/>
                <w:b/>
                <w:bCs/>
                <w:color w:val="FFFFFF"/>
                <w:w w:val="70"/>
                <w:sz w:val="24"/>
                <w:szCs w:val="24"/>
              </w:rPr>
              <w:t>2 000 g o más</w:t>
            </w:r>
          </w:p>
        </w:tc>
        <w:tc>
          <w:tcPr>
            <w:tcW w:w="2717" w:type="dxa"/>
            <w:shd w:val="clear" w:color="auto" w:fill="231F20"/>
          </w:tcPr>
          <w:p w14:paraId="55FF7B2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00"/>
              <w:rPr>
                <w:sz w:val="24"/>
                <w:szCs w:val="24"/>
              </w:rPr>
            </w:pPr>
            <w:r>
              <w:rPr>
                <w:rFonts w:ascii="Arial" w:eastAsia="Arial" w:hAnsi="Arial" w:cs="Arial"/>
                <w:b/>
                <w:bCs/>
                <w:color w:val="FFFFFF"/>
                <w:w w:val="70"/>
                <w:sz w:val="24"/>
                <w:szCs w:val="24"/>
              </w:rPr>
              <w:t>menos de 2 000 g</w:t>
            </w:r>
          </w:p>
        </w:tc>
      </w:tr>
      <w:tr w:rsidR="00093A32" w14:paraId="5491C102" w14:textId="77777777">
        <w:tblPrEx>
          <w:tblCellMar>
            <w:top w:w="0" w:type="dxa"/>
            <w:bottom w:w="0" w:type="dxa"/>
          </w:tblCellMar>
        </w:tblPrEx>
        <w:trPr>
          <w:trHeight w:hRule="exact" w:val="288"/>
          <w:jc w:val="center"/>
        </w:trPr>
        <w:tc>
          <w:tcPr>
            <w:tcW w:w="4205" w:type="dxa"/>
            <w:gridSpan w:val="2"/>
            <w:shd w:val="clear" w:color="auto" w:fill="FFFFFF"/>
            <w:vAlign w:val="bottom"/>
          </w:tcPr>
          <w:p w14:paraId="27A8FF5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Presencia de antígeno Vacuna contra hepatitis B +</w:t>
            </w:r>
          </w:p>
        </w:tc>
        <w:tc>
          <w:tcPr>
            <w:tcW w:w="2717" w:type="dxa"/>
            <w:shd w:val="clear" w:color="auto" w:fill="FFFFFF"/>
            <w:vAlign w:val="bottom"/>
          </w:tcPr>
          <w:p w14:paraId="1957B39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Vacuna contra hepatitis B + HBIG</w:t>
            </w:r>
          </w:p>
        </w:tc>
      </w:tr>
      <w:tr w:rsidR="00093A32" w14:paraId="567A718F" w14:textId="77777777">
        <w:tblPrEx>
          <w:tblCellMar>
            <w:top w:w="0" w:type="dxa"/>
            <w:bottom w:w="0" w:type="dxa"/>
          </w:tblCellMar>
        </w:tblPrEx>
        <w:trPr>
          <w:trHeight w:hRule="exact" w:val="427"/>
          <w:jc w:val="center"/>
        </w:trPr>
        <w:tc>
          <w:tcPr>
            <w:tcW w:w="1325" w:type="dxa"/>
            <w:shd w:val="clear" w:color="auto" w:fill="FFFFFF"/>
          </w:tcPr>
          <w:p w14:paraId="76A64E0D"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de superficie HB</w:t>
            </w:r>
          </w:p>
        </w:tc>
        <w:tc>
          <w:tcPr>
            <w:tcW w:w="2880" w:type="dxa"/>
            <w:shd w:val="clear" w:color="auto" w:fill="FFFFFF"/>
          </w:tcPr>
          <w:p w14:paraId="650D513D" w14:textId="77777777" w:rsidR="00093A32" w:rsidRDefault="00093A32">
            <w:pPr>
              <w:pStyle w:val="Other0"/>
              <w:spacing w:line="283" w:lineRule="auto"/>
              <w:ind w:left="400" w:firstLine="0"/>
              <w:rPr>
                <w:sz w:val="16"/>
                <w:szCs w:val="16"/>
              </w:rPr>
            </w:pPr>
            <w:r>
              <w:rPr>
                <w:rFonts w:ascii="Times New Roman" w:eastAsia="Times New Roman" w:hAnsi="Times New Roman" w:cs="Times New Roman"/>
                <w:sz w:val="16"/>
                <w:szCs w:val="16"/>
              </w:rPr>
              <w:t>concentrado HBIG (en términos de 12 h del nacimiento)</w:t>
            </w:r>
          </w:p>
        </w:tc>
        <w:tc>
          <w:tcPr>
            <w:tcW w:w="2717" w:type="dxa"/>
            <w:shd w:val="clear" w:color="auto" w:fill="FFFFFF"/>
          </w:tcPr>
          <w:p w14:paraId="4AF28F90"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(en término de 12 h del nacimiento)</w:t>
            </w:r>
          </w:p>
        </w:tc>
      </w:tr>
      <w:tr w:rsidR="00093A32" w14:paraId="034C8E5A" w14:textId="77777777">
        <w:tblPrEx>
          <w:tblCellMar>
            <w:top w:w="0" w:type="dxa"/>
            <w:bottom w:w="0" w:type="dxa"/>
          </w:tblCellMar>
        </w:tblPrEx>
        <w:trPr>
          <w:trHeight w:hRule="exact" w:val="211"/>
          <w:jc w:val="center"/>
        </w:trPr>
        <w:tc>
          <w:tcPr>
            <w:tcW w:w="1325" w:type="dxa"/>
            <w:shd w:val="clear" w:color="auto" w:fill="FFFFFF"/>
          </w:tcPr>
          <w:p w14:paraId="32636A85" w14:textId="77777777" w:rsidR="00093A32" w:rsidRDefault="00093A32">
            <w:pPr>
              <w:rPr>
                <w:sz w:val="10"/>
                <w:szCs w:val="10"/>
              </w:rPr>
            </w:pPr>
          </w:p>
        </w:tc>
        <w:tc>
          <w:tcPr>
            <w:tcW w:w="2880" w:type="dxa"/>
            <w:shd w:val="clear" w:color="auto" w:fill="FFFFFF"/>
            <w:vAlign w:val="bottom"/>
          </w:tcPr>
          <w:p w14:paraId="2AFA358D"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Aplicar tres dosis de vacunas a cero,</w:t>
            </w:r>
          </w:p>
        </w:tc>
        <w:tc>
          <w:tcPr>
            <w:tcW w:w="2717" w:type="dxa"/>
            <w:shd w:val="clear" w:color="auto" w:fill="FFFFFF"/>
            <w:vAlign w:val="bottom"/>
          </w:tcPr>
          <w:p w14:paraId="5BE535C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Aplicar cuatro dosis de la vacuna a</w:t>
            </w:r>
          </w:p>
        </w:tc>
      </w:tr>
      <w:tr w:rsidR="00093A32" w14:paraId="6D74D3F8" w14:textId="77777777">
        <w:tblPrEx>
          <w:tblCellMar>
            <w:top w:w="0" w:type="dxa"/>
            <w:bottom w:w="0" w:type="dxa"/>
          </w:tblCellMar>
        </w:tblPrEx>
        <w:trPr>
          <w:trHeight w:hRule="exact" w:val="211"/>
          <w:jc w:val="center"/>
        </w:trPr>
        <w:tc>
          <w:tcPr>
            <w:tcW w:w="1325" w:type="dxa"/>
            <w:shd w:val="clear" w:color="auto" w:fill="FFFFFF"/>
          </w:tcPr>
          <w:p w14:paraId="2AFDC69F" w14:textId="77777777" w:rsidR="00093A32" w:rsidRDefault="00093A32">
            <w:pPr>
              <w:rPr>
                <w:sz w:val="10"/>
                <w:szCs w:val="10"/>
              </w:rPr>
            </w:pPr>
          </w:p>
        </w:tc>
        <w:tc>
          <w:tcPr>
            <w:tcW w:w="2880" w:type="dxa"/>
            <w:shd w:val="clear" w:color="auto" w:fill="FFFFFF"/>
            <w:vAlign w:val="bottom"/>
          </w:tcPr>
          <w:p w14:paraId="64B996E1"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uno y seis meses de edad</w:t>
            </w:r>
          </w:p>
        </w:tc>
        <w:tc>
          <w:tcPr>
            <w:tcW w:w="2717" w:type="dxa"/>
            <w:shd w:val="clear" w:color="auto" w:fill="FFFFFF"/>
            <w:vAlign w:val="bottom"/>
          </w:tcPr>
          <w:p w14:paraId="3EDE33C5"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cero, uno, dos a tres y 7 siete</w:t>
            </w:r>
          </w:p>
        </w:tc>
      </w:tr>
      <w:tr w:rsidR="00093A32" w14:paraId="67E94CD4" w14:textId="77777777">
        <w:tblPrEx>
          <w:tblCellMar>
            <w:top w:w="0" w:type="dxa"/>
            <w:bottom w:w="0" w:type="dxa"/>
          </w:tblCellMar>
        </w:tblPrEx>
        <w:trPr>
          <w:trHeight w:hRule="exact" w:val="216"/>
          <w:jc w:val="center"/>
        </w:trPr>
        <w:tc>
          <w:tcPr>
            <w:tcW w:w="1325" w:type="dxa"/>
            <w:shd w:val="clear" w:color="auto" w:fill="FFFFFF"/>
          </w:tcPr>
          <w:p w14:paraId="35F4D545" w14:textId="77777777" w:rsidR="00093A32" w:rsidRDefault="00093A32">
            <w:pPr>
              <w:rPr>
                <w:sz w:val="10"/>
                <w:szCs w:val="10"/>
              </w:rPr>
            </w:pPr>
          </w:p>
        </w:tc>
        <w:tc>
          <w:tcPr>
            <w:tcW w:w="2880" w:type="dxa"/>
            <w:shd w:val="clear" w:color="auto" w:fill="FFFFFF"/>
            <w:vAlign w:val="bottom"/>
          </w:tcPr>
          <w:p w14:paraId="0CA67B6E"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cronológica</w:t>
            </w:r>
          </w:p>
        </w:tc>
        <w:tc>
          <w:tcPr>
            <w:tcW w:w="2717" w:type="dxa"/>
            <w:shd w:val="clear" w:color="auto" w:fill="FFFFFF"/>
            <w:vAlign w:val="bottom"/>
          </w:tcPr>
          <w:p w14:paraId="69D9E9C0"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meses de edad cronológica</w:t>
            </w:r>
          </w:p>
        </w:tc>
      </w:tr>
      <w:tr w:rsidR="00093A32" w14:paraId="2FDD7970" w14:textId="77777777">
        <w:tblPrEx>
          <w:tblCellMar>
            <w:top w:w="0" w:type="dxa"/>
            <w:bottom w:w="0" w:type="dxa"/>
          </w:tblCellMar>
        </w:tblPrEx>
        <w:trPr>
          <w:trHeight w:hRule="exact" w:val="221"/>
          <w:jc w:val="center"/>
        </w:trPr>
        <w:tc>
          <w:tcPr>
            <w:tcW w:w="1325" w:type="dxa"/>
            <w:shd w:val="clear" w:color="auto" w:fill="FFFFFF"/>
          </w:tcPr>
          <w:p w14:paraId="7C35584C" w14:textId="77777777" w:rsidR="00093A32" w:rsidRDefault="00093A32">
            <w:pPr>
              <w:rPr>
                <w:sz w:val="10"/>
                <w:szCs w:val="10"/>
              </w:rPr>
            </w:pPr>
          </w:p>
        </w:tc>
        <w:tc>
          <w:tcPr>
            <w:tcW w:w="2880" w:type="dxa"/>
            <w:shd w:val="clear" w:color="auto" w:fill="FFFFFF"/>
            <w:vAlign w:val="bottom"/>
          </w:tcPr>
          <w:p w14:paraId="25896268"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Identificar anticuerpos</w:t>
            </w:r>
          </w:p>
        </w:tc>
        <w:tc>
          <w:tcPr>
            <w:tcW w:w="2717" w:type="dxa"/>
            <w:shd w:val="clear" w:color="auto" w:fill="FFFFFF"/>
            <w:vAlign w:val="bottom"/>
          </w:tcPr>
          <w:p w14:paraId="229100E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Entre los nueve y 15 meses de edad</w:t>
            </w:r>
          </w:p>
        </w:tc>
      </w:tr>
      <w:tr w:rsidR="00093A32" w14:paraId="7B6E500E" w14:textId="77777777">
        <w:tblPrEx>
          <w:tblCellMar>
            <w:top w:w="0" w:type="dxa"/>
            <w:bottom w:w="0" w:type="dxa"/>
          </w:tblCellMar>
        </w:tblPrEx>
        <w:trPr>
          <w:trHeight w:hRule="exact" w:val="226"/>
          <w:jc w:val="center"/>
        </w:trPr>
        <w:tc>
          <w:tcPr>
            <w:tcW w:w="1325" w:type="dxa"/>
            <w:shd w:val="clear" w:color="auto" w:fill="FFFFFF"/>
          </w:tcPr>
          <w:p w14:paraId="5E888265" w14:textId="77777777" w:rsidR="00093A32" w:rsidRDefault="00093A32">
            <w:pPr>
              <w:rPr>
                <w:sz w:val="10"/>
                <w:szCs w:val="10"/>
              </w:rPr>
            </w:pPr>
          </w:p>
        </w:tc>
        <w:tc>
          <w:tcPr>
            <w:tcW w:w="2880" w:type="dxa"/>
            <w:shd w:val="clear" w:color="auto" w:fill="FFFFFF"/>
            <w:vAlign w:val="bottom"/>
          </w:tcPr>
          <w:p w14:paraId="35FF4C30"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contra HBs y el antígeno</w:t>
            </w:r>
          </w:p>
        </w:tc>
        <w:tc>
          <w:tcPr>
            <w:tcW w:w="2717" w:type="dxa"/>
            <w:shd w:val="clear" w:color="auto" w:fill="FFFFFF"/>
            <w:vAlign w:val="bottom"/>
          </w:tcPr>
          <w:p w14:paraId="1E1A8BB5"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emprender valoraciones en busca</w:t>
            </w:r>
          </w:p>
        </w:tc>
      </w:tr>
      <w:tr w:rsidR="00093A32" w14:paraId="6369320E" w14:textId="77777777">
        <w:tblPrEx>
          <w:tblCellMar>
            <w:top w:w="0" w:type="dxa"/>
            <w:bottom w:w="0" w:type="dxa"/>
          </w:tblCellMar>
        </w:tblPrEx>
        <w:trPr>
          <w:trHeight w:hRule="exact" w:val="221"/>
          <w:jc w:val="center"/>
        </w:trPr>
        <w:tc>
          <w:tcPr>
            <w:tcW w:w="1325" w:type="dxa"/>
            <w:shd w:val="clear" w:color="auto" w:fill="FFFFFF"/>
          </w:tcPr>
          <w:p w14:paraId="520216DB" w14:textId="77777777" w:rsidR="00093A32" w:rsidRDefault="00093A32">
            <w:pPr>
              <w:rPr>
                <w:sz w:val="10"/>
                <w:szCs w:val="10"/>
              </w:rPr>
            </w:pPr>
          </w:p>
        </w:tc>
        <w:tc>
          <w:tcPr>
            <w:tcW w:w="2880" w:type="dxa"/>
            <w:shd w:val="clear" w:color="auto" w:fill="FFFFFF"/>
            <w:vAlign w:val="bottom"/>
          </w:tcPr>
          <w:p w14:paraId="3533AD72"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de superficie, a los nueve a</w:t>
            </w:r>
          </w:p>
        </w:tc>
        <w:tc>
          <w:tcPr>
            <w:tcW w:w="2717" w:type="dxa"/>
            <w:shd w:val="clear" w:color="auto" w:fill="FFFFFF"/>
            <w:vAlign w:val="bottom"/>
          </w:tcPr>
          <w:p w14:paraId="1A91B8BF"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de anticuerpos contra HBs y</w:t>
            </w:r>
          </w:p>
        </w:tc>
      </w:tr>
      <w:tr w:rsidR="00093A32" w14:paraId="17DFFB8D" w14:textId="77777777">
        <w:tblPrEx>
          <w:tblCellMar>
            <w:top w:w="0" w:type="dxa"/>
            <w:bottom w:w="0" w:type="dxa"/>
          </w:tblCellMar>
        </w:tblPrEx>
        <w:trPr>
          <w:trHeight w:hRule="exact" w:val="211"/>
          <w:jc w:val="center"/>
        </w:trPr>
        <w:tc>
          <w:tcPr>
            <w:tcW w:w="1325" w:type="dxa"/>
            <w:shd w:val="clear" w:color="auto" w:fill="FFFFFF"/>
          </w:tcPr>
          <w:p w14:paraId="55B2258A" w14:textId="77777777" w:rsidR="00093A32" w:rsidRDefault="00093A32">
            <w:pPr>
              <w:rPr>
                <w:sz w:val="10"/>
                <w:szCs w:val="10"/>
              </w:rPr>
            </w:pPr>
          </w:p>
        </w:tc>
        <w:tc>
          <w:tcPr>
            <w:tcW w:w="2880" w:type="dxa"/>
            <w:shd w:val="clear" w:color="auto" w:fill="FFFFFF"/>
          </w:tcPr>
          <w:p w14:paraId="2E5712E6"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15 meses de edad</w:t>
            </w:r>
            <w:r>
              <w:rPr>
                <w:rFonts w:ascii="Times New Roman" w:eastAsia="Times New Roman" w:hAnsi="Times New Roman" w:cs="Times New Roman"/>
                <w:sz w:val="16"/>
                <w:szCs w:val="16"/>
                <w:vertAlign w:val="superscript"/>
              </w:rPr>
              <w:t>2</w:t>
            </w:r>
          </w:p>
        </w:tc>
        <w:tc>
          <w:tcPr>
            <w:tcW w:w="2717" w:type="dxa"/>
            <w:shd w:val="clear" w:color="auto" w:fill="FFFFFF"/>
          </w:tcPr>
          <w:p w14:paraId="5D7CCD61"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antígenos de superficie de HB</w:t>
            </w:r>
            <w:r>
              <w:rPr>
                <w:rFonts w:ascii="Times New Roman" w:eastAsia="Times New Roman" w:hAnsi="Times New Roman" w:cs="Times New Roman"/>
                <w:sz w:val="16"/>
                <w:szCs w:val="16"/>
                <w:vertAlign w:val="superscript"/>
              </w:rPr>
              <w:t>2</w:t>
            </w:r>
          </w:p>
        </w:tc>
      </w:tr>
      <w:tr w:rsidR="00093A32" w14:paraId="7C045E00" w14:textId="77777777">
        <w:tblPrEx>
          <w:tblCellMar>
            <w:top w:w="0" w:type="dxa"/>
            <w:bottom w:w="0" w:type="dxa"/>
          </w:tblCellMar>
        </w:tblPrEx>
        <w:trPr>
          <w:trHeight w:hRule="exact" w:val="202"/>
          <w:jc w:val="center"/>
        </w:trPr>
        <w:tc>
          <w:tcPr>
            <w:tcW w:w="1325" w:type="dxa"/>
            <w:shd w:val="clear" w:color="auto" w:fill="FFFFFF"/>
          </w:tcPr>
          <w:p w14:paraId="06C206A0" w14:textId="77777777" w:rsidR="00093A32" w:rsidRDefault="00093A32">
            <w:pPr>
              <w:rPr>
                <w:sz w:val="10"/>
                <w:szCs w:val="10"/>
              </w:rPr>
            </w:pPr>
          </w:p>
        </w:tc>
        <w:tc>
          <w:tcPr>
            <w:tcW w:w="2880" w:type="dxa"/>
            <w:shd w:val="clear" w:color="auto" w:fill="FFFFFF"/>
          </w:tcPr>
          <w:p w14:paraId="5C84D6A7"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Si no se detecta en el lactante</w:t>
            </w:r>
          </w:p>
        </w:tc>
        <w:tc>
          <w:tcPr>
            <w:tcW w:w="2717" w:type="dxa"/>
            <w:shd w:val="clear" w:color="auto" w:fill="FFFFFF"/>
          </w:tcPr>
          <w:p w14:paraId="6F2BBD2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Si no se detecta en el lactante el</w:t>
            </w:r>
          </w:p>
        </w:tc>
      </w:tr>
      <w:tr w:rsidR="00093A32" w14:paraId="2C74CA2F" w14:textId="77777777">
        <w:tblPrEx>
          <w:tblCellMar>
            <w:top w:w="0" w:type="dxa"/>
            <w:bottom w:w="0" w:type="dxa"/>
          </w:tblCellMar>
        </w:tblPrEx>
        <w:trPr>
          <w:trHeight w:hRule="exact" w:val="250"/>
          <w:jc w:val="center"/>
        </w:trPr>
        <w:tc>
          <w:tcPr>
            <w:tcW w:w="1325" w:type="dxa"/>
            <w:shd w:val="clear" w:color="auto" w:fill="FFFFFF"/>
          </w:tcPr>
          <w:p w14:paraId="4E97284D" w14:textId="77777777" w:rsidR="00093A32" w:rsidRDefault="00093A32">
            <w:pPr>
              <w:rPr>
                <w:sz w:val="10"/>
                <w:szCs w:val="10"/>
              </w:rPr>
            </w:pPr>
          </w:p>
        </w:tc>
        <w:tc>
          <w:tcPr>
            <w:tcW w:w="2880" w:type="dxa"/>
            <w:shd w:val="clear" w:color="auto" w:fill="FFFFFF"/>
            <w:vAlign w:val="bottom"/>
          </w:tcPr>
          <w:p w14:paraId="17F1E705"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antígeno de superficie ni anticuerpos</w:t>
            </w:r>
          </w:p>
        </w:tc>
        <w:tc>
          <w:tcPr>
            <w:tcW w:w="2717" w:type="dxa"/>
            <w:shd w:val="clear" w:color="auto" w:fill="FFFFFF"/>
            <w:vAlign w:val="bottom"/>
          </w:tcPr>
          <w:p w14:paraId="36386483"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antígeno de superficie ni anticuerpos</w:t>
            </w:r>
          </w:p>
        </w:tc>
      </w:tr>
      <w:tr w:rsidR="00093A32" w14:paraId="0FEC05AD" w14:textId="77777777">
        <w:tblPrEx>
          <w:tblCellMar>
            <w:top w:w="0" w:type="dxa"/>
            <w:bottom w:w="0" w:type="dxa"/>
          </w:tblCellMar>
        </w:tblPrEx>
        <w:trPr>
          <w:trHeight w:hRule="exact" w:val="178"/>
          <w:jc w:val="center"/>
        </w:trPr>
        <w:tc>
          <w:tcPr>
            <w:tcW w:w="1325" w:type="dxa"/>
            <w:shd w:val="clear" w:color="auto" w:fill="FFFFFF"/>
          </w:tcPr>
          <w:p w14:paraId="177D49B0" w14:textId="77777777" w:rsidR="00093A32" w:rsidRDefault="00093A32">
            <w:pPr>
              <w:rPr>
                <w:sz w:val="10"/>
                <w:szCs w:val="10"/>
              </w:rPr>
            </w:pPr>
          </w:p>
        </w:tc>
        <w:tc>
          <w:tcPr>
            <w:tcW w:w="2880" w:type="dxa"/>
            <w:shd w:val="clear" w:color="auto" w:fill="FFFFFF"/>
          </w:tcPr>
          <w:p w14:paraId="3C80ABE5"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contra él se revacunará con tres</w:t>
            </w:r>
          </w:p>
        </w:tc>
        <w:tc>
          <w:tcPr>
            <w:tcW w:w="2717" w:type="dxa"/>
            <w:shd w:val="clear" w:color="auto" w:fill="FFFFFF"/>
          </w:tcPr>
          <w:p w14:paraId="2F4F4A8E"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contra él, se aplicarán de nuevo tres</w:t>
            </w:r>
          </w:p>
        </w:tc>
      </w:tr>
      <w:tr w:rsidR="00093A32" w14:paraId="386012A1" w14:textId="77777777">
        <w:tblPrEx>
          <w:tblCellMar>
            <w:top w:w="0" w:type="dxa"/>
            <w:bottom w:w="0" w:type="dxa"/>
          </w:tblCellMar>
        </w:tblPrEx>
        <w:trPr>
          <w:trHeight w:hRule="exact" w:val="221"/>
          <w:jc w:val="center"/>
        </w:trPr>
        <w:tc>
          <w:tcPr>
            <w:tcW w:w="1325" w:type="dxa"/>
            <w:shd w:val="clear" w:color="auto" w:fill="FFFFFF"/>
          </w:tcPr>
          <w:p w14:paraId="6CA27A63" w14:textId="77777777" w:rsidR="00093A32" w:rsidRDefault="00093A32">
            <w:pPr>
              <w:rPr>
                <w:sz w:val="10"/>
                <w:szCs w:val="10"/>
              </w:rPr>
            </w:pPr>
          </w:p>
        </w:tc>
        <w:tc>
          <w:tcPr>
            <w:tcW w:w="2880" w:type="dxa"/>
            <w:shd w:val="clear" w:color="auto" w:fill="FFFFFF"/>
            <w:vAlign w:val="bottom"/>
          </w:tcPr>
          <w:p w14:paraId="303E1F2D"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dosis a intervalos de dos meses</w:t>
            </w:r>
          </w:p>
        </w:tc>
        <w:tc>
          <w:tcPr>
            <w:tcW w:w="2717" w:type="dxa"/>
            <w:shd w:val="clear" w:color="auto" w:fill="FFFFFF"/>
            <w:vAlign w:val="bottom"/>
          </w:tcPr>
          <w:p w14:paraId="5A3EDAE3"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dosis a intervalos de dos meses y se</w:t>
            </w:r>
          </w:p>
        </w:tc>
      </w:tr>
      <w:tr w:rsidR="00093A32" w14:paraId="1B8B14D2" w14:textId="77777777">
        <w:tblPrEx>
          <w:tblCellMar>
            <w:top w:w="0" w:type="dxa"/>
            <w:bottom w:w="0" w:type="dxa"/>
          </w:tblCellMar>
        </w:tblPrEx>
        <w:trPr>
          <w:trHeight w:hRule="exact" w:val="427"/>
          <w:jc w:val="center"/>
        </w:trPr>
        <w:tc>
          <w:tcPr>
            <w:tcW w:w="1325" w:type="dxa"/>
            <w:shd w:val="clear" w:color="auto" w:fill="FFFFFF"/>
          </w:tcPr>
          <w:p w14:paraId="58B76DFF" w14:textId="77777777" w:rsidR="00093A32" w:rsidRDefault="00093A32">
            <w:pPr>
              <w:rPr>
                <w:sz w:val="10"/>
                <w:szCs w:val="10"/>
              </w:rPr>
            </w:pPr>
          </w:p>
        </w:tc>
        <w:tc>
          <w:tcPr>
            <w:tcW w:w="2880" w:type="dxa"/>
            <w:shd w:val="clear" w:color="auto" w:fill="FFFFFF"/>
          </w:tcPr>
          <w:p w14:paraId="1003C2BB" w14:textId="77777777" w:rsidR="00093A32" w:rsidRDefault="00093A32">
            <w:pPr>
              <w:pStyle w:val="Other0"/>
              <w:spacing w:line="283" w:lineRule="auto"/>
              <w:ind w:left="400" w:firstLine="0"/>
              <w:rPr>
                <w:sz w:val="16"/>
                <w:szCs w:val="16"/>
              </w:rPr>
            </w:pPr>
            <w:r>
              <w:rPr>
                <w:rFonts w:ascii="Times New Roman" w:eastAsia="Times New Roman" w:hAnsi="Times New Roman" w:cs="Times New Roman"/>
                <w:sz w:val="16"/>
                <w:szCs w:val="16"/>
              </w:rPr>
              <w:t>y se repetirán las pruebas en busca de ambos</w:t>
            </w:r>
          </w:p>
        </w:tc>
        <w:tc>
          <w:tcPr>
            <w:tcW w:w="2717" w:type="dxa"/>
            <w:shd w:val="clear" w:color="auto" w:fill="FFFFFF"/>
          </w:tcPr>
          <w:p w14:paraId="7B523368"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repetirán las pruebas</w:t>
            </w:r>
          </w:p>
        </w:tc>
      </w:tr>
      <w:tr w:rsidR="00093A32" w14:paraId="072D499F" w14:textId="77777777">
        <w:tblPrEx>
          <w:tblCellMar>
            <w:top w:w="0" w:type="dxa"/>
            <w:bottom w:w="0" w:type="dxa"/>
          </w:tblCellMar>
        </w:tblPrEx>
        <w:trPr>
          <w:trHeight w:hRule="exact" w:val="230"/>
          <w:jc w:val="center"/>
        </w:trPr>
        <w:tc>
          <w:tcPr>
            <w:tcW w:w="1325" w:type="dxa"/>
            <w:shd w:val="clear" w:color="auto" w:fill="FFFFFF"/>
            <w:vAlign w:val="bottom"/>
          </w:tcPr>
          <w:p w14:paraId="41AA6F7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 desconoce el</w:t>
            </w:r>
          </w:p>
        </w:tc>
        <w:tc>
          <w:tcPr>
            <w:tcW w:w="2880" w:type="dxa"/>
            <w:shd w:val="clear" w:color="auto" w:fill="FFFFFF"/>
            <w:vAlign w:val="bottom"/>
          </w:tcPr>
          <w:p w14:paraId="42830464"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Vacuna contra hepatitis B (antes de</w:t>
            </w:r>
          </w:p>
        </w:tc>
        <w:tc>
          <w:tcPr>
            <w:tcW w:w="2717" w:type="dxa"/>
            <w:shd w:val="clear" w:color="auto" w:fill="FFFFFF"/>
            <w:vAlign w:val="bottom"/>
          </w:tcPr>
          <w:p w14:paraId="374C5A3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Vacuna contra hepatitis B +</w:t>
            </w:r>
          </w:p>
        </w:tc>
      </w:tr>
      <w:tr w:rsidR="00093A32" w14:paraId="6F2FE09B" w14:textId="77777777">
        <w:tblPrEx>
          <w:tblCellMar>
            <w:top w:w="0" w:type="dxa"/>
            <w:bottom w:w="0" w:type="dxa"/>
          </w:tblCellMar>
        </w:tblPrEx>
        <w:trPr>
          <w:trHeight w:hRule="exact" w:val="206"/>
          <w:jc w:val="center"/>
        </w:trPr>
        <w:tc>
          <w:tcPr>
            <w:tcW w:w="1325" w:type="dxa"/>
            <w:shd w:val="clear" w:color="auto" w:fill="FFFFFF"/>
            <w:vAlign w:val="bottom"/>
          </w:tcPr>
          <w:p w14:paraId="6F6E0C3C"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estado del</w:t>
            </w:r>
          </w:p>
        </w:tc>
        <w:tc>
          <w:tcPr>
            <w:tcW w:w="2880" w:type="dxa"/>
            <w:shd w:val="clear" w:color="auto" w:fill="FFFFFF"/>
            <w:vAlign w:val="bottom"/>
          </w:tcPr>
          <w:p w14:paraId="6BD851D4"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las 12 h) + concentrado HBIG (en</w:t>
            </w:r>
          </w:p>
        </w:tc>
        <w:tc>
          <w:tcPr>
            <w:tcW w:w="2717" w:type="dxa"/>
            <w:shd w:val="clear" w:color="auto" w:fill="FFFFFF"/>
            <w:vAlign w:val="bottom"/>
          </w:tcPr>
          <w:p w14:paraId="64C831EB"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HBIG (por 12 h)</w:t>
            </w:r>
          </w:p>
        </w:tc>
      </w:tr>
      <w:tr w:rsidR="00093A32" w14:paraId="4B38325F" w14:textId="77777777">
        <w:tblPrEx>
          <w:tblCellMar>
            <w:top w:w="0" w:type="dxa"/>
            <w:bottom w:w="0" w:type="dxa"/>
          </w:tblCellMar>
        </w:tblPrEx>
        <w:trPr>
          <w:trHeight w:hRule="exact" w:val="226"/>
          <w:jc w:val="center"/>
        </w:trPr>
        <w:tc>
          <w:tcPr>
            <w:tcW w:w="1325" w:type="dxa"/>
            <w:shd w:val="clear" w:color="auto" w:fill="FFFFFF"/>
            <w:vAlign w:val="bottom"/>
          </w:tcPr>
          <w:p w14:paraId="1AC88B27"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antígeno</w:t>
            </w:r>
          </w:p>
        </w:tc>
        <w:tc>
          <w:tcPr>
            <w:tcW w:w="2880" w:type="dxa"/>
            <w:shd w:val="clear" w:color="auto" w:fill="FFFFFF"/>
            <w:vAlign w:val="bottom"/>
          </w:tcPr>
          <w:p w14:paraId="1A8F1FED"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términos de siete días) si se corrobora</w:t>
            </w:r>
          </w:p>
        </w:tc>
        <w:tc>
          <w:tcPr>
            <w:tcW w:w="2717" w:type="dxa"/>
            <w:shd w:val="clear" w:color="auto" w:fill="FFFFFF"/>
          </w:tcPr>
          <w:p w14:paraId="7FC888E2" w14:textId="77777777" w:rsidR="00093A32" w:rsidRDefault="00093A32">
            <w:pPr>
              <w:rPr>
                <w:sz w:val="10"/>
                <w:szCs w:val="10"/>
              </w:rPr>
            </w:pPr>
          </w:p>
        </w:tc>
      </w:tr>
      <w:tr w:rsidR="00093A32" w14:paraId="60789F14" w14:textId="77777777">
        <w:tblPrEx>
          <w:tblCellMar>
            <w:top w:w="0" w:type="dxa"/>
            <w:bottom w:w="0" w:type="dxa"/>
          </w:tblCellMar>
        </w:tblPrEx>
        <w:trPr>
          <w:trHeight w:hRule="exact" w:val="226"/>
          <w:jc w:val="center"/>
        </w:trPr>
        <w:tc>
          <w:tcPr>
            <w:tcW w:w="1325" w:type="dxa"/>
            <w:shd w:val="clear" w:color="auto" w:fill="FFFFFF"/>
            <w:vAlign w:val="bottom"/>
          </w:tcPr>
          <w:p w14:paraId="45F1527C"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de superficie</w:t>
            </w:r>
          </w:p>
        </w:tc>
        <w:tc>
          <w:tcPr>
            <w:tcW w:w="5597" w:type="dxa"/>
            <w:gridSpan w:val="2"/>
            <w:shd w:val="clear" w:color="auto" w:fill="FFFFFF"/>
            <w:vAlign w:val="bottom"/>
          </w:tcPr>
          <w:p w14:paraId="55F62F12"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que la madre tiene antígenos de superficie</w:t>
            </w:r>
          </w:p>
        </w:tc>
      </w:tr>
      <w:tr w:rsidR="00093A32" w14:paraId="050B166B" w14:textId="77777777">
        <w:tblPrEx>
          <w:tblCellMar>
            <w:top w:w="0" w:type="dxa"/>
            <w:bottom w:w="0" w:type="dxa"/>
          </w:tblCellMar>
        </w:tblPrEx>
        <w:trPr>
          <w:trHeight w:hRule="exact" w:val="197"/>
          <w:jc w:val="center"/>
        </w:trPr>
        <w:tc>
          <w:tcPr>
            <w:tcW w:w="1325" w:type="dxa"/>
            <w:shd w:val="clear" w:color="auto" w:fill="FFFFFF"/>
          </w:tcPr>
          <w:p w14:paraId="0E7B9E6E" w14:textId="77777777" w:rsidR="00093A32" w:rsidRDefault="00093A32">
            <w:pPr>
              <w:rPr>
                <w:sz w:val="10"/>
                <w:szCs w:val="10"/>
              </w:rPr>
            </w:pPr>
          </w:p>
        </w:tc>
        <w:tc>
          <w:tcPr>
            <w:tcW w:w="2880" w:type="dxa"/>
            <w:shd w:val="clear" w:color="auto" w:fill="FFFFFF"/>
          </w:tcPr>
          <w:p w14:paraId="3779A579"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Buscar inmediatamente</w:t>
            </w:r>
          </w:p>
        </w:tc>
        <w:tc>
          <w:tcPr>
            <w:tcW w:w="2717" w:type="dxa"/>
            <w:shd w:val="clear" w:color="auto" w:fill="FFFFFF"/>
          </w:tcPr>
          <w:p w14:paraId="50CDDFA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 buscarán en la madre antígenos</w:t>
            </w:r>
          </w:p>
        </w:tc>
      </w:tr>
      <w:tr w:rsidR="00093A32" w14:paraId="26A6413D" w14:textId="77777777">
        <w:tblPrEx>
          <w:tblCellMar>
            <w:top w:w="0" w:type="dxa"/>
            <w:bottom w:w="0" w:type="dxa"/>
          </w:tblCellMar>
        </w:tblPrEx>
        <w:trPr>
          <w:trHeight w:hRule="exact" w:val="230"/>
          <w:jc w:val="center"/>
        </w:trPr>
        <w:tc>
          <w:tcPr>
            <w:tcW w:w="1325" w:type="dxa"/>
            <w:shd w:val="clear" w:color="auto" w:fill="FFFFFF"/>
          </w:tcPr>
          <w:p w14:paraId="1567B22F" w14:textId="77777777" w:rsidR="00093A32" w:rsidRDefault="00093A32">
            <w:pPr>
              <w:rPr>
                <w:sz w:val="10"/>
                <w:szCs w:val="10"/>
              </w:rPr>
            </w:pPr>
          </w:p>
        </w:tc>
        <w:tc>
          <w:tcPr>
            <w:tcW w:w="2880" w:type="dxa"/>
            <w:shd w:val="clear" w:color="auto" w:fill="FFFFFF"/>
            <w:vAlign w:val="bottom"/>
          </w:tcPr>
          <w:p w14:paraId="462B681A"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en la madre antígeno</w:t>
            </w:r>
          </w:p>
        </w:tc>
        <w:tc>
          <w:tcPr>
            <w:tcW w:w="2717" w:type="dxa"/>
            <w:shd w:val="clear" w:color="auto" w:fill="FFFFFF"/>
            <w:vAlign w:val="bottom"/>
          </w:tcPr>
          <w:p w14:paraId="0A457BAD"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de superficie en término de</w:t>
            </w:r>
          </w:p>
        </w:tc>
      </w:tr>
      <w:tr w:rsidR="00093A32" w14:paraId="15C74D17" w14:textId="77777777">
        <w:tblPrEx>
          <w:tblCellMar>
            <w:top w:w="0" w:type="dxa"/>
            <w:bottom w:w="0" w:type="dxa"/>
          </w:tblCellMar>
        </w:tblPrEx>
        <w:trPr>
          <w:trHeight w:hRule="exact" w:val="634"/>
          <w:jc w:val="center"/>
        </w:trPr>
        <w:tc>
          <w:tcPr>
            <w:tcW w:w="1325" w:type="dxa"/>
            <w:shd w:val="clear" w:color="auto" w:fill="FFFFFF"/>
          </w:tcPr>
          <w:p w14:paraId="53218D23" w14:textId="77777777" w:rsidR="00093A32" w:rsidRDefault="00093A32">
            <w:pPr>
              <w:rPr>
                <w:sz w:val="10"/>
                <w:szCs w:val="10"/>
              </w:rPr>
            </w:pPr>
          </w:p>
        </w:tc>
        <w:tc>
          <w:tcPr>
            <w:tcW w:w="2880" w:type="dxa"/>
            <w:shd w:val="clear" w:color="auto" w:fill="FFFFFF"/>
          </w:tcPr>
          <w:p w14:paraId="49305899"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de superficie de HB</w:t>
            </w:r>
          </w:p>
        </w:tc>
        <w:tc>
          <w:tcPr>
            <w:tcW w:w="2717" w:type="dxa"/>
            <w:shd w:val="clear" w:color="auto" w:fill="FFFFFF"/>
          </w:tcPr>
          <w:p w14:paraId="5EC3BA19" w14:textId="77777777" w:rsidR="00093A32" w:rsidRDefault="00093A32">
            <w:pPr>
              <w:pStyle w:val="Other0"/>
              <w:spacing w:line="283" w:lineRule="auto"/>
              <w:ind w:left="200" w:firstLine="0"/>
              <w:rPr>
                <w:sz w:val="16"/>
                <w:szCs w:val="16"/>
              </w:rPr>
            </w:pPr>
            <w:r>
              <w:rPr>
                <w:rFonts w:ascii="Times New Roman" w:eastAsia="Times New Roman" w:hAnsi="Times New Roman" w:cs="Times New Roman"/>
                <w:sz w:val="16"/>
                <w:szCs w:val="16"/>
              </w:rPr>
              <w:t>12 h del nacimiento, y si no se le detecta se aplicará al producto concentrado de HBIG</w:t>
            </w:r>
          </w:p>
        </w:tc>
      </w:tr>
      <w:tr w:rsidR="00093A32" w14:paraId="4C32EDA2" w14:textId="77777777">
        <w:tblPrEx>
          <w:tblCellMar>
            <w:top w:w="0" w:type="dxa"/>
            <w:bottom w:w="0" w:type="dxa"/>
          </w:tblCellMar>
        </w:tblPrEx>
        <w:trPr>
          <w:trHeight w:hRule="exact" w:val="230"/>
          <w:jc w:val="center"/>
        </w:trPr>
        <w:tc>
          <w:tcPr>
            <w:tcW w:w="1325" w:type="dxa"/>
            <w:shd w:val="clear" w:color="auto" w:fill="FFFFFF"/>
            <w:vAlign w:val="bottom"/>
          </w:tcPr>
          <w:p w14:paraId="19E5367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HBsAg negativo</w:t>
            </w:r>
          </w:p>
        </w:tc>
        <w:tc>
          <w:tcPr>
            <w:tcW w:w="2880" w:type="dxa"/>
            <w:shd w:val="clear" w:color="auto" w:fill="FFFFFF"/>
            <w:vAlign w:val="bottom"/>
          </w:tcPr>
          <w:p w14:paraId="09661A51"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Se prefiere la vacuna contra</w:t>
            </w:r>
          </w:p>
        </w:tc>
        <w:tc>
          <w:tcPr>
            <w:tcW w:w="2717" w:type="dxa"/>
            <w:shd w:val="clear" w:color="auto" w:fill="FFFFFF"/>
            <w:vAlign w:val="bottom"/>
          </w:tcPr>
          <w:p w14:paraId="2D0C4EA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Aplicar la primera dosis de vacuna</w:t>
            </w:r>
          </w:p>
        </w:tc>
      </w:tr>
      <w:tr w:rsidR="00093A32" w14:paraId="120936A9" w14:textId="77777777">
        <w:tblPrEx>
          <w:tblCellMar>
            <w:top w:w="0" w:type="dxa"/>
            <w:bottom w:w="0" w:type="dxa"/>
          </w:tblCellMar>
        </w:tblPrEx>
        <w:trPr>
          <w:trHeight w:hRule="exact" w:val="1070"/>
          <w:jc w:val="center"/>
        </w:trPr>
        <w:tc>
          <w:tcPr>
            <w:tcW w:w="1325" w:type="dxa"/>
            <w:shd w:val="clear" w:color="auto" w:fill="FFFFFF"/>
          </w:tcPr>
          <w:p w14:paraId="58D32ED3" w14:textId="77777777" w:rsidR="00093A32" w:rsidRDefault="00093A32">
            <w:pPr>
              <w:rPr>
                <w:sz w:val="10"/>
                <w:szCs w:val="10"/>
              </w:rPr>
            </w:pPr>
          </w:p>
        </w:tc>
        <w:tc>
          <w:tcPr>
            <w:tcW w:w="2880" w:type="dxa"/>
            <w:shd w:val="clear" w:color="auto" w:fill="FFFFFF"/>
          </w:tcPr>
          <w:p w14:paraId="38B83FBA"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hepatitis B en el recién nacido</w:t>
            </w:r>
          </w:p>
        </w:tc>
        <w:tc>
          <w:tcPr>
            <w:tcW w:w="2717" w:type="dxa"/>
            <w:shd w:val="clear" w:color="auto" w:fill="FFFFFF"/>
            <w:vAlign w:val="bottom"/>
          </w:tcPr>
          <w:p w14:paraId="0F718BB4" w14:textId="77777777" w:rsidR="00093A32" w:rsidRDefault="00093A32">
            <w:pPr>
              <w:pStyle w:val="Other0"/>
              <w:spacing w:line="283" w:lineRule="auto"/>
              <w:ind w:left="200" w:firstLine="0"/>
              <w:rPr>
                <w:sz w:val="16"/>
                <w:szCs w:val="16"/>
              </w:rPr>
            </w:pPr>
            <w:r>
              <w:rPr>
                <w:rFonts w:ascii="Times New Roman" w:eastAsia="Times New Roman" w:hAnsi="Times New Roman" w:cs="Times New Roman"/>
                <w:sz w:val="16"/>
                <w:szCs w:val="16"/>
              </w:rPr>
              <w:t>contra hepatitis B a los 30 días de edad cronológica si el pequeño está médicamente estable, o en el alta del hospital si ocurre antes de los 30 días de edad cronológica</w:t>
            </w:r>
          </w:p>
        </w:tc>
      </w:tr>
      <w:tr w:rsidR="00093A32" w14:paraId="7FB09612" w14:textId="77777777">
        <w:tblPrEx>
          <w:tblCellMar>
            <w:top w:w="0" w:type="dxa"/>
            <w:bottom w:w="0" w:type="dxa"/>
          </w:tblCellMar>
        </w:tblPrEx>
        <w:trPr>
          <w:trHeight w:hRule="exact" w:val="216"/>
          <w:jc w:val="center"/>
        </w:trPr>
        <w:tc>
          <w:tcPr>
            <w:tcW w:w="1325" w:type="dxa"/>
            <w:shd w:val="clear" w:color="auto" w:fill="FFFFFF"/>
          </w:tcPr>
          <w:p w14:paraId="0682A2B4" w14:textId="77777777" w:rsidR="00093A32" w:rsidRDefault="00093A32">
            <w:pPr>
              <w:rPr>
                <w:sz w:val="10"/>
                <w:szCs w:val="10"/>
              </w:rPr>
            </w:pPr>
          </w:p>
        </w:tc>
        <w:tc>
          <w:tcPr>
            <w:tcW w:w="2880" w:type="dxa"/>
            <w:shd w:val="clear" w:color="auto" w:fill="FFFFFF"/>
            <w:vAlign w:val="bottom"/>
          </w:tcPr>
          <w:p w14:paraId="5CA8746F"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Aplicar tres dosis, a cero a dos, uno</w:t>
            </w:r>
          </w:p>
        </w:tc>
        <w:tc>
          <w:tcPr>
            <w:tcW w:w="2717" w:type="dxa"/>
            <w:shd w:val="clear" w:color="auto" w:fill="FFFFFF"/>
            <w:vAlign w:val="bottom"/>
          </w:tcPr>
          <w:p w14:paraId="4587A42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Aplicar tres dosis, entre uno y dos,</w:t>
            </w:r>
          </w:p>
        </w:tc>
      </w:tr>
      <w:tr w:rsidR="00093A32" w14:paraId="35CEC1B6" w14:textId="77777777">
        <w:tblPrEx>
          <w:tblCellMar>
            <w:top w:w="0" w:type="dxa"/>
            <w:bottom w:w="0" w:type="dxa"/>
          </w:tblCellMar>
        </w:tblPrEx>
        <w:trPr>
          <w:trHeight w:hRule="exact" w:val="211"/>
          <w:jc w:val="center"/>
        </w:trPr>
        <w:tc>
          <w:tcPr>
            <w:tcW w:w="1325" w:type="dxa"/>
            <w:shd w:val="clear" w:color="auto" w:fill="FFFFFF"/>
          </w:tcPr>
          <w:p w14:paraId="347A3C0E" w14:textId="77777777" w:rsidR="00093A32" w:rsidRDefault="00093A32">
            <w:pPr>
              <w:rPr>
                <w:sz w:val="10"/>
                <w:szCs w:val="10"/>
              </w:rPr>
            </w:pPr>
          </w:p>
        </w:tc>
        <w:tc>
          <w:tcPr>
            <w:tcW w:w="2880" w:type="dxa"/>
            <w:shd w:val="clear" w:color="auto" w:fill="FFFFFF"/>
            <w:vAlign w:val="bottom"/>
          </w:tcPr>
          <w:p w14:paraId="505EC751"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a cuatro y seis a 18 meses de edad</w:t>
            </w:r>
          </w:p>
        </w:tc>
        <w:tc>
          <w:tcPr>
            <w:tcW w:w="2717" w:type="dxa"/>
            <w:shd w:val="clear" w:color="auto" w:fill="FFFFFF"/>
            <w:vAlign w:val="bottom"/>
          </w:tcPr>
          <w:p w14:paraId="5F114D49"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dos y cuatro y seis y 18 meses</w:t>
            </w:r>
          </w:p>
        </w:tc>
      </w:tr>
      <w:tr w:rsidR="00093A32" w14:paraId="66694EB0" w14:textId="77777777">
        <w:tblPrEx>
          <w:tblCellMar>
            <w:top w:w="0" w:type="dxa"/>
            <w:bottom w:w="0" w:type="dxa"/>
          </w:tblCellMar>
        </w:tblPrEx>
        <w:trPr>
          <w:trHeight w:hRule="exact" w:val="230"/>
          <w:jc w:val="center"/>
        </w:trPr>
        <w:tc>
          <w:tcPr>
            <w:tcW w:w="1325" w:type="dxa"/>
            <w:shd w:val="clear" w:color="auto" w:fill="FFFFFF"/>
          </w:tcPr>
          <w:p w14:paraId="57EA34F0" w14:textId="77777777" w:rsidR="00093A32" w:rsidRDefault="00093A32">
            <w:pPr>
              <w:rPr>
                <w:sz w:val="10"/>
                <w:szCs w:val="10"/>
              </w:rPr>
            </w:pPr>
          </w:p>
        </w:tc>
        <w:tc>
          <w:tcPr>
            <w:tcW w:w="2880" w:type="dxa"/>
            <w:shd w:val="clear" w:color="auto" w:fill="FFFFFF"/>
            <w:vAlign w:val="bottom"/>
          </w:tcPr>
          <w:p w14:paraId="4EFDC283"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cronológica</w:t>
            </w:r>
          </w:p>
        </w:tc>
        <w:tc>
          <w:tcPr>
            <w:tcW w:w="2717" w:type="dxa"/>
            <w:shd w:val="clear" w:color="auto" w:fill="FFFFFF"/>
            <w:vAlign w:val="bottom"/>
          </w:tcPr>
          <w:p w14:paraId="781C07EF"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de edad cronológica</w:t>
            </w:r>
          </w:p>
        </w:tc>
      </w:tr>
      <w:tr w:rsidR="00093A32" w14:paraId="3435D1EF" w14:textId="77777777">
        <w:tblPrEx>
          <w:tblCellMar>
            <w:top w:w="0" w:type="dxa"/>
            <w:bottom w:w="0" w:type="dxa"/>
          </w:tblCellMar>
        </w:tblPrEx>
        <w:trPr>
          <w:trHeight w:hRule="exact" w:val="211"/>
          <w:jc w:val="center"/>
        </w:trPr>
        <w:tc>
          <w:tcPr>
            <w:tcW w:w="1325" w:type="dxa"/>
            <w:shd w:val="clear" w:color="auto" w:fill="FFFFFF"/>
          </w:tcPr>
          <w:p w14:paraId="70FCA14F" w14:textId="77777777" w:rsidR="00093A32" w:rsidRDefault="00093A32">
            <w:pPr>
              <w:rPr>
                <w:sz w:val="10"/>
                <w:szCs w:val="10"/>
              </w:rPr>
            </w:pPr>
          </w:p>
        </w:tc>
        <w:tc>
          <w:tcPr>
            <w:tcW w:w="2880" w:type="dxa"/>
            <w:shd w:val="clear" w:color="auto" w:fill="FFFFFF"/>
            <w:vAlign w:val="bottom"/>
          </w:tcPr>
          <w:p w14:paraId="26C538B4"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Se puede aplicar una vacuna mixta</w:t>
            </w:r>
          </w:p>
        </w:tc>
        <w:tc>
          <w:tcPr>
            <w:tcW w:w="2717" w:type="dxa"/>
            <w:shd w:val="clear" w:color="auto" w:fill="FFFFFF"/>
            <w:vAlign w:val="bottom"/>
          </w:tcPr>
          <w:p w14:paraId="771D258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 puede aplicar una vacuna mixta</w:t>
            </w:r>
          </w:p>
        </w:tc>
      </w:tr>
      <w:tr w:rsidR="00093A32" w14:paraId="74731224" w14:textId="77777777">
        <w:tblPrEx>
          <w:tblCellMar>
            <w:top w:w="0" w:type="dxa"/>
            <w:bottom w:w="0" w:type="dxa"/>
          </w:tblCellMar>
        </w:tblPrEx>
        <w:trPr>
          <w:trHeight w:hRule="exact" w:val="221"/>
          <w:jc w:val="center"/>
        </w:trPr>
        <w:tc>
          <w:tcPr>
            <w:tcW w:w="1325" w:type="dxa"/>
            <w:shd w:val="clear" w:color="auto" w:fill="FFFFFF"/>
          </w:tcPr>
          <w:p w14:paraId="0FC39DA9" w14:textId="77777777" w:rsidR="00093A32" w:rsidRDefault="00093A32">
            <w:pPr>
              <w:rPr>
                <w:sz w:val="10"/>
                <w:szCs w:val="10"/>
              </w:rPr>
            </w:pPr>
          </w:p>
        </w:tc>
        <w:tc>
          <w:tcPr>
            <w:tcW w:w="2880" w:type="dxa"/>
            <w:shd w:val="clear" w:color="auto" w:fill="FFFFFF"/>
            <w:vAlign w:val="bottom"/>
          </w:tcPr>
          <w:p w14:paraId="5E841C15"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que contenga la fracción de la</w:t>
            </w:r>
          </w:p>
        </w:tc>
        <w:tc>
          <w:tcPr>
            <w:tcW w:w="2717" w:type="dxa"/>
            <w:shd w:val="clear" w:color="auto" w:fill="FFFFFF"/>
            <w:vAlign w:val="bottom"/>
          </w:tcPr>
          <w:p w14:paraId="0D363A9B"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que contenga la fracción de</w:t>
            </w:r>
          </w:p>
        </w:tc>
      </w:tr>
      <w:tr w:rsidR="00093A32" w14:paraId="72F86808" w14:textId="77777777">
        <w:tblPrEx>
          <w:tblCellMar>
            <w:top w:w="0" w:type="dxa"/>
            <w:bottom w:w="0" w:type="dxa"/>
          </w:tblCellMar>
        </w:tblPrEx>
        <w:trPr>
          <w:trHeight w:hRule="exact" w:val="216"/>
          <w:jc w:val="center"/>
        </w:trPr>
        <w:tc>
          <w:tcPr>
            <w:tcW w:w="1325" w:type="dxa"/>
            <w:shd w:val="clear" w:color="auto" w:fill="FFFFFF"/>
          </w:tcPr>
          <w:p w14:paraId="7D8BD401" w14:textId="77777777" w:rsidR="00093A32" w:rsidRDefault="00093A32">
            <w:pPr>
              <w:rPr>
                <w:sz w:val="10"/>
                <w:szCs w:val="10"/>
              </w:rPr>
            </w:pPr>
          </w:p>
        </w:tc>
        <w:tc>
          <w:tcPr>
            <w:tcW w:w="2880" w:type="dxa"/>
            <w:shd w:val="clear" w:color="auto" w:fill="FFFFFF"/>
            <w:vAlign w:val="bottom"/>
          </w:tcPr>
          <w:p w14:paraId="78511DF9"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hepatitis B desde las seis a ocho</w:t>
            </w:r>
          </w:p>
        </w:tc>
        <w:tc>
          <w:tcPr>
            <w:tcW w:w="2717" w:type="dxa"/>
            <w:shd w:val="clear" w:color="auto" w:fill="FFFFFF"/>
            <w:vAlign w:val="bottom"/>
          </w:tcPr>
          <w:p w14:paraId="5AF7E426"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hepatitis B, desde las seis a ocho</w:t>
            </w:r>
          </w:p>
        </w:tc>
      </w:tr>
      <w:tr w:rsidR="00093A32" w14:paraId="6DA0D483" w14:textId="77777777">
        <w:tblPrEx>
          <w:tblCellMar>
            <w:top w:w="0" w:type="dxa"/>
            <w:bottom w:w="0" w:type="dxa"/>
          </w:tblCellMar>
        </w:tblPrEx>
        <w:trPr>
          <w:trHeight w:hRule="exact" w:val="202"/>
          <w:jc w:val="center"/>
        </w:trPr>
        <w:tc>
          <w:tcPr>
            <w:tcW w:w="1325" w:type="dxa"/>
            <w:shd w:val="clear" w:color="auto" w:fill="FFFFFF"/>
          </w:tcPr>
          <w:p w14:paraId="3EBC0021" w14:textId="77777777" w:rsidR="00093A32" w:rsidRDefault="00093A32">
            <w:pPr>
              <w:rPr>
                <w:sz w:val="10"/>
                <w:szCs w:val="10"/>
              </w:rPr>
            </w:pPr>
          </w:p>
        </w:tc>
        <w:tc>
          <w:tcPr>
            <w:tcW w:w="2880" w:type="dxa"/>
            <w:shd w:val="clear" w:color="auto" w:fill="FFFFFF"/>
            <w:vAlign w:val="bottom"/>
          </w:tcPr>
          <w:p w14:paraId="4D5DCA54"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semanas de edad cronológica</w:t>
            </w:r>
          </w:p>
        </w:tc>
        <w:tc>
          <w:tcPr>
            <w:tcW w:w="2717" w:type="dxa"/>
            <w:shd w:val="clear" w:color="auto" w:fill="FFFFFF"/>
            <w:vAlign w:val="bottom"/>
          </w:tcPr>
          <w:p w14:paraId="2227D847"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semanas de edad cronológica</w:t>
            </w:r>
          </w:p>
        </w:tc>
      </w:tr>
      <w:tr w:rsidR="00093A32" w14:paraId="271D2CDD" w14:textId="77777777">
        <w:tblPrEx>
          <w:tblCellMar>
            <w:top w:w="0" w:type="dxa"/>
            <w:bottom w:w="0" w:type="dxa"/>
          </w:tblCellMar>
        </w:tblPrEx>
        <w:trPr>
          <w:trHeight w:hRule="exact" w:val="230"/>
          <w:jc w:val="center"/>
        </w:trPr>
        <w:tc>
          <w:tcPr>
            <w:tcW w:w="1325" w:type="dxa"/>
            <w:shd w:val="clear" w:color="auto" w:fill="FFFFFF"/>
          </w:tcPr>
          <w:p w14:paraId="4E0592AF" w14:textId="77777777" w:rsidR="00093A32" w:rsidRDefault="00093A32">
            <w:pPr>
              <w:rPr>
                <w:sz w:val="10"/>
                <w:szCs w:val="10"/>
              </w:rPr>
            </w:pPr>
          </w:p>
        </w:tc>
        <w:tc>
          <w:tcPr>
            <w:tcW w:w="2880" w:type="dxa"/>
            <w:shd w:val="clear" w:color="auto" w:fill="FFFFFF"/>
            <w:vAlign w:val="bottom"/>
          </w:tcPr>
          <w:p w14:paraId="46D92F65"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No se necesitan estudios de vigilancia</w:t>
            </w:r>
          </w:p>
        </w:tc>
        <w:tc>
          <w:tcPr>
            <w:tcW w:w="2717" w:type="dxa"/>
            <w:shd w:val="clear" w:color="auto" w:fill="FFFFFF"/>
            <w:vAlign w:val="bottom"/>
          </w:tcPr>
          <w:p w14:paraId="14FC1E2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necesitan pruebas de vigilancia</w:t>
            </w:r>
          </w:p>
        </w:tc>
      </w:tr>
      <w:tr w:rsidR="00093A32" w14:paraId="22732CAB" w14:textId="77777777">
        <w:tblPrEx>
          <w:tblCellMar>
            <w:top w:w="0" w:type="dxa"/>
            <w:bottom w:w="0" w:type="dxa"/>
          </w:tblCellMar>
        </w:tblPrEx>
        <w:trPr>
          <w:trHeight w:hRule="exact" w:val="221"/>
          <w:jc w:val="center"/>
        </w:trPr>
        <w:tc>
          <w:tcPr>
            <w:tcW w:w="1325" w:type="dxa"/>
            <w:shd w:val="clear" w:color="auto" w:fill="FFFFFF"/>
          </w:tcPr>
          <w:p w14:paraId="254ECF56" w14:textId="77777777" w:rsidR="00093A32" w:rsidRDefault="00093A32">
            <w:pPr>
              <w:rPr>
                <w:sz w:val="10"/>
                <w:szCs w:val="10"/>
              </w:rPr>
            </w:pPr>
          </w:p>
        </w:tc>
        <w:tc>
          <w:tcPr>
            <w:tcW w:w="2880" w:type="dxa"/>
            <w:shd w:val="clear" w:color="auto" w:fill="FFFFFF"/>
            <w:vAlign w:val="bottom"/>
          </w:tcPr>
          <w:p w14:paraId="5B74E0CB"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para detectar anticuerpos contra</w:t>
            </w:r>
          </w:p>
        </w:tc>
        <w:tc>
          <w:tcPr>
            <w:tcW w:w="2717" w:type="dxa"/>
            <w:shd w:val="clear" w:color="auto" w:fill="FFFFFF"/>
            <w:vAlign w:val="bottom"/>
          </w:tcPr>
          <w:p w14:paraId="2DE0C1AF"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para detectar anticuerpo contra</w:t>
            </w:r>
          </w:p>
        </w:tc>
      </w:tr>
      <w:tr w:rsidR="00093A32" w14:paraId="7FAF6AC9" w14:textId="77777777">
        <w:tblPrEx>
          <w:tblCellMar>
            <w:top w:w="0" w:type="dxa"/>
            <w:bottom w:w="0" w:type="dxa"/>
          </w:tblCellMar>
        </w:tblPrEx>
        <w:trPr>
          <w:trHeight w:hRule="exact" w:val="302"/>
          <w:jc w:val="center"/>
        </w:trPr>
        <w:tc>
          <w:tcPr>
            <w:tcW w:w="1325" w:type="dxa"/>
            <w:tcBorders>
              <w:bottom w:val="single" w:sz="4" w:space="0" w:color="auto"/>
            </w:tcBorders>
            <w:shd w:val="clear" w:color="auto" w:fill="FFFFFF"/>
          </w:tcPr>
          <w:p w14:paraId="37856AA6" w14:textId="77777777" w:rsidR="00093A32" w:rsidRDefault="00093A32">
            <w:pPr>
              <w:rPr>
                <w:sz w:val="10"/>
                <w:szCs w:val="10"/>
              </w:rPr>
            </w:pPr>
          </w:p>
        </w:tc>
        <w:tc>
          <w:tcPr>
            <w:tcW w:w="2880" w:type="dxa"/>
            <w:tcBorders>
              <w:bottom w:val="single" w:sz="4" w:space="0" w:color="auto"/>
            </w:tcBorders>
            <w:shd w:val="clear" w:color="auto" w:fill="FFFFFF"/>
          </w:tcPr>
          <w:p w14:paraId="14592392"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HBs ni antígeno de superficie</w:t>
            </w:r>
          </w:p>
        </w:tc>
        <w:tc>
          <w:tcPr>
            <w:tcW w:w="2717" w:type="dxa"/>
            <w:tcBorders>
              <w:bottom w:val="single" w:sz="4" w:space="0" w:color="auto"/>
            </w:tcBorders>
            <w:shd w:val="clear" w:color="auto" w:fill="FFFFFF"/>
          </w:tcPr>
          <w:p w14:paraId="3AB65388"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HBs ni antígeno de superficie HB</w:t>
            </w:r>
          </w:p>
        </w:tc>
      </w:tr>
    </w:tbl>
    <w:p w14:paraId="07A08DD2" w14:textId="77777777" w:rsidR="00093A32" w:rsidRDefault="00093A32">
      <w:pPr>
        <w:pStyle w:val="Tablecaption0"/>
        <w:spacing w:line="254" w:lineRule="auto"/>
        <w:ind w:left="82"/>
      </w:pPr>
      <w:r>
        <w:t>HBsAg, antígeno de superficie de hepatitis B; HBIG, concentrado inmunoglobulínico de hepatitis B.</w:t>
      </w:r>
    </w:p>
    <w:p w14:paraId="356D5AE0" w14:textId="77777777" w:rsidR="00093A32" w:rsidRDefault="00093A32">
      <w:pPr>
        <w:pStyle w:val="Tablecaption0"/>
        <w:numPr>
          <w:ilvl w:val="0"/>
          <w:numId w:val="69"/>
        </w:numPr>
        <w:tabs>
          <w:tab w:val="left" w:pos="65"/>
        </w:tabs>
        <w:spacing w:line="254" w:lineRule="auto"/>
        <w:ind w:left="82"/>
      </w:pPr>
      <w:r>
        <w:t>Ya no se toman en consideración los extremos de edad gestacional y peso neonatal para calcular la fecha en que se aplicarán las dosis de virus de hepatitis B.</w:t>
      </w:r>
    </w:p>
    <w:p w14:paraId="3F4415F2" w14:textId="77777777" w:rsidR="00093A32" w:rsidRDefault="00093A32">
      <w:pPr>
        <w:pStyle w:val="Tablecaption0"/>
        <w:numPr>
          <w:ilvl w:val="0"/>
          <w:numId w:val="69"/>
        </w:numPr>
        <w:tabs>
          <w:tab w:val="left" w:pos="65"/>
        </w:tabs>
        <w:spacing w:line="254" w:lineRule="auto"/>
        <w:ind w:left="82"/>
      </w:pPr>
      <w:r>
        <w:t>Algunos expertos prefieren la práctica de estudios serológicos uno a tres meses después de completar la serie primaria.</w:t>
      </w:r>
    </w:p>
    <w:p w14:paraId="320AC533" w14:textId="77777777" w:rsidR="00093A32" w:rsidRDefault="00093A32">
      <w:pPr>
        <w:pStyle w:val="BodyText"/>
        <w:spacing w:line="276" w:lineRule="auto"/>
        <w:ind w:firstLine="360"/>
        <w:rPr>
          <w:sz w:val="15"/>
          <w:szCs w:val="15"/>
        </w:rPr>
      </w:pPr>
      <w:r>
        <w:t xml:space="preserve">Al mes de edad cronològica se aplicará la primera dosis de la serie de vacunas contra hepatitis B en todos los productos pretérmino hijos de madres sin el antígeno de superficie (s) que hayan pesado menos de 2 000 g. Los pequeños con tales características que pesaron más de esa cifra y los productos de bajo peso médicamente estables y que muestran incremento ponderal constante cuando salen del hospital antes de cumplir un mes de nacidos, pueden recibir la primera dosis de la vacuna contra hepatitis B en el momento del alta. Los hijos de madres sin antígeno de superficie no necesitan de métodos serològicos después de la vacunación en busca del anticuerpo contra HBs. En el cuadro 3-26 se hace un resumen de las recomendaciones para vacunar a prematuros y productos de bajo peso conforme al estado del antígeno de hepatitis B de la madre y el peso que tuvo el producto al nacer. Véase “Tos Ferina” en esta sección, para conocer los datos del empleo de vacunas mixtas que tengan como componente la fracción contra hepatitis B para completar la serie. </w:t>
      </w:r>
      <w:r>
        <w:rPr>
          <w:rFonts w:ascii="Arial" w:eastAsia="Arial" w:hAnsi="Arial" w:cs="Arial"/>
          <w:b/>
          <w:bCs/>
          <w:i/>
          <w:iCs/>
          <w:sz w:val="15"/>
          <w:szCs w:val="15"/>
        </w:rPr>
        <w:t>Vacunación de grupos de alto riesgo (véase cuadro 3-27).</w:t>
      </w:r>
    </w:p>
    <w:p w14:paraId="623BF8A9" w14:textId="77777777" w:rsidR="00093A32" w:rsidRDefault="00093A32">
      <w:pPr>
        <w:pStyle w:val="BodyText"/>
        <w:spacing w:line="276" w:lineRule="auto"/>
        <w:ind w:firstLine="0"/>
      </w:pPr>
      <w:r>
        <w:rPr>
          <w:rFonts w:ascii="Times New Roman" w:eastAsia="Times New Roman" w:hAnsi="Times New Roman" w:cs="Times New Roman"/>
          <w:b/>
          <w:bCs/>
          <w:i/>
          <w:iCs/>
          <w:sz w:val="16"/>
          <w:szCs w:val="16"/>
        </w:rPr>
        <w:t>Grupos étnicos con alto riesgo de contraer la infección por HBV.</w:t>
      </w:r>
      <w:r>
        <w:t xml:space="preserve"> A pesar de que se comenzó la vacunación sistemática de lactantes, subsisten muchos niños y adolescentes no vacunados que están expuestos al peligro de contraer la infección por HBV. En particular, si no se vacuna en los comienzos de la niñez, es de esperarse que persistan las cifras altas de infección por HBV en niños nativos de Alaska y habitantes de las islas de Asia-Pacífico y en menores que viven en el hogar de migrantes de primera generación que provinieron de países donde es endémica la infección por HBV. Como consecuencia, se necesitan intentos particularizados para obtener la protección máxima con la vacunación de tales menores.</w:t>
      </w:r>
    </w:p>
    <w:p w14:paraId="31BF6202"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Adolescentes y adultos heterosexuales sexualmente activos.</w:t>
      </w:r>
      <w:r>
        <w:t xml:space="preserve"> Hay que vacunar a toda persona en que se haya diagnosticado una enfermedad de transmisión sexual u otras que hayan tenido más de una pareja sexual en los seis meses anteriores.</w:t>
      </w:r>
    </w:p>
    <w:p w14:paraId="161FAECF" w14:textId="77777777" w:rsidR="00093A32" w:rsidRDefault="00093A32">
      <w:pPr>
        <w:pStyle w:val="BodyText"/>
        <w:spacing w:line="290" w:lineRule="auto"/>
        <w:ind w:firstLine="360"/>
      </w:pPr>
      <w:r>
        <w:rPr>
          <w:rFonts w:ascii="Times New Roman" w:eastAsia="Times New Roman" w:hAnsi="Times New Roman" w:cs="Times New Roman"/>
          <w:b/>
          <w:bCs/>
          <w:i/>
          <w:iCs/>
          <w:sz w:val="16"/>
          <w:szCs w:val="16"/>
        </w:rPr>
        <w:t>Contactos del núcleo familiar y contactos sexuales de personas con infección crónica por HBV.</w:t>
      </w:r>
      <w:r>
        <w:t xml:space="preserve"> Estos dos tipos de contactos de personas con infección crónica por HBV identificados en detección prenatal, en detección de donantes de sangre o métodos diagnósticos o serológicos de otro tipo deben ser vacunados.</w:t>
      </w:r>
    </w:p>
    <w:p w14:paraId="58820AFF"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Profesionales asistenciales y otras personas con exposición ocupacional a la sangre.</w:t>
      </w:r>
      <w:r>
        <w:t xml:space="preserve"> El peligro de exposición de un profesional asistencial al HBV depende de las tareas que realice. Los profesionales en contacto con sangre o líquidos corporales sanguinolentos deben ser vacunados. Los peligros de infección ocupacional por HBV suelen ser máximos en la etapa de aprendizaje de dichos profesionales, por lo que se completará la serie de vacunas durante esa etapa y antes de entrar en contacto con sangre.</w:t>
      </w:r>
    </w:p>
    <w:p w14:paraId="0FECC3A3"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Niños internados y personal de instituciones de personas con discapacidades del desarrollo.</w:t>
      </w:r>
      <w:r>
        <w:t xml:space="preserve"> Es importante vacunar a todo niño susceptible que está dentro de instituciones para personas con discapacidades de desarrollo, así como al personal que los atiende. Los menores que han salido de ese tipo de instituciones y se han reincorporado a programas comunitarios (como escuelas, talleres protegidos) deben ser sometidos a pruebas para identificar antígenos de superficie de HB y así emprender medidas apropiadas para evitar la transmisión del virus. Se necesita la vacunación también de niños y personal susceptibles que viven o trabajan con grupos más pequeños dentro de instituciones y en las que se sabe que otros miembros del personal o niños internados tienen el antígeno de superficie, así como del personal de programas de atención pediátrica de instituciones que no atienden menores por largo tiempo (como las escuelas y otros grupos), al cual acuden personas con discapacidad del desarrollo, pero que tienen el antígeno mencionado. Hay que valorar si conviene vacunar a todos los participantes de programas de instituciones que no asisten por largo</w:t>
      </w:r>
    </w:p>
    <w:p w14:paraId="091A0661" w14:textId="77777777" w:rsidR="00093A32" w:rsidRDefault="00093A32">
      <w:pPr>
        <w:pStyle w:val="Heading31"/>
        <w:keepNext/>
        <w:keepLines/>
        <w:pBdr>
          <w:bottom w:val="single" w:sz="4" w:space="0" w:color="auto"/>
        </w:pBdr>
        <w:spacing w:after="400" w:line="211" w:lineRule="auto"/>
        <w:jc w:val="center"/>
      </w:pPr>
      <w:bookmarkStart w:id="192" w:name="bookmark798"/>
      <w:bookmarkStart w:id="193" w:name="bookmark799"/>
      <w:bookmarkStart w:id="194" w:name="bookmark800"/>
      <w:r>
        <w:rPr>
          <w:b w:val="0"/>
          <w:bCs w:val="0"/>
        </w:rPr>
        <w:t xml:space="preserve">Cuadro 3-27. </w:t>
      </w:r>
      <w:r>
        <w:t>Personas que deben recibir vacunación contra hepatitis B</w:t>
      </w:r>
      <w:r>
        <w:br/>
        <w:t>antes de la exposición</w:t>
      </w:r>
      <w:bookmarkEnd w:id="192"/>
      <w:bookmarkEnd w:id="193"/>
      <w:bookmarkEnd w:id="194"/>
    </w:p>
    <w:p w14:paraId="467379A0" w14:textId="77777777" w:rsidR="00093A32" w:rsidRDefault="00093A32">
      <w:pPr>
        <w:pStyle w:val="Bodytext20"/>
      </w:pPr>
      <w:r>
        <w:t>Todos los lactantes</w:t>
      </w:r>
    </w:p>
    <w:p w14:paraId="570DC66A" w14:textId="77777777" w:rsidR="00093A32" w:rsidRDefault="00093A32">
      <w:pPr>
        <w:pStyle w:val="Bodytext20"/>
      </w:pPr>
      <w:r>
        <w:t>Todos los niños y adolescentes no vacunados, de cero a 18 años de vida</w:t>
      </w:r>
    </w:p>
    <w:p w14:paraId="4681C1CD" w14:textId="77777777" w:rsidR="00093A32" w:rsidRDefault="00093A32">
      <w:pPr>
        <w:pStyle w:val="Bodytext20"/>
      </w:pPr>
      <w:r>
        <w:t>Niños en gran peligro de contraer la infección por HBV en su niñez temprana</w:t>
      </w:r>
      <w:r>
        <w:rPr>
          <w:vertAlign w:val="superscript"/>
        </w:rPr>
        <w:footnoteReference w:id="22"/>
      </w:r>
      <w:r>
        <w:rPr>
          <w:vertAlign w:val="superscript"/>
        </w:rPr>
        <w:t xml:space="preserve"> </w:t>
      </w:r>
      <w:r>
        <w:rPr>
          <w:vertAlign w:val="superscript"/>
        </w:rPr>
        <w:footnoteReference w:id="23"/>
      </w:r>
    </w:p>
    <w:p w14:paraId="7AF4A186" w14:textId="77777777" w:rsidR="00093A32" w:rsidRDefault="00093A32">
      <w:pPr>
        <w:pStyle w:val="Bodytext20"/>
        <w:ind w:left="180" w:hanging="180"/>
      </w:pPr>
      <w:r>
        <w:t>Adolescentes: habrá que aplicar la vacuna contra hepatitis B entre los 11 y 12 años de vida, o antes; se harán intentos especiales para vacunar a todos los adolescentes y no sólo los expuestos a riesgo alto</w:t>
      </w:r>
    </w:p>
    <w:p w14:paraId="15E57989" w14:textId="77777777" w:rsidR="00093A32" w:rsidRDefault="00093A32">
      <w:pPr>
        <w:pStyle w:val="Bodytext20"/>
      </w:pPr>
      <w:r>
        <w:t>Usuarios de drogas inyectables</w:t>
      </w:r>
    </w:p>
    <w:p w14:paraId="1F7426F5" w14:textId="77777777" w:rsidR="00093A32" w:rsidRDefault="00093A32">
      <w:pPr>
        <w:pStyle w:val="Bodytext20"/>
        <w:ind w:left="180" w:hanging="180"/>
      </w:pPr>
      <w:r>
        <w:t>Personas heterosexuales sexualmente activas que tienen más de un compañero sexual en los seis meses anteriores o que sufren una enfermedad de transmisión sexual</w:t>
      </w:r>
    </w:p>
    <w:p w14:paraId="46074298" w14:textId="77777777" w:rsidR="00093A32" w:rsidRDefault="00093A32">
      <w:pPr>
        <w:pStyle w:val="Bodytext20"/>
      </w:pPr>
      <w:r>
        <w:t>Varones con prácticas homosexuales</w:t>
      </w:r>
    </w:p>
    <w:p w14:paraId="1F92A6E6" w14:textId="77777777" w:rsidR="00093A32" w:rsidRDefault="00093A32">
      <w:pPr>
        <w:pStyle w:val="Bodytext20"/>
      </w:pPr>
      <w:r>
        <w:t>Contactos del núcleo familiar y contactos sexuales de personas con infección crónica por HBV Profesionales asistenciales y otros con riesgo ocupacional de exposición a la sangre o líquidos corporales sanguinolentos</w:t>
      </w:r>
    </w:p>
    <w:p w14:paraId="58198BB0" w14:textId="77777777" w:rsidR="00093A32" w:rsidRDefault="00093A32">
      <w:pPr>
        <w:pStyle w:val="Bodytext20"/>
        <w:ind w:left="180" w:hanging="180"/>
      </w:pPr>
      <w:r>
        <w:t>Personas internadas y personal de instituciones de atención a largo plazo de individuos con discapacidades del desarrollo</w:t>
      </w:r>
    </w:p>
    <w:p w14:paraId="6710B960" w14:textId="77777777" w:rsidR="00093A32" w:rsidRDefault="00093A32">
      <w:pPr>
        <w:pStyle w:val="Bodytext20"/>
        <w:ind w:left="180" w:hanging="180"/>
      </w:pPr>
      <w:r>
        <w:t>Personal de programas de atención pediátrica y escolar (que no se practican en instituciones o residencia) para personas con discapacidades del desarrollo, si el encargado de tal programa es una persona con antígeno de superficie de HB identificado</w:t>
      </w:r>
    </w:p>
    <w:p w14:paraId="07A47AEF" w14:textId="77777777" w:rsidR="00093A32" w:rsidRDefault="00093A32">
      <w:pPr>
        <w:pStyle w:val="Bodytext20"/>
      </w:pPr>
      <w:r>
        <w:t>Pacientes sometidos a hemodiálisis</w:t>
      </w:r>
    </w:p>
    <w:p w14:paraId="4C0CDB3F" w14:textId="77777777" w:rsidR="00093A32" w:rsidRDefault="00093A32">
      <w:pPr>
        <w:pStyle w:val="Bodytext20"/>
      </w:pPr>
      <w:r>
        <w:t>Miembros de unidades familiares con niños adoptados que tienen antígeno de superficie de HB Jóvenes dentro de centros de detención y otras correccionales</w:t>
      </w:r>
    </w:p>
    <w:p w14:paraId="2443D11C" w14:textId="77777777" w:rsidR="00093A32" w:rsidRDefault="00093A32">
      <w:pPr>
        <w:pStyle w:val="Bodytext20"/>
        <w:pBdr>
          <w:bottom w:val="single" w:sz="4" w:space="0" w:color="auto"/>
        </w:pBdr>
      </w:pPr>
      <w:r>
        <w:t>Sujetos con trastornos hemorrágicos que reciben concentrados de factores de coagulación Personas que viajan por largo tiempo a otros países en que es alta o intermedia la endemicidad de la infección por HBV</w:t>
      </w:r>
    </w:p>
    <w:p w14:paraId="58B9F51D" w14:textId="77777777" w:rsidR="00093A32" w:rsidRDefault="00093A32">
      <w:pPr>
        <w:pStyle w:val="BodyText"/>
        <w:ind w:firstLine="360"/>
      </w:pPr>
      <w:r>
        <w:rPr>
          <w:rFonts w:ascii="Times New Roman" w:eastAsia="Times New Roman" w:hAnsi="Times New Roman" w:cs="Times New Roman"/>
          <w:b/>
          <w:bCs/>
          <w:i/>
          <w:iCs/>
          <w:sz w:val="16"/>
          <w:szCs w:val="16"/>
        </w:rPr>
        <w:t>Jóvenes en centros de detención y otras instituciones correccionales.</w:t>
      </w:r>
      <w:r>
        <w:t xml:space="preserve"> Los jóvenes no vacunados o vacunados insuficientemente que están en instituciones de detención, incluidas cárceles, deben recibir apropiadamente la vacuna. Si la duración de su permanencia no basta para completar la serie de vacunas, habrá que iniciarla y establecer mecanismos de vigilancia con alguna institución sanitaria para garantizar que se complete el calendario en cuestión (véase “Hepatitis en jóvenes en correccionales”, sección 2).</w:t>
      </w:r>
    </w:p>
    <w:p w14:paraId="70FD407C"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Sujetos con trastornos hemorrágicos que reciben concentrados de factores de coagulación.</w:t>
      </w:r>
      <w:r>
        <w:t xml:space="preserve"> Si bien en la actualidad es poco el peligro que conlleva el uso de productos fabricados de ese tipo, subsiste el posible riesgo de transmisión de HBV; por tal razón, se recomienda la vacunación tan pronto se diagnostica alguna coagulopatía específica.</w:t>
      </w:r>
    </w:p>
    <w:p w14:paraId="3E9FC4EA" w14:textId="77777777" w:rsidR="00093A32" w:rsidRDefault="00093A32">
      <w:pPr>
        <w:pStyle w:val="BodyText"/>
        <w:ind w:firstLine="360"/>
      </w:pPr>
      <w:r>
        <w:rPr>
          <w:rFonts w:ascii="Times New Roman" w:eastAsia="Times New Roman" w:hAnsi="Times New Roman" w:cs="Times New Roman"/>
          <w:b/>
          <w:bCs/>
          <w:i/>
          <w:iCs/>
          <w:sz w:val="16"/>
          <w:szCs w:val="16"/>
        </w:rPr>
        <w:t>Viajeros a otros países.</w:t>
      </w:r>
      <w:r>
        <w:t xml:space="preserve"> Hay que vacunar a toda persona que permanezca seis meses o más en zonas donde la endemicidad de la infección por HBV sea alta o intermedia (véase antes en este resumen “Aspectos epidemiológicos”) y que tendrán contacto muy cercano con la población local. En caso de viajes y permanencias más breves, pero en las que es muy posible el contacto con sangre (como el caso del personal médico o el uso de drogas) o contacto sexual con residentes, también se harán las vacunaciones pertinentes. La vacunación comenzará como mínimo cuatro a seis meses antes del viaje para así completar un régimen de tres dosis (véase antes en este resumen “Vacunación universal antes de exposición, páginas anteriores”). Si tal práctica se emprende en un lapso menor de cuatro meses antes del viaje, se podrá obtener protección con un plan de cuatro dosis, aplicadas al cero, uno, dos y 12 meses (cuadro 3-25), si se aplicaron antes del viaje las primeras tres dosis. Los clínicos individuales pueden utilizar un calendario acelerado (p. ej., dosis aplicadas en los días cero, siete y 14) para personas que viajarán antes de que se complete el calendario aprobado de vacunaciones. En Estados Unidos, la FDA no cuenta con calendarios aprobados que incluyan la vacunación en más de un punto cronológico durante un solo mes en el caso de vacunas contra hepatitis B aprobadas en Estados Unidos. Las personas que sean vacunadas de acuerdo con un calendario acelerado no aprobado por la FDA, también recibirán una dosis de refuerzo cuando menos seis meses después de haber comenzado la serie para favorecer la inmunidad a largo plazo (véase “Retrasos y omisiones de las vacunaciones”, sección 1).</w:t>
      </w:r>
    </w:p>
    <w:p w14:paraId="12522631" w14:textId="77777777" w:rsidR="00093A32" w:rsidRDefault="00093A32">
      <w:pPr>
        <w:pStyle w:val="BodyText"/>
        <w:ind w:firstLine="360"/>
      </w:pPr>
      <w:r>
        <w:t>Las indicaciones anteriores y otras más para vacunar a personas de alto riesgo se señalan en el cuadro 3-27.</w:t>
      </w:r>
    </w:p>
    <w:p w14:paraId="748FEFD4" w14:textId="77777777" w:rsidR="00093A32" w:rsidRDefault="00093A32">
      <w:pPr>
        <w:pStyle w:val="Bodytext80"/>
        <w:spacing w:line="334" w:lineRule="auto"/>
        <w:rPr>
          <w:sz w:val="15"/>
          <w:szCs w:val="15"/>
        </w:rPr>
      </w:pPr>
      <w:r>
        <w:rPr>
          <w:b/>
          <w:bCs/>
          <w:i/>
          <w:iCs/>
          <w:sz w:val="15"/>
          <w:szCs w:val="15"/>
        </w:rPr>
        <w:t>Cuidado de personas expuestas (inmunoprofilaxia después de exposición) (véase también cuadro 3-28).</w:t>
      </w:r>
    </w:p>
    <w:p w14:paraId="50F08389" w14:textId="77777777" w:rsidR="00093A32" w:rsidRDefault="00093A32">
      <w:pPr>
        <w:pStyle w:val="BodyText"/>
        <w:ind w:firstLine="0"/>
      </w:pPr>
      <w:r>
        <w:rPr>
          <w:rFonts w:ascii="Times New Roman" w:eastAsia="Times New Roman" w:hAnsi="Times New Roman" w:cs="Times New Roman"/>
          <w:b/>
          <w:bCs/>
          <w:i/>
          <w:iCs/>
          <w:sz w:val="16"/>
          <w:szCs w:val="16"/>
        </w:rPr>
        <w:t>Prevención de infección por HBV perinatal.</w:t>
      </w:r>
      <w:r>
        <w:t xml:space="preserve"> La transmisión de la infección con tales características puede evitarse en cerca de 95% de hijos de madres con antígenos de superficie con la inmunoprofilaxia temprana activa y pasiva del pequeño (es decir, la vacunación y la aplicación de concentrado HBIG). Más adelante, la vacunación se completará durante los primeros seis meses de vida. La sola vacuna contra hepatitis B, aplicada en el nacimiento o poco después de ocurrido, tiene gran eficacia para evitar las infecciones perinatales por el virus de hepatitis B.</w:t>
      </w:r>
    </w:p>
    <w:p w14:paraId="35F311C9" w14:textId="77777777" w:rsidR="00093A32" w:rsidRDefault="00093A32">
      <w:pPr>
        <w:pStyle w:val="BodyText"/>
        <w:ind w:firstLine="360"/>
      </w:pPr>
      <w:r>
        <w:t>Detección serológica en embarazadas. La búsqueda prenatal del antígeno de superficie de HB en todas las embarazadas es una medida recomendable para identificar a los neonatos que necesitan profilaxia inmediata después de la exposición. Es importante practicar tal prueba en las embarazadas desde la primera visita prenatal y en cada embarazo. La prueba se repetirá a finales del embarazo en el caso de mujeres que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307"/>
        <w:gridCol w:w="1934"/>
        <w:gridCol w:w="1680"/>
      </w:tblGrid>
      <w:tr w:rsidR="00093A32" w14:paraId="57F3E69F" w14:textId="77777777">
        <w:tblPrEx>
          <w:tblCellMar>
            <w:top w:w="0" w:type="dxa"/>
            <w:bottom w:w="0" w:type="dxa"/>
          </w:tblCellMar>
        </w:tblPrEx>
        <w:trPr>
          <w:trHeight w:hRule="exact" w:val="869"/>
          <w:jc w:val="center"/>
        </w:trPr>
        <w:tc>
          <w:tcPr>
            <w:tcW w:w="6921" w:type="dxa"/>
            <w:gridSpan w:val="3"/>
            <w:tcBorders>
              <w:top w:val="single" w:sz="4" w:space="0" w:color="auto"/>
            </w:tcBorders>
            <w:shd w:val="clear" w:color="auto" w:fill="FFFFFF"/>
            <w:vAlign w:val="bottom"/>
          </w:tcPr>
          <w:p w14:paraId="48FE1EE4" w14:textId="77777777" w:rsidR="00093A32" w:rsidRDefault="00093A32">
            <w:pPr>
              <w:pStyle w:val="Other0"/>
              <w:spacing w:line="211" w:lineRule="auto"/>
              <w:ind w:firstLine="0"/>
              <w:jc w:val="center"/>
              <w:rPr>
                <w:sz w:val="26"/>
                <w:szCs w:val="26"/>
              </w:rPr>
            </w:pPr>
            <w:r>
              <w:rPr>
                <w:rFonts w:ascii="Arial" w:eastAsia="Arial" w:hAnsi="Arial" w:cs="Arial"/>
                <w:w w:val="70"/>
                <w:sz w:val="26"/>
                <w:szCs w:val="26"/>
              </w:rPr>
              <w:t xml:space="preserve">Cuadro 3-28. </w:t>
            </w:r>
            <w:r>
              <w:rPr>
                <w:rFonts w:ascii="Arial" w:eastAsia="Arial" w:hAnsi="Arial" w:cs="Arial"/>
                <w:b/>
                <w:bCs/>
                <w:w w:val="70"/>
                <w:sz w:val="26"/>
                <w:szCs w:val="26"/>
              </w:rPr>
              <w:t>Guía para la inmunoprofilaxia después de exposición, en el caso de infección por virus de hepatitis B</w:t>
            </w:r>
          </w:p>
        </w:tc>
      </w:tr>
      <w:tr w:rsidR="00093A32" w14:paraId="5ED44360" w14:textId="77777777">
        <w:tblPrEx>
          <w:tblCellMar>
            <w:top w:w="0" w:type="dxa"/>
            <w:bottom w:w="0" w:type="dxa"/>
          </w:tblCellMar>
        </w:tblPrEx>
        <w:trPr>
          <w:trHeight w:hRule="exact" w:val="264"/>
          <w:jc w:val="center"/>
        </w:trPr>
        <w:tc>
          <w:tcPr>
            <w:tcW w:w="3307" w:type="dxa"/>
            <w:shd w:val="clear" w:color="auto" w:fill="231F20"/>
          </w:tcPr>
          <w:p w14:paraId="42E33AC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iTipo de exposición</w:t>
            </w:r>
          </w:p>
        </w:tc>
        <w:tc>
          <w:tcPr>
            <w:tcW w:w="1934" w:type="dxa"/>
            <w:shd w:val="clear" w:color="auto" w:fill="231F20"/>
          </w:tcPr>
          <w:p w14:paraId="2252B60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Inmunoprofilaxia</w:t>
            </w:r>
            <w:r>
              <w:rPr>
                <w:rFonts w:ascii="Arial" w:eastAsia="Arial" w:hAnsi="Arial" w:cs="Arial"/>
                <w:b/>
                <w:bCs/>
                <w:color w:val="FFFFFF"/>
                <w:w w:val="70"/>
                <w:sz w:val="24"/>
                <w:szCs w:val="24"/>
                <w:vertAlign w:val="superscript"/>
              </w:rPr>
              <w:t>1</w:t>
            </w:r>
          </w:p>
        </w:tc>
        <w:tc>
          <w:tcPr>
            <w:tcW w:w="1680" w:type="dxa"/>
            <w:shd w:val="clear" w:color="auto" w:fill="231F20"/>
          </w:tcPr>
          <w:p w14:paraId="5A1E7DF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00"/>
              <w:rPr>
                <w:sz w:val="24"/>
                <w:szCs w:val="24"/>
              </w:rPr>
            </w:pPr>
            <w:r>
              <w:rPr>
                <w:rFonts w:ascii="Arial" w:eastAsia="Arial" w:hAnsi="Arial" w:cs="Arial"/>
                <w:b/>
                <w:bCs/>
                <w:color w:val="FFFFFF"/>
                <w:w w:val="70"/>
                <w:sz w:val="24"/>
                <w:szCs w:val="24"/>
              </w:rPr>
              <w:t>Referencias</w:t>
            </w:r>
          </w:p>
        </w:tc>
      </w:tr>
      <w:tr w:rsidR="00093A32" w14:paraId="334C28E3" w14:textId="77777777">
        <w:tblPrEx>
          <w:tblCellMar>
            <w:top w:w="0" w:type="dxa"/>
            <w:bottom w:w="0" w:type="dxa"/>
          </w:tblCellMar>
        </w:tblPrEx>
        <w:trPr>
          <w:trHeight w:hRule="exact" w:val="514"/>
          <w:jc w:val="center"/>
        </w:trPr>
        <w:tc>
          <w:tcPr>
            <w:tcW w:w="3307" w:type="dxa"/>
            <w:shd w:val="clear" w:color="auto" w:fill="FFFFFF"/>
            <w:vAlign w:val="bottom"/>
          </w:tcPr>
          <w:p w14:paraId="1029AC5E"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Exposición percutánea o de mucosas a la sangre</w:t>
            </w:r>
          </w:p>
        </w:tc>
        <w:tc>
          <w:tcPr>
            <w:tcW w:w="1934" w:type="dxa"/>
            <w:shd w:val="clear" w:color="auto" w:fill="FFFFFF"/>
          </w:tcPr>
          <w:p w14:paraId="29C65A9B"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Vacunación ± HBIG</w:t>
            </w:r>
          </w:p>
        </w:tc>
        <w:tc>
          <w:tcPr>
            <w:tcW w:w="1680" w:type="dxa"/>
            <w:shd w:val="clear" w:color="auto" w:fill="FFFFFF"/>
          </w:tcPr>
          <w:p w14:paraId="398EB896"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(cuadro 3-30)</w:t>
            </w:r>
          </w:p>
        </w:tc>
      </w:tr>
      <w:tr w:rsidR="00093A32" w14:paraId="2394001F" w14:textId="77777777">
        <w:tblPrEx>
          <w:tblCellMar>
            <w:top w:w="0" w:type="dxa"/>
            <w:bottom w:w="0" w:type="dxa"/>
          </w:tblCellMar>
        </w:tblPrEx>
        <w:trPr>
          <w:trHeight w:hRule="exact" w:val="432"/>
          <w:jc w:val="center"/>
        </w:trPr>
        <w:tc>
          <w:tcPr>
            <w:tcW w:w="3307" w:type="dxa"/>
            <w:shd w:val="clear" w:color="auto" w:fill="FFFFFF"/>
            <w:vAlign w:val="bottom"/>
          </w:tcPr>
          <w:p w14:paraId="0BC95081"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Contacto del círculo familiar de una persona con antígeno de superficie de HB</w:t>
            </w:r>
          </w:p>
        </w:tc>
        <w:tc>
          <w:tcPr>
            <w:tcW w:w="1934" w:type="dxa"/>
            <w:shd w:val="clear" w:color="auto" w:fill="FFFFFF"/>
          </w:tcPr>
          <w:p w14:paraId="452215A4"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Vacunación</w:t>
            </w:r>
          </w:p>
        </w:tc>
        <w:tc>
          <w:tcPr>
            <w:tcW w:w="1680" w:type="dxa"/>
            <w:shd w:val="clear" w:color="auto" w:fill="FFFFFF"/>
          </w:tcPr>
          <w:p w14:paraId="47A517EF"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Véase texto</w:t>
            </w:r>
          </w:p>
        </w:tc>
      </w:tr>
      <w:tr w:rsidR="00093A32" w14:paraId="4A38F30D" w14:textId="77777777">
        <w:tblPrEx>
          <w:tblCellMar>
            <w:top w:w="0" w:type="dxa"/>
            <w:bottom w:w="0" w:type="dxa"/>
          </w:tblCellMar>
        </w:tblPrEx>
        <w:trPr>
          <w:trHeight w:hRule="exact" w:val="432"/>
          <w:jc w:val="center"/>
        </w:trPr>
        <w:tc>
          <w:tcPr>
            <w:tcW w:w="3307" w:type="dxa"/>
            <w:shd w:val="clear" w:color="auto" w:fill="FFFFFF"/>
            <w:vAlign w:val="bottom"/>
          </w:tcPr>
          <w:p w14:paraId="7FD565FF"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Contacto familiar de un enfermo agudo con exposición identificable a la sangre</w:t>
            </w:r>
          </w:p>
        </w:tc>
        <w:tc>
          <w:tcPr>
            <w:tcW w:w="1934" w:type="dxa"/>
            <w:shd w:val="clear" w:color="auto" w:fill="FFFFFF"/>
          </w:tcPr>
          <w:p w14:paraId="38B6E571"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Vacunación + HBIG</w:t>
            </w:r>
          </w:p>
        </w:tc>
        <w:tc>
          <w:tcPr>
            <w:tcW w:w="1680" w:type="dxa"/>
            <w:shd w:val="clear" w:color="auto" w:fill="FFFFFF"/>
          </w:tcPr>
          <w:p w14:paraId="5B8CF8FD"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Véase texto</w:t>
            </w:r>
          </w:p>
        </w:tc>
      </w:tr>
      <w:tr w:rsidR="00093A32" w14:paraId="7E8F9A34" w14:textId="77777777">
        <w:tblPrEx>
          <w:tblCellMar>
            <w:top w:w="0" w:type="dxa"/>
            <w:bottom w:w="0" w:type="dxa"/>
          </w:tblCellMar>
        </w:tblPrEx>
        <w:trPr>
          <w:trHeight w:hRule="exact" w:val="211"/>
          <w:jc w:val="center"/>
        </w:trPr>
        <w:tc>
          <w:tcPr>
            <w:tcW w:w="3307" w:type="dxa"/>
            <w:shd w:val="clear" w:color="auto" w:fill="FFFFFF"/>
          </w:tcPr>
          <w:p w14:paraId="05D11E3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Tipo perinatal</w:t>
            </w:r>
          </w:p>
        </w:tc>
        <w:tc>
          <w:tcPr>
            <w:tcW w:w="1934" w:type="dxa"/>
            <w:shd w:val="clear" w:color="auto" w:fill="FFFFFF"/>
          </w:tcPr>
          <w:p w14:paraId="42807A9F"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Vacunación + HBIG</w:t>
            </w:r>
          </w:p>
        </w:tc>
        <w:tc>
          <w:tcPr>
            <w:tcW w:w="1680" w:type="dxa"/>
            <w:shd w:val="clear" w:color="auto" w:fill="FFFFFF"/>
          </w:tcPr>
          <w:p w14:paraId="55ECF569"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Véase texto</w:t>
            </w:r>
          </w:p>
        </w:tc>
      </w:tr>
      <w:tr w:rsidR="00093A32" w14:paraId="42188D31" w14:textId="77777777">
        <w:tblPrEx>
          <w:tblCellMar>
            <w:top w:w="0" w:type="dxa"/>
            <w:bottom w:w="0" w:type="dxa"/>
          </w:tblCellMar>
        </w:tblPrEx>
        <w:trPr>
          <w:trHeight w:hRule="exact" w:val="432"/>
          <w:jc w:val="center"/>
        </w:trPr>
        <w:tc>
          <w:tcPr>
            <w:tcW w:w="3307" w:type="dxa"/>
            <w:shd w:val="clear" w:color="auto" w:fill="FFFFFF"/>
            <w:vAlign w:val="bottom"/>
          </w:tcPr>
          <w:p w14:paraId="661BADA8"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Sexual, en que el compañero tiene una infección aguda</w:t>
            </w:r>
          </w:p>
        </w:tc>
        <w:tc>
          <w:tcPr>
            <w:tcW w:w="1934" w:type="dxa"/>
            <w:shd w:val="clear" w:color="auto" w:fill="FFFFFF"/>
          </w:tcPr>
          <w:p w14:paraId="4EE1EE1B"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Vacunación + HBIG</w:t>
            </w:r>
          </w:p>
        </w:tc>
        <w:tc>
          <w:tcPr>
            <w:tcW w:w="1680" w:type="dxa"/>
            <w:shd w:val="clear" w:color="auto" w:fill="FFFFFF"/>
          </w:tcPr>
          <w:p w14:paraId="4C78671C"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Véase texto</w:t>
            </w:r>
          </w:p>
        </w:tc>
      </w:tr>
      <w:tr w:rsidR="00093A32" w14:paraId="4208B25F" w14:textId="77777777">
        <w:tblPrEx>
          <w:tblCellMar>
            <w:top w:w="0" w:type="dxa"/>
            <w:bottom w:w="0" w:type="dxa"/>
          </w:tblCellMar>
        </w:tblPrEx>
        <w:trPr>
          <w:trHeight w:hRule="exact" w:val="523"/>
          <w:jc w:val="center"/>
        </w:trPr>
        <w:tc>
          <w:tcPr>
            <w:tcW w:w="3307" w:type="dxa"/>
            <w:tcBorders>
              <w:bottom w:val="single" w:sz="4" w:space="0" w:color="auto"/>
            </w:tcBorders>
            <w:shd w:val="clear" w:color="auto" w:fill="FFFFFF"/>
          </w:tcPr>
          <w:p w14:paraId="42ED597B" w14:textId="77777777" w:rsidR="00093A32" w:rsidRDefault="00093A32">
            <w:pPr>
              <w:pStyle w:val="Other0"/>
              <w:spacing w:line="283" w:lineRule="auto"/>
              <w:ind w:left="200" w:hanging="200"/>
              <w:rPr>
                <w:sz w:val="16"/>
                <w:szCs w:val="16"/>
              </w:rPr>
            </w:pPr>
            <w:r>
              <w:rPr>
                <w:rFonts w:ascii="Times New Roman" w:eastAsia="Times New Roman" w:hAnsi="Times New Roman" w:cs="Times New Roman"/>
                <w:sz w:val="16"/>
                <w:szCs w:val="16"/>
              </w:rPr>
              <w:t>Sexual, en que el compañero tiene una infección crónica</w:t>
            </w:r>
          </w:p>
        </w:tc>
        <w:tc>
          <w:tcPr>
            <w:tcW w:w="1934" w:type="dxa"/>
            <w:tcBorders>
              <w:bottom w:val="single" w:sz="4" w:space="0" w:color="auto"/>
            </w:tcBorders>
            <w:shd w:val="clear" w:color="auto" w:fill="FFFFFF"/>
          </w:tcPr>
          <w:p w14:paraId="268EA4DE"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Vacunación</w:t>
            </w:r>
          </w:p>
        </w:tc>
        <w:tc>
          <w:tcPr>
            <w:tcW w:w="1680" w:type="dxa"/>
            <w:tcBorders>
              <w:bottom w:val="single" w:sz="4" w:space="0" w:color="auto"/>
            </w:tcBorders>
            <w:shd w:val="clear" w:color="auto" w:fill="FFFFFF"/>
          </w:tcPr>
          <w:p w14:paraId="4957A2AD"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Véase texto</w:t>
            </w:r>
          </w:p>
        </w:tc>
      </w:tr>
    </w:tbl>
    <w:p w14:paraId="62AFB316" w14:textId="77777777" w:rsidR="00093A32" w:rsidRDefault="00093A32">
      <w:pPr>
        <w:pStyle w:val="Tablecaption0"/>
        <w:spacing w:line="240" w:lineRule="auto"/>
        <w:ind w:left="86"/>
      </w:pPr>
      <w:r>
        <w:t>HBIG, concentrado inmunoglobulínico de hepatitis Bs</w:t>
      </w:r>
    </w:p>
    <w:p w14:paraId="09764543" w14:textId="77777777" w:rsidR="00093A32" w:rsidRDefault="00093A32">
      <w:pPr>
        <w:pStyle w:val="Tablecaption0"/>
        <w:spacing w:line="240" w:lineRule="auto"/>
        <w:ind w:left="86"/>
      </w:pPr>
      <w:r>
        <w:rPr>
          <w:sz w:val="8"/>
          <w:szCs w:val="8"/>
          <w:vertAlign w:val="superscript"/>
        </w:rPr>
        <w:t>1</w:t>
      </w:r>
      <w:r>
        <w:rPr>
          <w:sz w:val="8"/>
          <w:szCs w:val="8"/>
        </w:rPr>
        <w:t xml:space="preserve"> </w:t>
      </w:r>
      <w:r>
        <w:t>Para pacientes susceptibles (es decir no vacunados).</w:t>
      </w:r>
    </w:p>
    <w:p w14:paraId="194BCEE5" w14:textId="77777777" w:rsidR="00093A32" w:rsidRDefault="00093A32">
      <w:pPr>
        <w:spacing w:after="439" w:line="1" w:lineRule="exact"/>
      </w:pPr>
    </w:p>
    <w:p w14:paraId="0C4CD979" w14:textId="77777777" w:rsidR="00093A32" w:rsidRDefault="00093A32">
      <w:pPr>
        <w:pStyle w:val="BodyText"/>
        <w:ind w:firstLine="0"/>
      </w:pPr>
      <w:r>
        <w:t>no tengan el antígeno de superfìcie pero que estén expuestas a gran peligro de infección por HBV, (es decir, usuarios de drogas inyectadas y los que tienen en forma intercurrente enfermedades de transmisión sexual) o que muestran hepatitis clínica. También se vacunará a los contactos del núcleo familiar y contactos sexuales de mujeres con el antígeno de superficie comentado. Es importante notificar los casos de estas mujeres a los departamentos sanitarios para el tratamiento adecuado que garantice la vigilancia de sus pequeños y la vacunación de contactos sexuales en el núcleo familiar. En poblaciones en que es imposible la búsqueda de antígeno de superficie de HB en todas las embarazadas, será necesario aplicar la vacuna contra hepatitis B en todos los neonatos en término de 12 h de haber nacido; la segunda dosis se aplica a los dos meses de edad, y la tercera, a los seis meses.</w:t>
      </w:r>
    </w:p>
    <w:p w14:paraId="7B3FA5DC" w14:textId="77777777" w:rsidR="00093A32" w:rsidRDefault="00093A32">
      <w:pPr>
        <w:pStyle w:val="BodyText"/>
        <w:ind w:firstLine="380"/>
      </w:pPr>
      <w:r>
        <w:t>Tratamiento de hijos de madres con antígeno de superficie de HB. Los neonatos hijos de las madres con esas características, incluidos los productos pretérmino, deben recibir la primera dosis de vacuna contra hepatitis B en término de 12 h de haber nacido (véase cuadro 3-25 para conocer las dosis apropiadas) y también al mismo tiempo, pero en sitios anatómicos diferentes, se aplicará concentrado de HBIG (0.5 ml). Se aplicarán dosis ulteriores de vacuna tal como se recomienda en los cuadros 3-26 y 3-29. En el caso de productos pretérmino que pesen menos de 2 000 g al nacer, no se contará la vacuna inicial dentro del calendario de tres dosis exigidas (un total de cuatro dosis de vacuna contra hepatitis B) y las tres dosis siguientes se aplicarán con base en el calendario de vacunación de productos pretérmino (véase “Productos pretérmino y productos con bajo peso neonatal”, sección 1).</w:t>
      </w:r>
    </w:p>
    <w:p w14:paraId="53CADDE2" w14:textId="77777777" w:rsidR="00093A32" w:rsidRDefault="00093A32">
      <w:pPr>
        <w:pStyle w:val="BodyText"/>
        <w:ind w:firstLine="380"/>
      </w:pPr>
      <w:r>
        <w:t>Hay que buscar anticuerpos contra HBs y el antígeno de superficie en todo pequeño nacido de una mujer con dicho antígeno, una vez terminada la serie de vacunas entre los nueve y 15 meses de vida. Es mejor no hacer tales pruebas antes de los nueve meses para no detectar anticuerpos contra el antígeno de superficie que eran parte del concentrado de HBIG administrado en la lactancia y así llevar al máximo la posibilidad de detectar infecciones tardías por HBV. La búsqueda del antígeno de superficie permitirá identificar a productos que terminaron por mostrar infección crónica a pesar de la vacunación (por infección intrauterina o ineficacia de la vacuna) y</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859"/>
        <w:gridCol w:w="3062"/>
      </w:tblGrid>
      <w:tr w:rsidR="00093A32" w14:paraId="5FE30B45" w14:textId="77777777">
        <w:tblPrEx>
          <w:tblCellMar>
            <w:top w:w="0" w:type="dxa"/>
            <w:bottom w:w="0" w:type="dxa"/>
          </w:tblCellMar>
        </w:tblPrEx>
        <w:trPr>
          <w:trHeight w:hRule="exact" w:val="869"/>
          <w:jc w:val="center"/>
        </w:trPr>
        <w:tc>
          <w:tcPr>
            <w:tcW w:w="6921" w:type="dxa"/>
            <w:gridSpan w:val="2"/>
            <w:tcBorders>
              <w:top w:val="single" w:sz="4" w:space="0" w:color="auto"/>
            </w:tcBorders>
            <w:shd w:val="clear" w:color="auto" w:fill="FFFFFF"/>
            <w:vAlign w:val="bottom"/>
          </w:tcPr>
          <w:p w14:paraId="28AF15C6" w14:textId="77777777" w:rsidR="00093A32" w:rsidRDefault="00093A32">
            <w:pPr>
              <w:pStyle w:val="Other0"/>
              <w:spacing w:line="211" w:lineRule="auto"/>
              <w:ind w:firstLine="0"/>
              <w:jc w:val="center"/>
              <w:rPr>
                <w:sz w:val="26"/>
                <w:szCs w:val="26"/>
              </w:rPr>
            </w:pPr>
            <w:r>
              <w:rPr>
                <w:rFonts w:ascii="Arial" w:eastAsia="Arial" w:hAnsi="Arial" w:cs="Arial"/>
                <w:w w:val="70"/>
                <w:sz w:val="26"/>
                <w:szCs w:val="26"/>
              </w:rPr>
              <w:t xml:space="preserve">Cuadro 3-29. </w:t>
            </w:r>
            <w:r>
              <w:rPr>
                <w:rFonts w:ascii="Arial" w:eastAsia="Arial" w:hAnsi="Arial" w:cs="Arial"/>
                <w:b/>
                <w:bCs/>
                <w:w w:val="70"/>
                <w:sz w:val="26"/>
                <w:szCs w:val="26"/>
              </w:rPr>
              <w:t>Plan recomendado de inmunoprofilaxia de hepatitis B para evitar la transmisión perinatal</w:t>
            </w:r>
          </w:p>
        </w:tc>
      </w:tr>
      <w:tr w:rsidR="00093A32" w14:paraId="21DEEB09" w14:textId="77777777">
        <w:tblPrEx>
          <w:tblCellMar>
            <w:top w:w="0" w:type="dxa"/>
            <w:bottom w:w="0" w:type="dxa"/>
          </w:tblCellMar>
        </w:tblPrEx>
        <w:trPr>
          <w:trHeight w:hRule="exact" w:val="264"/>
          <w:jc w:val="center"/>
        </w:trPr>
        <w:tc>
          <w:tcPr>
            <w:tcW w:w="3859" w:type="dxa"/>
            <w:shd w:val="clear" w:color="auto" w:fill="231F20"/>
          </w:tcPr>
          <w:p w14:paraId="243434B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Times New Roman" w:eastAsia="Times New Roman" w:hAnsi="Times New Roman" w:cs="Times New Roman"/>
                <w:color w:val="FFFFFF"/>
                <w:sz w:val="16"/>
                <w:szCs w:val="16"/>
              </w:rPr>
              <w:t xml:space="preserve">1 </w:t>
            </w:r>
            <w:r>
              <w:rPr>
                <w:rFonts w:ascii="Arial" w:eastAsia="Arial" w:hAnsi="Arial" w:cs="Arial"/>
                <w:b/>
                <w:bCs/>
                <w:color w:val="FFFFFF"/>
                <w:w w:val="70"/>
                <w:sz w:val="24"/>
                <w:szCs w:val="24"/>
              </w:rPr>
              <w:t>Dosis de vacuna</w:t>
            </w:r>
            <w:r>
              <w:rPr>
                <w:rFonts w:ascii="Times New Roman" w:eastAsia="Times New Roman" w:hAnsi="Times New Roman" w:cs="Times New Roman"/>
                <w:color w:val="FFFFFF"/>
                <w:sz w:val="16"/>
                <w:szCs w:val="16"/>
                <w:vertAlign w:val="superscript"/>
              </w:rPr>
              <w:t>1</w:t>
            </w:r>
            <w:r>
              <w:rPr>
                <w:rFonts w:ascii="Times New Roman" w:eastAsia="Times New Roman" w:hAnsi="Times New Roman" w:cs="Times New Roman"/>
                <w:color w:val="FFFFFF"/>
                <w:sz w:val="16"/>
                <w:szCs w:val="16"/>
              </w:rPr>
              <w:t xml:space="preserve"> </w:t>
            </w:r>
            <w:r>
              <w:rPr>
                <w:rFonts w:ascii="Arial" w:eastAsia="Arial" w:hAnsi="Arial" w:cs="Arial"/>
                <w:b/>
                <w:bCs/>
                <w:color w:val="FFFFFF"/>
                <w:w w:val="70"/>
                <w:sz w:val="24"/>
                <w:szCs w:val="24"/>
              </w:rPr>
              <w:t>y de concentrado HBIG</w:t>
            </w:r>
          </w:p>
        </w:tc>
        <w:tc>
          <w:tcPr>
            <w:tcW w:w="3062" w:type="dxa"/>
            <w:shd w:val="clear" w:color="auto" w:fill="231F20"/>
          </w:tcPr>
          <w:p w14:paraId="01D6A0A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80"/>
              <w:rPr>
                <w:sz w:val="24"/>
                <w:szCs w:val="24"/>
              </w:rPr>
            </w:pPr>
            <w:r>
              <w:rPr>
                <w:rFonts w:ascii="Arial" w:eastAsia="Arial" w:hAnsi="Arial" w:cs="Arial"/>
                <w:b/>
                <w:bCs/>
                <w:color w:val="FFFFFF"/>
                <w:w w:val="70"/>
                <w:sz w:val="24"/>
                <w:szCs w:val="24"/>
              </w:rPr>
              <w:t>Edad</w:t>
            </w:r>
          </w:p>
        </w:tc>
      </w:tr>
      <w:tr w:rsidR="00093A32" w14:paraId="498DE13F" w14:textId="77777777">
        <w:tblPrEx>
          <w:tblCellMar>
            <w:top w:w="0" w:type="dxa"/>
            <w:bottom w:w="0" w:type="dxa"/>
          </w:tblCellMar>
        </w:tblPrEx>
        <w:trPr>
          <w:trHeight w:hRule="exact" w:val="509"/>
          <w:jc w:val="center"/>
        </w:trPr>
        <w:tc>
          <w:tcPr>
            <w:tcW w:w="3859" w:type="dxa"/>
            <w:shd w:val="clear" w:color="auto" w:fill="FFFFFF"/>
            <w:vAlign w:val="bottom"/>
          </w:tcPr>
          <w:p w14:paraId="7FEB781B" w14:textId="77777777" w:rsidR="00093A32" w:rsidRDefault="00093A32">
            <w:pPr>
              <w:pStyle w:val="Other0"/>
              <w:spacing w:line="266" w:lineRule="auto"/>
              <w:ind w:left="200" w:hanging="200"/>
              <w:rPr>
                <w:sz w:val="17"/>
                <w:szCs w:val="17"/>
              </w:rPr>
            </w:pPr>
            <w:r>
              <w:rPr>
                <w:rFonts w:ascii="Times New Roman" w:eastAsia="Times New Roman" w:hAnsi="Times New Roman" w:cs="Times New Roman"/>
                <w:b/>
                <w:bCs/>
                <w:i/>
                <w:iCs/>
                <w:sz w:val="17"/>
                <w:szCs w:val="17"/>
              </w:rPr>
              <w:t>Neonatos de una mujer que tiene el antigeno de superficie de HB</w:t>
            </w:r>
            <w:r>
              <w:rPr>
                <w:rFonts w:ascii="Times New Roman" w:eastAsia="Times New Roman" w:hAnsi="Times New Roman" w:cs="Times New Roman"/>
                <w:b/>
                <w:bCs/>
                <w:i/>
                <w:iCs/>
                <w:sz w:val="17"/>
                <w:szCs w:val="17"/>
                <w:vertAlign w:val="superscript"/>
              </w:rPr>
              <w:t>2</w:t>
            </w:r>
          </w:p>
        </w:tc>
        <w:tc>
          <w:tcPr>
            <w:tcW w:w="3062" w:type="dxa"/>
            <w:shd w:val="clear" w:color="auto" w:fill="FFFFFF"/>
          </w:tcPr>
          <w:p w14:paraId="076BB1BA" w14:textId="77777777" w:rsidR="00093A32" w:rsidRDefault="00093A32">
            <w:pPr>
              <w:rPr>
                <w:sz w:val="10"/>
                <w:szCs w:val="10"/>
              </w:rPr>
            </w:pPr>
          </w:p>
        </w:tc>
      </w:tr>
      <w:tr w:rsidR="00093A32" w14:paraId="0BA4FF15" w14:textId="77777777">
        <w:tblPrEx>
          <w:tblCellMar>
            <w:top w:w="0" w:type="dxa"/>
            <w:bottom w:w="0" w:type="dxa"/>
          </w:tblCellMar>
        </w:tblPrEx>
        <w:trPr>
          <w:trHeight w:hRule="exact" w:val="202"/>
          <w:jc w:val="center"/>
        </w:trPr>
        <w:tc>
          <w:tcPr>
            <w:tcW w:w="3859" w:type="dxa"/>
            <w:shd w:val="clear" w:color="auto" w:fill="FFFFFF"/>
          </w:tcPr>
          <w:p w14:paraId="6306FBF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Primera dosis</w:t>
            </w:r>
          </w:p>
        </w:tc>
        <w:tc>
          <w:tcPr>
            <w:tcW w:w="3062" w:type="dxa"/>
            <w:shd w:val="clear" w:color="auto" w:fill="FFFFFF"/>
          </w:tcPr>
          <w:p w14:paraId="1DFCF08C"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Nacimiento (en término de 12 h)</w:t>
            </w:r>
          </w:p>
        </w:tc>
      </w:tr>
      <w:tr w:rsidR="00093A32" w14:paraId="483FABE3" w14:textId="77777777">
        <w:tblPrEx>
          <w:tblCellMar>
            <w:top w:w="0" w:type="dxa"/>
            <w:bottom w:w="0" w:type="dxa"/>
          </w:tblCellMar>
        </w:tblPrEx>
        <w:trPr>
          <w:trHeight w:hRule="exact" w:val="216"/>
          <w:jc w:val="center"/>
        </w:trPr>
        <w:tc>
          <w:tcPr>
            <w:tcW w:w="3859" w:type="dxa"/>
            <w:shd w:val="clear" w:color="auto" w:fill="FFFFFF"/>
            <w:vAlign w:val="bottom"/>
          </w:tcPr>
          <w:p w14:paraId="53DA826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HBIG</w:t>
            </w:r>
            <w:r>
              <w:rPr>
                <w:rFonts w:ascii="Times New Roman" w:eastAsia="Times New Roman" w:hAnsi="Times New Roman" w:cs="Times New Roman"/>
                <w:sz w:val="16"/>
                <w:szCs w:val="16"/>
                <w:vertAlign w:val="superscript"/>
              </w:rPr>
              <w:t>3</w:t>
            </w:r>
          </w:p>
        </w:tc>
        <w:tc>
          <w:tcPr>
            <w:tcW w:w="3062" w:type="dxa"/>
            <w:shd w:val="clear" w:color="auto" w:fill="FFFFFF"/>
            <w:vAlign w:val="bottom"/>
          </w:tcPr>
          <w:p w14:paraId="00C95E9F"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Nacimiento (en término de 12 h)</w:t>
            </w:r>
          </w:p>
        </w:tc>
      </w:tr>
      <w:tr w:rsidR="00093A32" w14:paraId="6A646E5A" w14:textId="77777777">
        <w:tblPrEx>
          <w:tblCellMar>
            <w:top w:w="0" w:type="dxa"/>
            <w:bottom w:w="0" w:type="dxa"/>
          </w:tblCellMar>
        </w:tblPrEx>
        <w:trPr>
          <w:trHeight w:hRule="exact" w:val="226"/>
          <w:jc w:val="center"/>
        </w:trPr>
        <w:tc>
          <w:tcPr>
            <w:tcW w:w="3859" w:type="dxa"/>
            <w:shd w:val="clear" w:color="auto" w:fill="FFFFFF"/>
            <w:vAlign w:val="bottom"/>
          </w:tcPr>
          <w:p w14:paraId="4DB2112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Segunda dosis</w:t>
            </w:r>
          </w:p>
        </w:tc>
        <w:tc>
          <w:tcPr>
            <w:tcW w:w="3062" w:type="dxa"/>
            <w:shd w:val="clear" w:color="auto" w:fill="FFFFFF"/>
            <w:vAlign w:val="bottom"/>
          </w:tcPr>
          <w:p w14:paraId="43493433"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1-2 meses</w:t>
            </w:r>
          </w:p>
        </w:tc>
      </w:tr>
      <w:tr w:rsidR="00093A32" w14:paraId="6228B7E0" w14:textId="77777777">
        <w:tblPrEx>
          <w:tblCellMar>
            <w:top w:w="0" w:type="dxa"/>
            <w:bottom w:w="0" w:type="dxa"/>
          </w:tblCellMar>
        </w:tblPrEx>
        <w:trPr>
          <w:trHeight w:hRule="exact" w:val="202"/>
          <w:jc w:val="center"/>
        </w:trPr>
        <w:tc>
          <w:tcPr>
            <w:tcW w:w="3859" w:type="dxa"/>
            <w:shd w:val="clear" w:color="auto" w:fill="FFFFFF"/>
          </w:tcPr>
          <w:p w14:paraId="29EA6D2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Tercera dosis</w:t>
            </w:r>
          </w:p>
        </w:tc>
        <w:tc>
          <w:tcPr>
            <w:tcW w:w="3062" w:type="dxa"/>
            <w:shd w:val="clear" w:color="auto" w:fill="FFFFFF"/>
          </w:tcPr>
          <w:p w14:paraId="21695D30"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6 meses</w:t>
            </w:r>
          </w:p>
        </w:tc>
      </w:tr>
      <w:tr w:rsidR="00093A32" w14:paraId="0F5B1C24" w14:textId="77777777">
        <w:tblPrEx>
          <w:tblCellMar>
            <w:top w:w="0" w:type="dxa"/>
            <w:bottom w:w="0" w:type="dxa"/>
          </w:tblCellMar>
        </w:tblPrEx>
        <w:trPr>
          <w:trHeight w:hRule="exact" w:val="677"/>
          <w:jc w:val="center"/>
        </w:trPr>
        <w:tc>
          <w:tcPr>
            <w:tcW w:w="3859" w:type="dxa"/>
            <w:shd w:val="clear" w:color="auto" w:fill="FFFFFF"/>
            <w:vAlign w:val="bottom"/>
          </w:tcPr>
          <w:p w14:paraId="4F230A7B" w14:textId="77777777" w:rsidR="00093A32" w:rsidRDefault="00093A32">
            <w:pPr>
              <w:pStyle w:val="Other0"/>
              <w:spacing w:line="271" w:lineRule="auto"/>
              <w:ind w:left="200" w:hanging="200"/>
              <w:rPr>
                <w:sz w:val="17"/>
                <w:szCs w:val="17"/>
              </w:rPr>
            </w:pPr>
            <w:r>
              <w:rPr>
                <w:rFonts w:ascii="Times New Roman" w:eastAsia="Times New Roman" w:hAnsi="Times New Roman" w:cs="Times New Roman"/>
                <w:b/>
                <w:bCs/>
                <w:i/>
                <w:iCs/>
                <w:sz w:val="17"/>
                <w:szCs w:val="17"/>
              </w:rPr>
              <w:t>Producto de término hijo de mujer en la cual no se han hecho métodos para detectar antígeno de superficie de HB</w:t>
            </w:r>
          </w:p>
        </w:tc>
        <w:tc>
          <w:tcPr>
            <w:tcW w:w="3062" w:type="dxa"/>
            <w:shd w:val="clear" w:color="auto" w:fill="FFFFFF"/>
          </w:tcPr>
          <w:p w14:paraId="0E55DF10" w14:textId="77777777" w:rsidR="00093A32" w:rsidRDefault="00093A32">
            <w:pPr>
              <w:rPr>
                <w:sz w:val="10"/>
                <w:szCs w:val="10"/>
              </w:rPr>
            </w:pPr>
          </w:p>
        </w:tc>
      </w:tr>
      <w:tr w:rsidR="00093A32" w14:paraId="1373F8A5" w14:textId="77777777">
        <w:tblPrEx>
          <w:tblCellMar>
            <w:top w:w="0" w:type="dxa"/>
            <w:bottom w:w="0" w:type="dxa"/>
          </w:tblCellMar>
        </w:tblPrEx>
        <w:trPr>
          <w:trHeight w:hRule="exact" w:val="202"/>
          <w:jc w:val="center"/>
        </w:trPr>
        <w:tc>
          <w:tcPr>
            <w:tcW w:w="3859" w:type="dxa"/>
            <w:shd w:val="clear" w:color="auto" w:fill="FFFFFF"/>
          </w:tcPr>
          <w:p w14:paraId="355354D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Primera dosis</w:t>
            </w:r>
          </w:p>
        </w:tc>
        <w:tc>
          <w:tcPr>
            <w:tcW w:w="3062" w:type="dxa"/>
            <w:shd w:val="clear" w:color="auto" w:fill="FFFFFF"/>
          </w:tcPr>
          <w:p w14:paraId="58E99131"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Nacimiento (en término de 12 h)</w:t>
            </w:r>
          </w:p>
        </w:tc>
      </w:tr>
      <w:tr w:rsidR="00093A32" w14:paraId="66FD6B29" w14:textId="77777777">
        <w:tblPrEx>
          <w:tblCellMar>
            <w:top w:w="0" w:type="dxa"/>
            <w:bottom w:w="0" w:type="dxa"/>
          </w:tblCellMar>
        </w:tblPrEx>
        <w:trPr>
          <w:trHeight w:hRule="exact" w:val="1085"/>
          <w:jc w:val="center"/>
        </w:trPr>
        <w:tc>
          <w:tcPr>
            <w:tcW w:w="3859" w:type="dxa"/>
            <w:shd w:val="clear" w:color="auto" w:fill="FFFFFF"/>
          </w:tcPr>
          <w:p w14:paraId="63167E5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HBIG</w:t>
            </w:r>
            <w:r>
              <w:rPr>
                <w:rFonts w:ascii="Times New Roman" w:eastAsia="Times New Roman" w:hAnsi="Times New Roman" w:cs="Times New Roman"/>
                <w:sz w:val="16"/>
                <w:szCs w:val="16"/>
                <w:vertAlign w:val="superscript"/>
              </w:rPr>
              <w:t>3</w:t>
            </w:r>
          </w:p>
        </w:tc>
        <w:tc>
          <w:tcPr>
            <w:tcW w:w="3062" w:type="dxa"/>
            <w:shd w:val="clear" w:color="auto" w:fill="FFFFFF"/>
            <w:vAlign w:val="bottom"/>
          </w:tcPr>
          <w:p w14:paraId="70FAF7B2" w14:textId="77777777" w:rsidR="00093A32" w:rsidRDefault="00093A32">
            <w:pPr>
              <w:pStyle w:val="Other0"/>
              <w:spacing w:line="283" w:lineRule="auto"/>
              <w:ind w:left="240" w:hanging="100"/>
              <w:rPr>
                <w:sz w:val="16"/>
                <w:szCs w:val="16"/>
              </w:rPr>
            </w:pPr>
            <w:r>
              <w:rPr>
                <w:rFonts w:ascii="Times New Roman" w:eastAsia="Times New Roman" w:hAnsi="Times New Roman" w:cs="Times New Roman"/>
                <w:sz w:val="16"/>
                <w:szCs w:val="16"/>
              </w:rPr>
              <w:t>Si se sabe que la madre tiene el antígeno de superficie de HB, se aplicará lo más pronto posible 0.5 ml en un lapso que no exceda de una semana después del nacimiento</w:t>
            </w:r>
            <w:r>
              <w:rPr>
                <w:rFonts w:ascii="Times New Roman" w:eastAsia="Times New Roman" w:hAnsi="Times New Roman" w:cs="Times New Roman"/>
                <w:sz w:val="16"/>
                <w:szCs w:val="16"/>
                <w:vertAlign w:val="superscript"/>
              </w:rPr>
              <w:t>4</w:t>
            </w:r>
          </w:p>
        </w:tc>
      </w:tr>
      <w:tr w:rsidR="00093A32" w14:paraId="55A3E5BF" w14:textId="77777777">
        <w:tblPrEx>
          <w:tblCellMar>
            <w:top w:w="0" w:type="dxa"/>
            <w:bottom w:w="0" w:type="dxa"/>
          </w:tblCellMar>
        </w:tblPrEx>
        <w:trPr>
          <w:trHeight w:hRule="exact" w:val="230"/>
          <w:jc w:val="center"/>
        </w:trPr>
        <w:tc>
          <w:tcPr>
            <w:tcW w:w="3859" w:type="dxa"/>
            <w:shd w:val="clear" w:color="auto" w:fill="FFFFFF"/>
            <w:vAlign w:val="bottom"/>
          </w:tcPr>
          <w:p w14:paraId="2304FBB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Segunda dosis</w:t>
            </w:r>
          </w:p>
        </w:tc>
        <w:tc>
          <w:tcPr>
            <w:tcW w:w="3062" w:type="dxa"/>
            <w:shd w:val="clear" w:color="auto" w:fill="FFFFFF"/>
            <w:vAlign w:val="bottom"/>
          </w:tcPr>
          <w:p w14:paraId="1139133E"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1-2 meses</w:t>
            </w:r>
          </w:p>
        </w:tc>
      </w:tr>
      <w:tr w:rsidR="00093A32" w14:paraId="6D43D6A0" w14:textId="77777777">
        <w:tblPrEx>
          <w:tblCellMar>
            <w:top w:w="0" w:type="dxa"/>
            <w:bottom w:w="0" w:type="dxa"/>
          </w:tblCellMar>
        </w:tblPrEx>
        <w:trPr>
          <w:trHeight w:hRule="exact" w:val="317"/>
          <w:jc w:val="center"/>
        </w:trPr>
        <w:tc>
          <w:tcPr>
            <w:tcW w:w="3859" w:type="dxa"/>
            <w:tcBorders>
              <w:bottom w:val="single" w:sz="4" w:space="0" w:color="auto"/>
            </w:tcBorders>
            <w:shd w:val="clear" w:color="auto" w:fill="FFFFFF"/>
          </w:tcPr>
          <w:p w14:paraId="0BB1C16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Tercera dosis</w:t>
            </w:r>
          </w:p>
        </w:tc>
        <w:tc>
          <w:tcPr>
            <w:tcW w:w="3062" w:type="dxa"/>
            <w:tcBorders>
              <w:bottom w:val="single" w:sz="4" w:space="0" w:color="auto"/>
            </w:tcBorders>
            <w:shd w:val="clear" w:color="auto" w:fill="FFFFFF"/>
          </w:tcPr>
          <w:p w14:paraId="3D547CC8"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5</w:t>
            </w:r>
          </w:p>
        </w:tc>
      </w:tr>
    </w:tbl>
    <w:p w14:paraId="5E8DAD63" w14:textId="77777777" w:rsidR="00093A32" w:rsidRDefault="00093A32">
      <w:pPr>
        <w:pStyle w:val="Tablecaption0"/>
        <w:spacing w:line="240" w:lineRule="auto"/>
        <w:ind w:left="77"/>
      </w:pPr>
      <w:r>
        <w:t>HBIG, concentrado de inmunoglobulina contra hepatitis B.</w:t>
      </w:r>
    </w:p>
    <w:p w14:paraId="7C419324" w14:textId="77777777" w:rsidR="00093A32" w:rsidRDefault="00093A32">
      <w:pPr>
        <w:pStyle w:val="Tablecaption0"/>
        <w:numPr>
          <w:ilvl w:val="0"/>
          <w:numId w:val="70"/>
        </w:numPr>
        <w:tabs>
          <w:tab w:val="left" w:pos="245"/>
        </w:tabs>
        <w:spacing w:line="240" w:lineRule="auto"/>
        <w:ind w:left="77"/>
      </w:pPr>
      <w:r>
        <w:t>Consúltese el cuadro 3-25 para conocer la dosis apropiada de vacuna.</w:t>
      </w:r>
    </w:p>
    <w:p w14:paraId="7AB6C6A8" w14:textId="77777777" w:rsidR="00093A32" w:rsidRDefault="00093A32">
      <w:pPr>
        <w:pStyle w:val="Tablecaption0"/>
        <w:numPr>
          <w:ilvl w:val="0"/>
          <w:numId w:val="70"/>
        </w:numPr>
        <w:tabs>
          <w:tab w:val="left" w:pos="250"/>
        </w:tabs>
        <w:spacing w:line="240" w:lineRule="auto"/>
        <w:ind w:left="77"/>
      </w:pPr>
      <w:r>
        <w:t>Consultar el texto respecto a recomendaciones para nuevas pruebas serológicas.</w:t>
      </w:r>
    </w:p>
    <w:p w14:paraId="50F02187" w14:textId="77777777" w:rsidR="00093A32" w:rsidRDefault="00093A32">
      <w:pPr>
        <w:pStyle w:val="Tablecaption0"/>
        <w:numPr>
          <w:ilvl w:val="0"/>
          <w:numId w:val="70"/>
        </w:numPr>
        <w:tabs>
          <w:tab w:val="left" w:pos="250"/>
        </w:tabs>
        <w:spacing w:line="240" w:lineRule="auto"/>
        <w:ind w:left="77"/>
      </w:pPr>
      <w:r>
        <w:t>HBIG (0.5 ml) se aplica por vía intramuscular en el sitio distinto del que se usó para la vacuna.</w:t>
      </w:r>
    </w:p>
    <w:p w14:paraId="274313AF" w14:textId="77777777" w:rsidR="00093A32" w:rsidRDefault="00093A32">
      <w:pPr>
        <w:pStyle w:val="Tablecaption0"/>
        <w:numPr>
          <w:ilvl w:val="0"/>
          <w:numId w:val="70"/>
        </w:numPr>
        <w:tabs>
          <w:tab w:val="left" w:pos="254"/>
        </w:tabs>
        <w:spacing w:line="240" w:lineRule="auto"/>
        <w:ind w:left="77"/>
      </w:pPr>
      <w:r>
        <w:t>Consultar el texto respecto a recomendaciones de vacunación en productos pretérmino.</w:t>
      </w:r>
    </w:p>
    <w:p w14:paraId="5356D9AB" w14:textId="77777777" w:rsidR="00093A32" w:rsidRDefault="00093A32">
      <w:pPr>
        <w:pStyle w:val="Tablecaption0"/>
        <w:numPr>
          <w:ilvl w:val="0"/>
          <w:numId w:val="70"/>
        </w:numPr>
        <w:tabs>
          <w:tab w:val="left" w:pos="70"/>
        </w:tabs>
        <w:spacing w:line="240" w:lineRule="auto"/>
        <w:ind w:left="77"/>
      </w:pPr>
      <w:r>
        <w:t>Los hijos de madres sin antígenos de superficie deben recibir la tercera dosis entre los seis y los 18 meses de vida.</w:t>
      </w:r>
    </w:p>
    <w:p w14:paraId="45E95EB2" w14:textId="77777777" w:rsidR="00093A32" w:rsidRDefault="00093A32">
      <w:pPr>
        <w:spacing w:after="379" w:line="1" w:lineRule="exact"/>
      </w:pPr>
    </w:p>
    <w:p w14:paraId="24E2A9E2" w14:textId="77777777" w:rsidR="00093A32" w:rsidRDefault="00093A32">
      <w:pPr>
        <w:pStyle w:val="BodyText"/>
        <w:ind w:firstLine="0"/>
      </w:pPr>
      <w:r>
        <w:t>será útil para su atención médica a largo plazo. Los pequeños con concentraciones de anticuerpo contra HBs menores de 10 mUI/ml y que no tienen el antígeno de superficie deben recibir tres dosis más de vacuna en un plan que comience en el mes cero, al mes y a los seis meses, seguidos de nuevos estudios para buscar anticuerpo contra HBs un mes después de la tercera dosis. Otra posibilidad es aplicar dosis adicionales de la vacuna (una a tres) y repetir las pruebas para medir anticuerpos contra HBs un mes después de cada dosis para saber si se necesitan más dosis de la vacuna.</w:t>
      </w:r>
    </w:p>
    <w:p w14:paraId="269C0710" w14:textId="77777777" w:rsidR="00093A32" w:rsidRDefault="00093A32">
      <w:pPr>
        <w:pStyle w:val="BodyText"/>
        <w:ind w:firstLine="380"/>
      </w:pPr>
      <w:r>
        <w:t>Hijos de mujeres en las que no se buscó el antígeno de superficie de HB durante el embarazo. En el caso de embarazadas de las que se desconozca en el parto su estado de antígeno de superficie de HB, habrá que practicar estudios hemáticos lo más pronto posible para determinar dicho estado. En tanto llegan los resultados, se aplicará la primera dosis de la vacuna contra hepatitis B al pequeño en término de 12 h de haber nacido conforme a las dosis recomendadas para los productos hijos de madres con el antígeno de superficie (véase cuadro 3-25). La vacuna contra hepatitis B aplicada al nacer el producto es muy eficaz para evitar la infección perinatal en productos a término, y por ello el posible valor agregado y el costo del concentrado no justifiquen su empleo inmediato en productos a término si se desconoce el estado antigénico de la madre (HBsAg). En caso de que ella tenga el antígeno de superficie, su hijo a término debe recibir concentrado de HBIG (0.5 ml) tan pronto sea posible, pero en un lapso que no rebase los siete días desde el nacimiento, y debe completar la serie de vacunas contra hepatitis B tal como se recomienda (véanse cuadros 3-25 y 3-26). Si no se</w:t>
      </w:r>
    </w:p>
    <w:p w14:paraId="4AC7C0FC" w14:textId="77777777" w:rsidR="00093A32" w:rsidRDefault="00093A32">
      <w:pPr>
        <w:pStyle w:val="BodyText"/>
        <w:ind w:firstLine="0"/>
      </w:pPr>
      <w:r>
        <w:t>cuenta con el concentrado de HBIG, de cualquier manera el pequeño debe recibir las dos dosis subsecuentes de la vacuna contra la hepatitis B entre el primero y segundo mes de vida y a los seis meses de edad (véase cuadro 3-29). Si la madre no tiene el antígeno de superficie, habrá que completar las vacunas contra hepatitis B en el plan de dosis y calendario habitual recomendados para productos a término hijos de madres sin el antígeno en cuestión (véase cuadro 3-25). Si se sigue desconociendo el estado antigénico de la madre, algunos expertos aplican el concentrado de HBIG en término de siete días del nacimiento y completan la serie de vacunas contra la hepatitis B tal como se recomienda para productos hijos de madres con el antígeno de superficie (cuadro 3-26).</w:t>
      </w:r>
    </w:p>
    <w:p w14:paraId="6C436B05" w14:textId="77777777" w:rsidR="00093A32" w:rsidRDefault="00093A32">
      <w:pPr>
        <w:pStyle w:val="BodyText"/>
        <w:ind w:firstLine="360"/>
      </w:pPr>
      <w:r>
        <w:t>Productos pretérmino hijos de madres en las que no se buscó el antígeno de superficie de HB durante el embarazo. Es importante conocer lo más pronto posible el estado de la madre respecto del antígeno de superficie de HB. Los productos pretérmino hijos de madres de las que se desconoce el estado de dicho antígeno deben recibir vacuna contra hepatitis B en las primeras 12 h de vida. En los que pesen más de 2 000 g al nacer, y con una madre de la que se desconozca el estado antigénico, deben acatarse las recomendaciones correspondientes a los productos a término. Los pequeños pretérmino que pesen menos de 2 000 g al nacer y que sean hijos de madres de las que se desconoce el estado del antígeno de superficie deben recibir concentrado HBIG (0.5 ml) si es imposible conocer en término de las primeras 12 h del nacimiento el estado de dicho antígeno, ante la posible menor capacidad inmunógena de la vacuna en tales pequeños. En estos últimos, no debe contarse la vacuna inicial en las tres dosis de tal preparado necesarias para completar la serie de vacunas. Las tres dosis ulteriores (un total de cuatro dosis) se aplicarán conforme a las recomendaciones para vacunar a productos pretérmino que pesen menos de 2 000 g al nacer, según el estado del antígeno de superficie de la madre (véase cuadro 3-26). Se recomiendan pruebas de vigilancia una vez terminada la serie de vacunas en todo pequeño pretérmino cuya madre tenga el antígeno de superficie de HB (véase antes en este resumen “Tratamiento de productos nacidos de mujeres con antígeno de superficie de HB”).</w:t>
      </w:r>
    </w:p>
    <w:p w14:paraId="716D9919"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Amamantamiento.</w:t>
      </w:r>
      <w:r>
        <w:t xml:space="preserve"> El amamantamiento de un lactante por parte de una madre con antígeno de superficie de HB no impone un mayor peligro de contagio de la infección para el pequeño (véase “Leche materna”, sección 2).</w:t>
      </w:r>
    </w:p>
    <w:p w14:paraId="14973EB5"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Contactos del círculo familiar de personas con infección aguda por HBV.</w:t>
      </w:r>
      <w:r>
        <w:t xml:space="preserve"> Los niños menores de 12 meses de vida en contacto muy cercano con cuidadores primarios que tienen la infección aguda, necesitan inmunoprofilaxia. Si para el momento de la exposición el pequeño ha sido vacunado en forma completa o ha recibido como mínimo dos dosis de la vacuna, se supone que estará protegido y no se necesitará el concentrado de HBIG. Si se le aplicó sólo una dosis de la vacuna, habrá que aplicarle la segunda dosis si el intervalo es apropiado, o se administrará el concentrado HBIG si la vacunación no se ha realizado. Si no se han iniciado las vacunaciones, el pequeño debe recibir el concentrado HBIG (0.5 ml), y se le aplicará la vacuna contra hepatitis B conforme al plan recomendado de tres dosis sistemáticamente (véase antes en este resumen “Vacunación universal antes de la exposición”).</w:t>
      </w:r>
    </w:p>
    <w:p w14:paraId="094D6B84" w14:textId="77777777" w:rsidR="00093A32" w:rsidRDefault="00093A32">
      <w:pPr>
        <w:pStyle w:val="BodyText"/>
        <w:ind w:firstLine="360"/>
      </w:pPr>
      <w:r>
        <w:t>No está indicada la profilaxia con el concentrado HBIG en el caso de otros contactos familiares no vacunados de personas con la infección por HBV, salvo que haya en ellos exposición hemática identificable al paciente índice, como sería compartir cepillos dentales o maquinillas de afeitar. Las exposiciones en cuestión deben tratarse en la misma forma que las exposiciones sexuales a una persona con infección aguda por HBV. Toda persona debe ser vacunada a la brevedad posible contra la hepatitis B, ante la posibilidad de futuras exposiciones en el seno del hogar.</w:t>
      </w:r>
    </w:p>
    <w:p w14:paraId="7A225E8C"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Compañeros sexuales de personas con infección aguda por HBV.</w:t>
      </w:r>
      <w:r>
        <w:t xml:space="preserve"> Los compañeros sexuales susceptibles deben recibir una sola dosis del concentrado HBIG (0.06 ml/kg de peso) y en ellos comenzará la serie de vacunas contra hepatitis B. Los compañeros sexuales de personas con infección aguda están expuestos a un mayor peligro de infección; el concentrado tiene una eficacia de 75% para evitar tales infecciones. Se desconoce el periodo después de la exposición sexual durante el cual es eficaz el concentrado, pero muy probablemente no exceda de 14 días.</w:t>
      </w:r>
    </w:p>
    <w:p w14:paraId="13921886"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Exposición a sangre que contiene antígeno de superficie HB o que podría contenerlo.</w:t>
      </w:r>
      <w:r>
        <w:t xml:space="preserve"> En el caso de una exposición percutánea inadvertida a la sangre (pinchazo de aguja, desgarro o mordeduras) o a través de las mucosas (como las del ojo), la decisión de emprender profilaxia con concentrado HBIG y vacunar a las personas expuestas comprende analizar si se conoce el estado de HBsAg de la persona que fue el punto de partida de la exposición, así como la vacunación contra hepatitis B y la respuesta inmunitaria de la persona expuesta. Se recomienda la vacunación de toda persona que haya estado expuesta pero que no había sido vacunada. En la medida de lo posible, habrá que buscar el antígeno de superficie de HB en toda muestra de sangre obtenida de la persona que fue el punto de partida de la exposición, y se practicará la profilaxia adecuada conforme al estado de vacunación contra hepatitis B y el de respuesta contra HBs (si se conoce) de la persona expuesta (véanse cuadro 3-30 y “Lesiones por agujas desechadas en la comunidad”, sección 2).</w:t>
      </w:r>
    </w:p>
    <w:p w14:paraId="66C3834D" w14:textId="77777777" w:rsidR="00093A32" w:rsidRDefault="00093A32">
      <w:pPr>
        <w:pStyle w:val="BodyText"/>
        <w:ind w:firstLine="360"/>
      </w:pPr>
      <w:r>
        <w:t xml:space="preserve">En las recomendaciones del Comité Consultor sobre Prácticas de Vacunación de los </w:t>
      </w:r>
      <w:r>
        <w:rPr>
          <w:rFonts w:ascii="Times New Roman" w:eastAsia="Times New Roman" w:hAnsi="Times New Roman" w:cs="Times New Roman"/>
          <w:i/>
          <w:iCs/>
          <w:sz w:val="16"/>
          <w:szCs w:val="16"/>
        </w:rPr>
        <w:t>Centers for Disease Control and Prevention</w:t>
      </w:r>
      <w:r>
        <w:rPr>
          <w:i/>
          <w:iCs/>
        </w:rPr>
        <w:footnoteReference w:id="24"/>
      </w:r>
      <w:r>
        <w:t xml:space="preserve"> (véase también cuadro 3-30) se incluyen directrices detalladas para el tratamiento y asistencia de profesionales asistenciales y otras personas expuestas a la sangre que pudiera tener antígeno de superficie de HB o que lo tiene.</w:t>
      </w:r>
    </w:p>
    <w:p w14:paraId="75910AC5"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Víctimas de agresión o abuso sexual.</w:t>
      </w:r>
      <w:r>
        <w:t xml:space="preserve"> Las víctimas de tales accidentes, si estaban ya vacunadas, cabe suponer que están protegidas de la infección aguda o crónica por HBV. En el caso de las víctimas no vacunadas, habrá que emprender la profilaxia activa después de exposición (es decir, la vacuna sola), y se aplicará la primera dosis de vacuna como parte de la valoración clínica inicial. Salvo que se conozca que el agresor tiene hepatitis B, no se exige la aplicación del concentrado HIBG para lograr un alto nivel de protección después de la exposición. En el caso de los niños, el abuso sexual suele ocurrir durante un periodo prolongado, por lo que es difícil en tales casos definir la última exposición. Sin embargo, si se identifica abuso sexual, habrá que comenzar la vacunación contra hepatitis B en niños que no habían sido vacunados.</w:t>
      </w:r>
    </w:p>
    <w:p w14:paraId="585713B0" w14:textId="77777777" w:rsidR="00093A32" w:rsidRDefault="00093A32">
      <w:pPr>
        <w:pStyle w:val="BodyText"/>
        <w:spacing w:line="276" w:lineRule="auto"/>
        <w:ind w:firstLine="360"/>
        <w:sectPr w:rsidR="00093A32" w:rsidSect="00093A32">
          <w:headerReference w:type="even" r:id="rId356"/>
          <w:headerReference w:type="default" r:id="rId357"/>
          <w:footerReference w:type="even" r:id="rId358"/>
          <w:footerReference w:type="default" r:id="rId359"/>
          <w:headerReference w:type="first" r:id="rId360"/>
          <w:footerReference w:type="first" r:id="rId361"/>
          <w:pgSz w:w="8501" w:h="13022"/>
          <w:pgMar w:top="705" w:right="766" w:bottom="438" w:left="812" w:header="0" w:footer="3" w:gutter="0"/>
          <w:cols w:space="720"/>
          <w:noEndnote/>
          <w:titlePg/>
          <w:docGrid w:linePitch="360"/>
          <w15:footnoteColumns w:val="1"/>
        </w:sectPr>
      </w:pPr>
      <w:r>
        <w:rPr>
          <w:rFonts w:ascii="Times New Roman" w:eastAsia="Times New Roman" w:hAnsi="Times New Roman" w:cs="Times New Roman"/>
          <w:b/>
          <w:bCs/>
          <w:i/>
          <w:iCs/>
          <w:sz w:val="16"/>
          <w:szCs w:val="16"/>
        </w:rPr>
        <w:t>Cuidado de niños.</w:t>
      </w:r>
      <w:r>
        <w:t xml:space="preserve"> En todos los niños, incluidos los que están en centros de atención pediátrica, se debe aplicar la vacuna contra hepatitis B como parte de su calendario habitual de vacunaciones. La medida en cuestión, además de disminuir la posibilidad de transmisión después de mordeduras, también disipará la angustia en cuanto a la posibilidad de transmisión por parte de quienes reciben la atención del centro y que pudieran tener el antígeno de superficie de hepatitis B.</w:t>
      </w:r>
    </w:p>
    <w:p w14:paraId="1F9B24FA" w14:textId="77777777" w:rsidR="00093A32" w:rsidRDefault="00093A32">
      <w:pPr>
        <w:pStyle w:val="Heading31"/>
        <w:keepNext/>
        <w:keepLines/>
        <w:spacing w:line="211" w:lineRule="auto"/>
        <w:jc w:val="center"/>
        <w:rPr>
          <w:sz w:val="12"/>
          <w:szCs w:val="12"/>
        </w:rPr>
      </w:pPr>
      <w:bookmarkStart w:id="195" w:name="bookmark801"/>
      <w:bookmarkStart w:id="196" w:name="bookmark802"/>
      <w:bookmarkStart w:id="197" w:name="bookmark803"/>
      <w:r>
        <w:rPr>
          <w:b w:val="0"/>
          <w:bCs w:val="0"/>
        </w:rPr>
        <w:t xml:space="preserve">Cuadro 3-30. </w:t>
      </w:r>
      <w:r>
        <w:t>Recomendaciones para profilaxia contra hepatitis B después de exposición percutánea a sangre que contiene</w:t>
      </w:r>
      <w:r>
        <w:br/>
        <w:t>o que pudiera contener el antígeno de superficie de HB</w:t>
      </w:r>
      <w:r>
        <w:rPr>
          <w:w w:val="100"/>
          <w:sz w:val="12"/>
          <w:szCs w:val="12"/>
        </w:rPr>
        <w:t>1</w:t>
      </w:r>
      <w:bookmarkEnd w:id="195"/>
      <w:bookmarkEnd w:id="196"/>
      <w:bookmarkEnd w:id="197"/>
    </w:p>
    <w:p w14:paraId="1DE63CBA" w14:textId="77777777" w:rsidR="00093A32" w:rsidRDefault="00093A32">
      <w:pPr>
        <w:spacing w:line="1" w:lineRule="exact"/>
      </w:pPr>
      <w:r>
        <w:rPr>
          <w:noProof/>
        </w:rPr>
        <mc:AlternateContent>
          <mc:Choice Requires="wps">
            <w:drawing>
              <wp:anchor distT="0" distB="0" distL="0" distR="0" simplePos="0" relativeHeight="251664384" behindDoc="0" locked="0" layoutInCell="1" allowOverlap="1" wp14:anchorId="0DB7574D" wp14:editId="4D9CD91F">
                <wp:simplePos x="0" y="0"/>
                <wp:positionH relativeFrom="page">
                  <wp:posOffset>429895</wp:posOffset>
                </wp:positionH>
                <wp:positionV relativeFrom="paragraph">
                  <wp:posOffset>0</wp:posOffset>
                </wp:positionV>
                <wp:extent cx="7324090" cy="2703830"/>
                <wp:effectExtent l="0" t="0" r="0" b="0"/>
                <wp:wrapTopAndBottom/>
                <wp:docPr id="1008" name="Shape 1008"/>
                <wp:cNvGraphicFramePr/>
                <a:graphic xmlns:a="http://schemas.openxmlformats.org/drawingml/2006/main">
                  <a:graphicData uri="http://schemas.microsoft.com/office/word/2010/wordprocessingShape">
                    <wps:wsp>
                      <wps:cNvSpPr txBox="1"/>
                      <wps:spPr>
                        <a:xfrm>
                          <a:off x="0" y="0"/>
                          <a:ext cx="7324090" cy="27038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90"/>
                              <w:gridCol w:w="3946"/>
                              <w:gridCol w:w="2141"/>
                              <w:gridCol w:w="3758"/>
                            </w:tblGrid>
                            <w:tr w:rsidR="00093A32" w14:paraId="3ECE3475" w14:textId="77777777">
                              <w:tblPrEx>
                                <w:tblCellMar>
                                  <w:top w:w="0" w:type="dxa"/>
                                  <w:bottom w:w="0" w:type="dxa"/>
                                </w:tblCellMar>
                              </w:tblPrEx>
                              <w:trPr>
                                <w:trHeight w:hRule="exact" w:val="245"/>
                                <w:tblHeader/>
                              </w:trPr>
                              <w:tc>
                                <w:tcPr>
                                  <w:tcW w:w="1690" w:type="dxa"/>
                                  <w:vMerge w:val="restart"/>
                                  <w:shd w:val="clear" w:color="auto" w:fill="231F20"/>
                                  <w:vAlign w:val="center"/>
                                </w:tcPr>
                                <w:p w14:paraId="3C66312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Persona expuesta</w:t>
                                  </w:r>
                                </w:p>
                              </w:tc>
                              <w:tc>
                                <w:tcPr>
                                  <w:tcW w:w="9845" w:type="dxa"/>
                                  <w:gridSpan w:val="3"/>
                                  <w:shd w:val="clear" w:color="auto" w:fill="231F20"/>
                                  <w:vAlign w:val="bottom"/>
                                </w:tcPr>
                                <w:p w14:paraId="37792D5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El tratamiento cuando el punto de partida es</w:t>
                                  </w:r>
                                </w:p>
                              </w:tc>
                            </w:tr>
                            <w:tr w:rsidR="00093A32" w14:paraId="24152D25" w14:textId="77777777">
                              <w:tblPrEx>
                                <w:tblCellMar>
                                  <w:top w:w="0" w:type="dxa"/>
                                  <w:bottom w:w="0" w:type="dxa"/>
                                </w:tblCellMar>
                              </w:tblPrEx>
                              <w:trPr>
                                <w:trHeight w:hRule="exact" w:val="595"/>
                              </w:trPr>
                              <w:tc>
                                <w:tcPr>
                                  <w:tcW w:w="1690" w:type="dxa"/>
                                  <w:vMerge/>
                                  <w:shd w:val="clear" w:color="auto" w:fill="231F20"/>
                                  <w:vAlign w:val="center"/>
                                </w:tcPr>
                                <w:p w14:paraId="07BF4705" w14:textId="77777777" w:rsidR="00093A32" w:rsidRDefault="00093A32"/>
                              </w:tc>
                              <w:tc>
                                <w:tcPr>
                                  <w:tcW w:w="3946" w:type="dxa"/>
                                  <w:tcBorders>
                                    <w:top w:val="single" w:sz="4" w:space="0" w:color="auto"/>
                                  </w:tcBorders>
                                  <w:shd w:val="clear" w:color="auto" w:fill="231F20"/>
                                </w:tcPr>
                                <w:p w14:paraId="50144E7A"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Positivo al antígeno de superficie (HBsAg)</w:t>
                                  </w:r>
                                </w:p>
                              </w:tc>
                              <w:tc>
                                <w:tcPr>
                                  <w:tcW w:w="5899" w:type="dxa"/>
                                  <w:gridSpan w:val="2"/>
                                  <w:tcBorders>
                                    <w:top w:val="single" w:sz="4" w:space="0" w:color="auto"/>
                                  </w:tcBorders>
                                  <w:shd w:val="clear" w:color="auto" w:fill="231F20"/>
                                  <w:vAlign w:val="bottom"/>
                                </w:tcPr>
                                <w:p w14:paraId="361378F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59" w:lineRule="auto"/>
                                    <w:ind w:firstLine="0"/>
                                    <w:jc w:val="right"/>
                                    <w:rPr>
                                      <w:sz w:val="24"/>
                                      <w:szCs w:val="24"/>
                                    </w:rPr>
                                  </w:pPr>
                                  <w:r>
                                    <w:rPr>
                                      <w:rFonts w:ascii="Arial" w:eastAsia="Arial" w:hAnsi="Arial" w:cs="Arial"/>
                                      <w:b/>
                                      <w:bCs/>
                                      <w:color w:val="FFFFFF"/>
                                      <w:w w:val="70"/>
                                      <w:sz w:val="24"/>
                                      <w:szCs w:val="24"/>
                                    </w:rPr>
                                    <w:t>HBsAg-Negativa (sin antígeno) Situación desconocida o persona que no fue sometida a estudio</w:t>
                                  </w:r>
                                </w:p>
                              </w:tc>
                            </w:tr>
                            <w:tr w:rsidR="00093A32" w14:paraId="288C55F3" w14:textId="77777777">
                              <w:tblPrEx>
                                <w:tblCellMar>
                                  <w:top w:w="0" w:type="dxa"/>
                                  <w:bottom w:w="0" w:type="dxa"/>
                                </w:tblCellMar>
                              </w:tblPrEx>
                              <w:trPr>
                                <w:trHeight w:hRule="exact" w:val="293"/>
                              </w:trPr>
                              <w:tc>
                                <w:tcPr>
                                  <w:tcW w:w="1690" w:type="dxa"/>
                                  <w:shd w:val="clear" w:color="auto" w:fill="FFFFFF"/>
                                  <w:vAlign w:val="bottom"/>
                                </w:tcPr>
                                <w:p w14:paraId="5B71B6D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vacunada</w:t>
                                  </w:r>
                                </w:p>
                              </w:tc>
                              <w:tc>
                                <w:tcPr>
                                  <w:tcW w:w="3946" w:type="dxa"/>
                                  <w:shd w:val="clear" w:color="auto" w:fill="FFFFFF"/>
                                  <w:vAlign w:val="bottom"/>
                                </w:tcPr>
                                <w:p w14:paraId="34810EA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Aplicar concentrado de HBIG</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(una dosis)</w:t>
                                  </w:r>
                                </w:p>
                              </w:tc>
                              <w:tc>
                                <w:tcPr>
                                  <w:tcW w:w="2141" w:type="dxa"/>
                                  <w:shd w:val="clear" w:color="auto" w:fill="FFFFFF"/>
                                  <w:vAlign w:val="bottom"/>
                                </w:tcPr>
                                <w:p w14:paraId="561B283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Emprender una serie de</w:t>
                                  </w:r>
                                </w:p>
                              </w:tc>
                              <w:tc>
                                <w:tcPr>
                                  <w:tcW w:w="3758" w:type="dxa"/>
                                  <w:shd w:val="clear" w:color="auto" w:fill="FFFFFF"/>
                                  <w:vAlign w:val="bottom"/>
                                </w:tcPr>
                                <w:p w14:paraId="6AE32EE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Emprender una serie de vacunas contra</w:t>
                                  </w:r>
                                </w:p>
                              </w:tc>
                            </w:tr>
                            <w:tr w:rsidR="00093A32" w14:paraId="6ABAEAC4" w14:textId="77777777">
                              <w:tblPrEx>
                                <w:tblCellMar>
                                  <w:top w:w="0" w:type="dxa"/>
                                  <w:bottom w:w="0" w:type="dxa"/>
                                </w:tblCellMar>
                              </w:tblPrEx>
                              <w:trPr>
                                <w:trHeight w:hRule="exact" w:val="216"/>
                              </w:trPr>
                              <w:tc>
                                <w:tcPr>
                                  <w:tcW w:w="1690" w:type="dxa"/>
                                  <w:shd w:val="clear" w:color="auto" w:fill="FFFFFF"/>
                                </w:tcPr>
                                <w:p w14:paraId="2ACA1DED" w14:textId="77777777" w:rsidR="00093A32" w:rsidRDefault="00093A32">
                                  <w:pPr>
                                    <w:rPr>
                                      <w:sz w:val="10"/>
                                      <w:szCs w:val="10"/>
                                    </w:rPr>
                                  </w:pPr>
                                </w:p>
                              </w:tc>
                              <w:tc>
                                <w:tcPr>
                                  <w:tcW w:w="3946" w:type="dxa"/>
                                  <w:shd w:val="clear" w:color="auto" w:fill="FFFFFF"/>
                                  <w:vAlign w:val="bottom"/>
                                </w:tcPr>
                                <w:p w14:paraId="26EACDFD"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y emprender la serie con vacunas contra hepatitis B</w:t>
                                  </w:r>
                                </w:p>
                              </w:tc>
                              <w:tc>
                                <w:tcPr>
                                  <w:tcW w:w="2141" w:type="dxa"/>
                                  <w:shd w:val="clear" w:color="auto" w:fill="FFFFFF"/>
                                  <w:vAlign w:val="bottom"/>
                                </w:tcPr>
                                <w:p w14:paraId="18ED21ED"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vacunas contra hepatitis B</w:t>
                                  </w:r>
                                </w:p>
                              </w:tc>
                              <w:tc>
                                <w:tcPr>
                                  <w:tcW w:w="3758" w:type="dxa"/>
                                  <w:shd w:val="clear" w:color="auto" w:fill="FFFFFF"/>
                                  <w:vAlign w:val="bottom"/>
                                </w:tcPr>
                                <w:p w14:paraId="5C3B51B8"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hepatitis B</w:t>
                                  </w:r>
                                </w:p>
                              </w:tc>
                            </w:tr>
                            <w:tr w:rsidR="00093A32" w14:paraId="433996C3" w14:textId="77777777">
                              <w:tblPrEx>
                                <w:tblCellMar>
                                  <w:top w:w="0" w:type="dxa"/>
                                  <w:bottom w:w="0" w:type="dxa"/>
                                </w:tblCellMar>
                              </w:tblPrEx>
                              <w:trPr>
                                <w:trHeight w:hRule="exact" w:val="418"/>
                              </w:trPr>
                              <w:tc>
                                <w:tcPr>
                                  <w:tcW w:w="1690" w:type="dxa"/>
                                  <w:shd w:val="clear" w:color="auto" w:fill="FFFFFF"/>
                                </w:tcPr>
                                <w:p w14:paraId="1FCD42C3" w14:textId="77777777" w:rsidR="00093A32" w:rsidRDefault="00093A32">
                                  <w:pPr>
                                    <w:pStyle w:val="Other0"/>
                                    <w:spacing w:line="283" w:lineRule="auto"/>
                                    <w:ind w:left="160" w:hanging="160"/>
                                    <w:rPr>
                                      <w:sz w:val="16"/>
                                      <w:szCs w:val="16"/>
                                    </w:rPr>
                                  </w:pPr>
                                  <w:r>
                                    <w:rPr>
                                      <w:rFonts w:ascii="Times New Roman" w:eastAsia="Times New Roman" w:hAnsi="Times New Roman" w:cs="Times New Roman"/>
                                      <w:sz w:val="16"/>
                                      <w:szCs w:val="16"/>
                                    </w:rPr>
                                    <w:t>Vacunada previamente Que reacciona</w:t>
                                  </w:r>
                                </w:p>
                              </w:tc>
                              <w:tc>
                                <w:tcPr>
                                  <w:tcW w:w="3946" w:type="dxa"/>
                                  <w:shd w:val="clear" w:color="auto" w:fill="FFFFFF"/>
                                  <w:vAlign w:val="bottom"/>
                                </w:tcPr>
                                <w:p w14:paraId="2086F95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2141" w:type="dxa"/>
                                  <w:shd w:val="clear" w:color="auto" w:fill="FFFFFF"/>
                                  <w:vAlign w:val="bottom"/>
                                </w:tcPr>
                                <w:p w14:paraId="7518A23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3758" w:type="dxa"/>
                                  <w:shd w:val="clear" w:color="auto" w:fill="FFFFFF"/>
                                  <w:vAlign w:val="bottom"/>
                                </w:tcPr>
                                <w:p w14:paraId="4D153FB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r>
                            <w:tr w:rsidR="00093A32" w14:paraId="63218322" w14:textId="77777777">
                              <w:tblPrEx>
                                <w:tblCellMar>
                                  <w:top w:w="0" w:type="dxa"/>
                                  <w:bottom w:w="0" w:type="dxa"/>
                                </w:tblCellMar>
                              </w:tblPrEx>
                              <w:trPr>
                                <w:trHeight w:hRule="exact" w:val="442"/>
                              </w:trPr>
                              <w:tc>
                                <w:tcPr>
                                  <w:tcW w:w="1690" w:type="dxa"/>
                                  <w:shd w:val="clear" w:color="auto" w:fill="FFFFFF"/>
                                  <w:vAlign w:val="bottom"/>
                                </w:tcPr>
                                <w:p w14:paraId="13597D6D"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inmunológicamente</w:t>
                                  </w:r>
                                </w:p>
                                <w:p w14:paraId="6B2D761E"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Que no reacciona</w:t>
                                  </w:r>
                                </w:p>
                              </w:tc>
                              <w:tc>
                                <w:tcPr>
                                  <w:tcW w:w="3946" w:type="dxa"/>
                                  <w:shd w:val="clear" w:color="auto" w:fill="FFFFFF"/>
                                  <w:vAlign w:val="bottom"/>
                                </w:tcPr>
                                <w:p w14:paraId="4A194D9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 xml:space="preserve">Concentrado HBIG (una dosis) </w:t>
                                  </w:r>
                                  <w:r>
                                    <w:rPr>
                                      <w:rFonts w:ascii="Times New Roman" w:eastAsia="Times New Roman" w:hAnsi="Times New Roman" w:cs="Times New Roman"/>
                                      <w:b/>
                                      <w:bCs/>
                                      <w:sz w:val="16"/>
                                      <w:szCs w:val="16"/>
                                    </w:rPr>
                                    <w:t xml:space="preserve">y </w:t>
                                  </w:r>
                                  <w:r>
                                    <w:rPr>
                                      <w:rFonts w:ascii="Times New Roman" w:eastAsia="Times New Roman" w:hAnsi="Times New Roman" w:cs="Times New Roman"/>
                                      <w:sz w:val="16"/>
                                      <w:szCs w:val="16"/>
                                    </w:rPr>
                                    <w:t>reiniciar</w:t>
                                  </w:r>
                                </w:p>
                              </w:tc>
                              <w:tc>
                                <w:tcPr>
                                  <w:tcW w:w="2141" w:type="dxa"/>
                                  <w:shd w:val="clear" w:color="auto" w:fill="FFFFFF"/>
                                  <w:vAlign w:val="bottom"/>
                                </w:tcPr>
                                <w:p w14:paraId="47C27AE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3758" w:type="dxa"/>
                                  <w:shd w:val="clear" w:color="auto" w:fill="FFFFFF"/>
                                  <w:vAlign w:val="bottom"/>
                                </w:tcPr>
                                <w:p w14:paraId="0AF138E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Si hay un punto de origen de alto riesgo</w:t>
                                  </w:r>
                                </w:p>
                              </w:tc>
                            </w:tr>
                            <w:tr w:rsidR="00093A32" w14:paraId="3F7E315E" w14:textId="77777777">
                              <w:tblPrEx>
                                <w:tblCellMar>
                                  <w:top w:w="0" w:type="dxa"/>
                                  <w:bottom w:w="0" w:type="dxa"/>
                                </w:tblCellMar>
                              </w:tblPrEx>
                              <w:trPr>
                                <w:trHeight w:hRule="exact" w:val="216"/>
                              </w:trPr>
                              <w:tc>
                                <w:tcPr>
                                  <w:tcW w:w="1690" w:type="dxa"/>
                                  <w:shd w:val="clear" w:color="auto" w:fill="FFFFFF"/>
                                  <w:vAlign w:val="bottom"/>
                                </w:tcPr>
                                <w:p w14:paraId="17B0A18C"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inmunológicamente</w:t>
                                  </w:r>
                                </w:p>
                              </w:tc>
                              <w:tc>
                                <w:tcPr>
                                  <w:tcW w:w="3946" w:type="dxa"/>
                                  <w:shd w:val="clear" w:color="auto" w:fill="FFFFFF"/>
                                  <w:vAlign w:val="bottom"/>
                                </w:tcPr>
                                <w:p w14:paraId="6E322470"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la revacunación</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la aplicación de HBIG (dos dosis)</w:t>
                                  </w:r>
                                </w:p>
                              </w:tc>
                              <w:tc>
                                <w:tcPr>
                                  <w:tcW w:w="2141" w:type="dxa"/>
                                  <w:shd w:val="clear" w:color="auto" w:fill="FFFFFF"/>
                                </w:tcPr>
                                <w:p w14:paraId="14ACDFD1" w14:textId="77777777" w:rsidR="00093A32" w:rsidRDefault="00093A32">
                                  <w:pPr>
                                    <w:rPr>
                                      <w:sz w:val="10"/>
                                      <w:szCs w:val="10"/>
                                    </w:rPr>
                                  </w:pPr>
                                </w:p>
                              </w:tc>
                              <w:tc>
                                <w:tcPr>
                                  <w:tcW w:w="3758" w:type="dxa"/>
                                  <w:shd w:val="clear" w:color="auto" w:fill="FFFFFF"/>
                                  <w:vAlign w:val="bottom"/>
                                </w:tcPr>
                                <w:p w14:paraId="4713039B"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identificado tratarlo como si tuviera</w:t>
                                  </w:r>
                                </w:p>
                              </w:tc>
                            </w:tr>
                            <w:tr w:rsidR="00093A32" w14:paraId="7CAC6BC6" w14:textId="77777777">
                              <w:tblPrEx>
                                <w:tblCellMar>
                                  <w:top w:w="0" w:type="dxa"/>
                                  <w:bottom w:w="0" w:type="dxa"/>
                                </w:tblCellMar>
                              </w:tblPrEx>
                              <w:trPr>
                                <w:trHeight w:hRule="exact" w:val="456"/>
                              </w:trPr>
                              <w:tc>
                                <w:tcPr>
                                  <w:tcW w:w="1690" w:type="dxa"/>
                                  <w:shd w:val="clear" w:color="auto" w:fill="FFFFFF"/>
                                  <w:vAlign w:val="bottom"/>
                                </w:tcPr>
                                <w:p w14:paraId="6738B7B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 desconoce la</w:t>
                                  </w:r>
                                </w:p>
                              </w:tc>
                              <w:tc>
                                <w:tcPr>
                                  <w:tcW w:w="3946" w:type="dxa"/>
                                  <w:shd w:val="clear" w:color="auto" w:fill="FFFFFF"/>
                                  <w:vAlign w:val="bottom"/>
                                </w:tcPr>
                                <w:p w14:paraId="05EDD0A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Buscar anticuerpo contra HBs</w:t>
                                  </w:r>
                                  <w:r>
                                    <w:rPr>
                                      <w:rFonts w:ascii="Times New Roman" w:eastAsia="Times New Roman" w:hAnsi="Times New Roman" w:cs="Times New Roman"/>
                                      <w:sz w:val="16"/>
                                      <w:szCs w:val="16"/>
                                      <w:vertAlign w:val="superscript"/>
                                    </w:rPr>
                                    <w:t>4</w:t>
                                  </w:r>
                                </w:p>
                              </w:tc>
                              <w:tc>
                                <w:tcPr>
                                  <w:tcW w:w="2141" w:type="dxa"/>
                                  <w:shd w:val="clear" w:color="auto" w:fill="FFFFFF"/>
                                  <w:vAlign w:val="bottom"/>
                                </w:tcPr>
                                <w:p w14:paraId="0F69C42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3758" w:type="dxa"/>
                                  <w:shd w:val="clear" w:color="auto" w:fill="FFFFFF"/>
                                </w:tcPr>
                                <w:p w14:paraId="6797A659"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antígeno de superficie</w:t>
                                  </w:r>
                                </w:p>
                                <w:p w14:paraId="3FD5806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Buscar en la persona expuesta anticuerpos</w:t>
                                  </w:r>
                                </w:p>
                              </w:tc>
                            </w:tr>
                            <w:tr w:rsidR="00093A32" w14:paraId="590D5945" w14:textId="77777777">
                              <w:tblPrEx>
                                <w:tblCellMar>
                                  <w:top w:w="0" w:type="dxa"/>
                                  <w:bottom w:w="0" w:type="dxa"/>
                                </w:tblCellMar>
                              </w:tblPrEx>
                              <w:trPr>
                                <w:trHeight w:hRule="exact" w:val="206"/>
                              </w:trPr>
                              <w:tc>
                                <w:tcPr>
                                  <w:tcW w:w="1690" w:type="dxa"/>
                                  <w:shd w:val="clear" w:color="auto" w:fill="FFFFFF"/>
                                </w:tcPr>
                                <w:p w14:paraId="7DAF8223"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respuesta</w:t>
                                  </w:r>
                                </w:p>
                              </w:tc>
                              <w:tc>
                                <w:tcPr>
                                  <w:tcW w:w="3946" w:type="dxa"/>
                                  <w:shd w:val="clear" w:color="auto" w:fill="FFFFFF"/>
                                </w:tcPr>
                                <w:p w14:paraId="5120789E"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en la persona expuesta</w:t>
                                  </w:r>
                                </w:p>
                              </w:tc>
                              <w:tc>
                                <w:tcPr>
                                  <w:tcW w:w="2141" w:type="dxa"/>
                                  <w:shd w:val="clear" w:color="auto" w:fill="FFFFFF"/>
                                </w:tcPr>
                                <w:p w14:paraId="65C021A2" w14:textId="77777777" w:rsidR="00093A32" w:rsidRDefault="00093A32">
                                  <w:pPr>
                                    <w:rPr>
                                      <w:sz w:val="10"/>
                                      <w:szCs w:val="10"/>
                                    </w:rPr>
                                  </w:pPr>
                                </w:p>
                              </w:tc>
                              <w:tc>
                                <w:tcPr>
                                  <w:tcW w:w="3758" w:type="dxa"/>
                                  <w:shd w:val="clear" w:color="auto" w:fill="FFFFFF"/>
                                </w:tcPr>
                                <w:p w14:paraId="16D734B2" w14:textId="77777777" w:rsidR="00093A32" w:rsidRDefault="00093A32">
                                  <w:pPr>
                                    <w:pStyle w:val="Other0"/>
                                    <w:spacing w:line="240" w:lineRule="auto"/>
                                    <w:ind w:firstLine="260"/>
                                    <w:jc w:val="both"/>
                                    <w:rPr>
                                      <w:sz w:val="16"/>
                                      <w:szCs w:val="16"/>
                                    </w:rPr>
                                  </w:pPr>
                                  <w:r>
                                    <w:rPr>
                                      <w:rFonts w:ascii="Times New Roman" w:eastAsia="Times New Roman" w:hAnsi="Times New Roman" w:cs="Times New Roman"/>
                                      <w:sz w:val="16"/>
                                      <w:szCs w:val="16"/>
                                    </w:rPr>
                                    <w:t>contra HBs</w:t>
                                  </w:r>
                                  <w:r>
                                    <w:rPr>
                                      <w:rFonts w:ascii="Times New Roman" w:eastAsia="Times New Roman" w:hAnsi="Times New Roman" w:cs="Times New Roman"/>
                                      <w:sz w:val="16"/>
                                      <w:szCs w:val="16"/>
                                      <w:vertAlign w:val="superscript"/>
                                    </w:rPr>
                                    <w:t>4</w:t>
                                  </w:r>
                                </w:p>
                              </w:tc>
                            </w:tr>
                            <w:tr w:rsidR="00093A32" w14:paraId="2882E7B2" w14:textId="77777777">
                              <w:tblPrEx>
                                <w:tblCellMar>
                                  <w:top w:w="0" w:type="dxa"/>
                                  <w:bottom w:w="0" w:type="dxa"/>
                                </w:tblCellMar>
                              </w:tblPrEx>
                              <w:trPr>
                                <w:trHeight w:hRule="exact" w:val="1171"/>
                              </w:trPr>
                              <w:tc>
                                <w:tcPr>
                                  <w:tcW w:w="1690" w:type="dxa"/>
                                  <w:tcBorders>
                                    <w:bottom w:val="single" w:sz="4" w:space="0" w:color="auto"/>
                                  </w:tcBorders>
                                  <w:shd w:val="clear" w:color="auto" w:fill="FFFFFF"/>
                                </w:tcPr>
                                <w:p w14:paraId="70268647"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inmunológica</w:t>
                                  </w:r>
                                </w:p>
                              </w:tc>
                              <w:tc>
                                <w:tcPr>
                                  <w:tcW w:w="3946" w:type="dxa"/>
                                  <w:tcBorders>
                                    <w:bottom w:val="single" w:sz="4" w:space="0" w:color="auto"/>
                                  </w:tcBorders>
                                  <w:shd w:val="clear" w:color="auto" w:fill="FFFFFF"/>
                                  <w:vAlign w:val="center"/>
                                </w:tcPr>
                                <w:p w14:paraId="10FA464F" w14:textId="77777777" w:rsidR="00093A32" w:rsidRDefault="00093A32">
                                  <w:pPr>
                                    <w:pStyle w:val="Other0"/>
                                    <w:numPr>
                                      <w:ilvl w:val="0"/>
                                      <w:numId w:val="71"/>
                                    </w:numPr>
                                    <w:tabs>
                                      <w:tab w:val="left" w:pos="120"/>
                                    </w:tabs>
                                    <w:spacing w:line="286" w:lineRule="auto"/>
                                    <w:ind w:left="160" w:hanging="160"/>
                                    <w:rPr>
                                      <w:sz w:val="16"/>
                                      <w:szCs w:val="16"/>
                                    </w:rPr>
                                  </w:pPr>
                                  <w:r>
                                    <w:rPr>
                                      <w:rFonts w:ascii="Times New Roman" w:eastAsia="Times New Roman" w:hAnsi="Times New Roman" w:cs="Times New Roman"/>
                                      <w:sz w:val="16"/>
                                      <w:szCs w:val="16"/>
                                    </w:rPr>
                                    <w:t>Si el dato es inadecuado, aplicar concentrado HBIG</w:t>
                                  </w:r>
                                  <w:r>
                                    <w:rPr>
                                      <w:rFonts w:ascii="Times New Roman" w:eastAsia="Times New Roman" w:hAnsi="Times New Roman" w:cs="Times New Roman"/>
                                      <w:sz w:val="16"/>
                                      <w:szCs w:val="16"/>
                                      <w:vertAlign w:val="superscript"/>
                                    </w:rPr>
                                    <w:t xml:space="preserve">2 </w:t>
                                  </w:r>
                                  <w:r>
                                    <w:rPr>
                                      <w:rFonts w:ascii="Times New Roman" w:eastAsia="Times New Roman" w:hAnsi="Times New Roman" w:cs="Times New Roman"/>
                                      <w:sz w:val="16"/>
                                      <w:szCs w:val="16"/>
                                    </w:rPr>
                                    <w:t>(una dosis) y una dosis de refuerzo de la vacuna</w:t>
                                  </w:r>
                                </w:p>
                                <w:p w14:paraId="6C68098E" w14:textId="77777777" w:rsidR="00093A32" w:rsidRDefault="00093A32">
                                  <w:pPr>
                                    <w:pStyle w:val="Other0"/>
                                    <w:numPr>
                                      <w:ilvl w:val="0"/>
                                      <w:numId w:val="71"/>
                                    </w:numPr>
                                    <w:tabs>
                                      <w:tab w:val="left" w:pos="120"/>
                                    </w:tabs>
                                    <w:spacing w:line="286" w:lineRule="auto"/>
                                    <w:ind w:left="160" w:hanging="160"/>
                                    <w:rPr>
                                      <w:sz w:val="16"/>
                                      <w:szCs w:val="16"/>
                                    </w:rPr>
                                  </w:pPr>
                                  <w:r>
                                    <w:rPr>
                                      <w:rFonts w:ascii="Times New Roman" w:eastAsia="Times New Roman" w:hAnsi="Times New Roman" w:cs="Times New Roman"/>
                                      <w:sz w:val="16"/>
                                      <w:szCs w:val="16"/>
                                    </w:rPr>
                                    <w:t>Si la situación es inadecuada, aplicar una dosis de refuerzo de la vacuna</w:t>
                                  </w:r>
                                  <w:r>
                                    <w:rPr>
                                      <w:rFonts w:ascii="Times New Roman" w:eastAsia="Times New Roman" w:hAnsi="Times New Roman" w:cs="Times New Roman"/>
                                      <w:sz w:val="16"/>
                                      <w:szCs w:val="16"/>
                                      <w:vertAlign w:val="superscript"/>
                                    </w:rPr>
                                    <w:t>5</w:t>
                                  </w:r>
                                </w:p>
                              </w:tc>
                              <w:tc>
                                <w:tcPr>
                                  <w:tcW w:w="2141" w:type="dxa"/>
                                  <w:tcBorders>
                                    <w:bottom w:val="single" w:sz="4" w:space="0" w:color="auto"/>
                                  </w:tcBorders>
                                  <w:shd w:val="clear" w:color="auto" w:fill="FFFFFF"/>
                                </w:tcPr>
                                <w:p w14:paraId="6E438A03" w14:textId="77777777" w:rsidR="00093A32" w:rsidRDefault="00093A32">
                                  <w:pPr>
                                    <w:rPr>
                                      <w:sz w:val="10"/>
                                      <w:szCs w:val="10"/>
                                    </w:rPr>
                                  </w:pPr>
                                </w:p>
                              </w:tc>
                              <w:tc>
                                <w:tcPr>
                                  <w:tcW w:w="3758" w:type="dxa"/>
                                  <w:tcBorders>
                                    <w:bottom w:val="single" w:sz="4" w:space="0" w:color="auto"/>
                                  </w:tcBorders>
                                  <w:shd w:val="clear" w:color="auto" w:fill="FFFFFF"/>
                                  <w:vAlign w:val="center"/>
                                </w:tcPr>
                                <w:p w14:paraId="301297FE" w14:textId="77777777" w:rsidR="00093A32" w:rsidRDefault="00093A32">
                                  <w:pPr>
                                    <w:pStyle w:val="Other0"/>
                                    <w:numPr>
                                      <w:ilvl w:val="0"/>
                                      <w:numId w:val="72"/>
                                    </w:numPr>
                                    <w:tabs>
                                      <w:tab w:val="left" w:pos="120"/>
                                    </w:tabs>
                                    <w:spacing w:line="286" w:lineRule="auto"/>
                                    <w:ind w:left="260" w:hanging="260"/>
                                    <w:rPr>
                                      <w:sz w:val="16"/>
                                      <w:szCs w:val="16"/>
                                    </w:rPr>
                                  </w:pPr>
                                  <w:r>
                                    <w:rPr>
                                      <w:rFonts w:ascii="Times New Roman" w:eastAsia="Times New Roman" w:hAnsi="Times New Roman" w:cs="Times New Roman"/>
                                      <w:sz w:val="16"/>
                                      <w:szCs w:val="16"/>
                                    </w:rPr>
                                    <w:t>Si hay niveles adecuados del anticuerpo, no se dará tratamiento</w:t>
                                  </w:r>
                                  <w:r>
                                    <w:rPr>
                                      <w:rFonts w:ascii="Times New Roman" w:eastAsia="Times New Roman" w:hAnsi="Times New Roman" w:cs="Times New Roman"/>
                                      <w:sz w:val="16"/>
                                      <w:szCs w:val="16"/>
                                      <w:vertAlign w:val="superscript"/>
                                    </w:rPr>
                                    <w:t>5</w:t>
                                  </w:r>
                                </w:p>
                                <w:p w14:paraId="545DAB56" w14:textId="77777777" w:rsidR="00093A32" w:rsidRDefault="00093A32">
                                  <w:pPr>
                                    <w:pStyle w:val="Other0"/>
                                    <w:numPr>
                                      <w:ilvl w:val="0"/>
                                      <w:numId w:val="72"/>
                                    </w:numPr>
                                    <w:tabs>
                                      <w:tab w:val="left" w:pos="120"/>
                                    </w:tabs>
                                    <w:spacing w:line="286" w:lineRule="auto"/>
                                    <w:ind w:firstLine="0"/>
                                    <w:rPr>
                                      <w:sz w:val="16"/>
                                      <w:szCs w:val="16"/>
                                    </w:rPr>
                                  </w:pPr>
                                  <w:r>
                                    <w:rPr>
                                      <w:rFonts w:ascii="Times New Roman" w:eastAsia="Times New Roman" w:hAnsi="Times New Roman" w:cs="Times New Roman"/>
                                      <w:sz w:val="16"/>
                                      <w:szCs w:val="16"/>
                                    </w:rPr>
                                    <w:t>Si la situación es adecuada, no se emprenderá tratamiento alguno</w:t>
                                  </w:r>
                                </w:p>
                              </w:tc>
                            </w:tr>
                          </w:tbl>
                          <w:p w14:paraId="40FF6F41" w14:textId="77777777" w:rsidR="00093A32" w:rsidRDefault="00093A32">
                            <w:pPr>
                              <w:spacing w:line="1" w:lineRule="exact"/>
                            </w:pPr>
                          </w:p>
                        </w:txbxContent>
                      </wps:txbx>
                      <wps:bodyPr lIns="0" tIns="0" rIns="0" bIns="0"/>
                    </wps:wsp>
                  </a:graphicData>
                </a:graphic>
              </wp:anchor>
            </w:drawing>
          </mc:Choice>
          <mc:Fallback>
            <w:pict>
              <v:shape w14:anchorId="0DB7574D" id="Shape 1008" o:spid="_x0000_s1031" type="#_x0000_t202" style="position:absolute;margin-left:33.85pt;margin-top:0;width:576.7pt;height:212.9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90"/>
                        <w:gridCol w:w="3946"/>
                        <w:gridCol w:w="2141"/>
                        <w:gridCol w:w="3758"/>
                      </w:tblGrid>
                      <w:tr w:rsidR="00093A32" w14:paraId="3ECE3475" w14:textId="77777777">
                        <w:tblPrEx>
                          <w:tblCellMar>
                            <w:top w:w="0" w:type="dxa"/>
                            <w:bottom w:w="0" w:type="dxa"/>
                          </w:tblCellMar>
                        </w:tblPrEx>
                        <w:trPr>
                          <w:trHeight w:hRule="exact" w:val="245"/>
                          <w:tblHeader/>
                        </w:trPr>
                        <w:tc>
                          <w:tcPr>
                            <w:tcW w:w="1690" w:type="dxa"/>
                            <w:vMerge w:val="restart"/>
                            <w:shd w:val="clear" w:color="auto" w:fill="231F20"/>
                            <w:vAlign w:val="center"/>
                          </w:tcPr>
                          <w:p w14:paraId="3C66312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Persona expuesta</w:t>
                            </w:r>
                          </w:p>
                        </w:tc>
                        <w:tc>
                          <w:tcPr>
                            <w:tcW w:w="9845" w:type="dxa"/>
                            <w:gridSpan w:val="3"/>
                            <w:shd w:val="clear" w:color="auto" w:fill="231F20"/>
                            <w:vAlign w:val="bottom"/>
                          </w:tcPr>
                          <w:p w14:paraId="37792D5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El tratamiento cuando el punto de partida es</w:t>
                            </w:r>
                          </w:p>
                        </w:tc>
                      </w:tr>
                      <w:tr w:rsidR="00093A32" w14:paraId="24152D25" w14:textId="77777777">
                        <w:tblPrEx>
                          <w:tblCellMar>
                            <w:top w:w="0" w:type="dxa"/>
                            <w:bottom w:w="0" w:type="dxa"/>
                          </w:tblCellMar>
                        </w:tblPrEx>
                        <w:trPr>
                          <w:trHeight w:hRule="exact" w:val="595"/>
                        </w:trPr>
                        <w:tc>
                          <w:tcPr>
                            <w:tcW w:w="1690" w:type="dxa"/>
                            <w:vMerge/>
                            <w:shd w:val="clear" w:color="auto" w:fill="231F20"/>
                            <w:vAlign w:val="center"/>
                          </w:tcPr>
                          <w:p w14:paraId="07BF4705" w14:textId="77777777" w:rsidR="00093A32" w:rsidRDefault="00093A32"/>
                        </w:tc>
                        <w:tc>
                          <w:tcPr>
                            <w:tcW w:w="3946" w:type="dxa"/>
                            <w:tcBorders>
                              <w:top w:val="single" w:sz="4" w:space="0" w:color="auto"/>
                            </w:tcBorders>
                            <w:shd w:val="clear" w:color="auto" w:fill="231F20"/>
                          </w:tcPr>
                          <w:p w14:paraId="50144E7A"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Positivo al antígeno de superficie (HBsAg)</w:t>
                            </w:r>
                          </w:p>
                        </w:tc>
                        <w:tc>
                          <w:tcPr>
                            <w:tcW w:w="5899" w:type="dxa"/>
                            <w:gridSpan w:val="2"/>
                            <w:tcBorders>
                              <w:top w:val="single" w:sz="4" w:space="0" w:color="auto"/>
                            </w:tcBorders>
                            <w:shd w:val="clear" w:color="auto" w:fill="231F20"/>
                            <w:vAlign w:val="bottom"/>
                          </w:tcPr>
                          <w:p w14:paraId="361378F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59" w:lineRule="auto"/>
                              <w:ind w:firstLine="0"/>
                              <w:jc w:val="right"/>
                              <w:rPr>
                                <w:sz w:val="24"/>
                                <w:szCs w:val="24"/>
                              </w:rPr>
                            </w:pPr>
                            <w:r>
                              <w:rPr>
                                <w:rFonts w:ascii="Arial" w:eastAsia="Arial" w:hAnsi="Arial" w:cs="Arial"/>
                                <w:b/>
                                <w:bCs/>
                                <w:color w:val="FFFFFF"/>
                                <w:w w:val="70"/>
                                <w:sz w:val="24"/>
                                <w:szCs w:val="24"/>
                              </w:rPr>
                              <w:t>HBsAg-Negativa (sin antígeno) Situación desconocida o persona que no fue sometida a estudio</w:t>
                            </w:r>
                          </w:p>
                        </w:tc>
                      </w:tr>
                      <w:tr w:rsidR="00093A32" w14:paraId="288C55F3" w14:textId="77777777">
                        <w:tblPrEx>
                          <w:tblCellMar>
                            <w:top w:w="0" w:type="dxa"/>
                            <w:bottom w:w="0" w:type="dxa"/>
                          </w:tblCellMar>
                        </w:tblPrEx>
                        <w:trPr>
                          <w:trHeight w:hRule="exact" w:val="293"/>
                        </w:trPr>
                        <w:tc>
                          <w:tcPr>
                            <w:tcW w:w="1690" w:type="dxa"/>
                            <w:shd w:val="clear" w:color="auto" w:fill="FFFFFF"/>
                            <w:vAlign w:val="bottom"/>
                          </w:tcPr>
                          <w:p w14:paraId="5B71B6D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vacunada</w:t>
                            </w:r>
                          </w:p>
                        </w:tc>
                        <w:tc>
                          <w:tcPr>
                            <w:tcW w:w="3946" w:type="dxa"/>
                            <w:shd w:val="clear" w:color="auto" w:fill="FFFFFF"/>
                            <w:vAlign w:val="bottom"/>
                          </w:tcPr>
                          <w:p w14:paraId="34810EA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Aplicar concentrado de HBIG</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(una dosis)</w:t>
                            </w:r>
                          </w:p>
                        </w:tc>
                        <w:tc>
                          <w:tcPr>
                            <w:tcW w:w="2141" w:type="dxa"/>
                            <w:shd w:val="clear" w:color="auto" w:fill="FFFFFF"/>
                            <w:vAlign w:val="bottom"/>
                          </w:tcPr>
                          <w:p w14:paraId="561B283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Emprender una serie de</w:t>
                            </w:r>
                          </w:p>
                        </w:tc>
                        <w:tc>
                          <w:tcPr>
                            <w:tcW w:w="3758" w:type="dxa"/>
                            <w:shd w:val="clear" w:color="auto" w:fill="FFFFFF"/>
                            <w:vAlign w:val="bottom"/>
                          </w:tcPr>
                          <w:p w14:paraId="6AE32EE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Emprender una serie de vacunas contra</w:t>
                            </w:r>
                          </w:p>
                        </w:tc>
                      </w:tr>
                      <w:tr w:rsidR="00093A32" w14:paraId="6ABAEAC4" w14:textId="77777777">
                        <w:tblPrEx>
                          <w:tblCellMar>
                            <w:top w:w="0" w:type="dxa"/>
                            <w:bottom w:w="0" w:type="dxa"/>
                          </w:tblCellMar>
                        </w:tblPrEx>
                        <w:trPr>
                          <w:trHeight w:hRule="exact" w:val="216"/>
                        </w:trPr>
                        <w:tc>
                          <w:tcPr>
                            <w:tcW w:w="1690" w:type="dxa"/>
                            <w:shd w:val="clear" w:color="auto" w:fill="FFFFFF"/>
                          </w:tcPr>
                          <w:p w14:paraId="2ACA1DED" w14:textId="77777777" w:rsidR="00093A32" w:rsidRDefault="00093A32">
                            <w:pPr>
                              <w:rPr>
                                <w:sz w:val="10"/>
                                <w:szCs w:val="10"/>
                              </w:rPr>
                            </w:pPr>
                          </w:p>
                        </w:tc>
                        <w:tc>
                          <w:tcPr>
                            <w:tcW w:w="3946" w:type="dxa"/>
                            <w:shd w:val="clear" w:color="auto" w:fill="FFFFFF"/>
                            <w:vAlign w:val="bottom"/>
                          </w:tcPr>
                          <w:p w14:paraId="26EACDFD"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y emprender la serie con vacunas contra hepatitis B</w:t>
                            </w:r>
                          </w:p>
                        </w:tc>
                        <w:tc>
                          <w:tcPr>
                            <w:tcW w:w="2141" w:type="dxa"/>
                            <w:shd w:val="clear" w:color="auto" w:fill="FFFFFF"/>
                            <w:vAlign w:val="bottom"/>
                          </w:tcPr>
                          <w:p w14:paraId="18ED21ED"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vacunas contra hepatitis B</w:t>
                            </w:r>
                          </w:p>
                        </w:tc>
                        <w:tc>
                          <w:tcPr>
                            <w:tcW w:w="3758" w:type="dxa"/>
                            <w:shd w:val="clear" w:color="auto" w:fill="FFFFFF"/>
                            <w:vAlign w:val="bottom"/>
                          </w:tcPr>
                          <w:p w14:paraId="5C3B51B8"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hepatitis B</w:t>
                            </w:r>
                          </w:p>
                        </w:tc>
                      </w:tr>
                      <w:tr w:rsidR="00093A32" w14:paraId="433996C3" w14:textId="77777777">
                        <w:tblPrEx>
                          <w:tblCellMar>
                            <w:top w:w="0" w:type="dxa"/>
                            <w:bottom w:w="0" w:type="dxa"/>
                          </w:tblCellMar>
                        </w:tblPrEx>
                        <w:trPr>
                          <w:trHeight w:hRule="exact" w:val="418"/>
                        </w:trPr>
                        <w:tc>
                          <w:tcPr>
                            <w:tcW w:w="1690" w:type="dxa"/>
                            <w:shd w:val="clear" w:color="auto" w:fill="FFFFFF"/>
                          </w:tcPr>
                          <w:p w14:paraId="1FCD42C3" w14:textId="77777777" w:rsidR="00093A32" w:rsidRDefault="00093A32">
                            <w:pPr>
                              <w:pStyle w:val="Other0"/>
                              <w:spacing w:line="283" w:lineRule="auto"/>
                              <w:ind w:left="160" w:hanging="160"/>
                              <w:rPr>
                                <w:sz w:val="16"/>
                                <w:szCs w:val="16"/>
                              </w:rPr>
                            </w:pPr>
                            <w:r>
                              <w:rPr>
                                <w:rFonts w:ascii="Times New Roman" w:eastAsia="Times New Roman" w:hAnsi="Times New Roman" w:cs="Times New Roman"/>
                                <w:sz w:val="16"/>
                                <w:szCs w:val="16"/>
                              </w:rPr>
                              <w:t>Vacunada previamente Que reacciona</w:t>
                            </w:r>
                          </w:p>
                        </w:tc>
                        <w:tc>
                          <w:tcPr>
                            <w:tcW w:w="3946" w:type="dxa"/>
                            <w:shd w:val="clear" w:color="auto" w:fill="FFFFFF"/>
                            <w:vAlign w:val="bottom"/>
                          </w:tcPr>
                          <w:p w14:paraId="2086F95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2141" w:type="dxa"/>
                            <w:shd w:val="clear" w:color="auto" w:fill="FFFFFF"/>
                            <w:vAlign w:val="bottom"/>
                          </w:tcPr>
                          <w:p w14:paraId="7518A23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3758" w:type="dxa"/>
                            <w:shd w:val="clear" w:color="auto" w:fill="FFFFFF"/>
                            <w:vAlign w:val="bottom"/>
                          </w:tcPr>
                          <w:p w14:paraId="4D153FB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r>
                      <w:tr w:rsidR="00093A32" w14:paraId="63218322" w14:textId="77777777">
                        <w:tblPrEx>
                          <w:tblCellMar>
                            <w:top w:w="0" w:type="dxa"/>
                            <w:bottom w:w="0" w:type="dxa"/>
                          </w:tblCellMar>
                        </w:tblPrEx>
                        <w:trPr>
                          <w:trHeight w:hRule="exact" w:val="442"/>
                        </w:trPr>
                        <w:tc>
                          <w:tcPr>
                            <w:tcW w:w="1690" w:type="dxa"/>
                            <w:shd w:val="clear" w:color="auto" w:fill="FFFFFF"/>
                            <w:vAlign w:val="bottom"/>
                          </w:tcPr>
                          <w:p w14:paraId="13597D6D"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inmunológicamente</w:t>
                            </w:r>
                          </w:p>
                          <w:p w14:paraId="6B2D761E"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Que no reacciona</w:t>
                            </w:r>
                          </w:p>
                        </w:tc>
                        <w:tc>
                          <w:tcPr>
                            <w:tcW w:w="3946" w:type="dxa"/>
                            <w:shd w:val="clear" w:color="auto" w:fill="FFFFFF"/>
                            <w:vAlign w:val="bottom"/>
                          </w:tcPr>
                          <w:p w14:paraId="4A194D9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 xml:space="preserve">Concentrado HBIG (una dosis) </w:t>
                            </w:r>
                            <w:r>
                              <w:rPr>
                                <w:rFonts w:ascii="Times New Roman" w:eastAsia="Times New Roman" w:hAnsi="Times New Roman" w:cs="Times New Roman"/>
                                <w:b/>
                                <w:bCs/>
                                <w:sz w:val="16"/>
                                <w:szCs w:val="16"/>
                              </w:rPr>
                              <w:t xml:space="preserve">y </w:t>
                            </w:r>
                            <w:r>
                              <w:rPr>
                                <w:rFonts w:ascii="Times New Roman" w:eastAsia="Times New Roman" w:hAnsi="Times New Roman" w:cs="Times New Roman"/>
                                <w:sz w:val="16"/>
                                <w:szCs w:val="16"/>
                              </w:rPr>
                              <w:t>reiniciar</w:t>
                            </w:r>
                          </w:p>
                        </w:tc>
                        <w:tc>
                          <w:tcPr>
                            <w:tcW w:w="2141" w:type="dxa"/>
                            <w:shd w:val="clear" w:color="auto" w:fill="FFFFFF"/>
                            <w:vAlign w:val="bottom"/>
                          </w:tcPr>
                          <w:p w14:paraId="47C27AE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3758" w:type="dxa"/>
                            <w:shd w:val="clear" w:color="auto" w:fill="FFFFFF"/>
                            <w:vAlign w:val="bottom"/>
                          </w:tcPr>
                          <w:p w14:paraId="0AF138E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Si hay un punto de origen de alto riesgo</w:t>
                            </w:r>
                          </w:p>
                        </w:tc>
                      </w:tr>
                      <w:tr w:rsidR="00093A32" w14:paraId="3F7E315E" w14:textId="77777777">
                        <w:tblPrEx>
                          <w:tblCellMar>
                            <w:top w:w="0" w:type="dxa"/>
                            <w:bottom w:w="0" w:type="dxa"/>
                          </w:tblCellMar>
                        </w:tblPrEx>
                        <w:trPr>
                          <w:trHeight w:hRule="exact" w:val="216"/>
                        </w:trPr>
                        <w:tc>
                          <w:tcPr>
                            <w:tcW w:w="1690" w:type="dxa"/>
                            <w:shd w:val="clear" w:color="auto" w:fill="FFFFFF"/>
                            <w:vAlign w:val="bottom"/>
                          </w:tcPr>
                          <w:p w14:paraId="17B0A18C"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inmunológicamente</w:t>
                            </w:r>
                          </w:p>
                        </w:tc>
                        <w:tc>
                          <w:tcPr>
                            <w:tcW w:w="3946" w:type="dxa"/>
                            <w:shd w:val="clear" w:color="auto" w:fill="FFFFFF"/>
                            <w:vAlign w:val="bottom"/>
                          </w:tcPr>
                          <w:p w14:paraId="6E322470"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la revacunación</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la aplicación de HBIG (dos dosis)</w:t>
                            </w:r>
                          </w:p>
                        </w:tc>
                        <w:tc>
                          <w:tcPr>
                            <w:tcW w:w="2141" w:type="dxa"/>
                            <w:shd w:val="clear" w:color="auto" w:fill="FFFFFF"/>
                          </w:tcPr>
                          <w:p w14:paraId="14ACDFD1" w14:textId="77777777" w:rsidR="00093A32" w:rsidRDefault="00093A32">
                            <w:pPr>
                              <w:rPr>
                                <w:sz w:val="10"/>
                                <w:szCs w:val="10"/>
                              </w:rPr>
                            </w:pPr>
                          </w:p>
                        </w:tc>
                        <w:tc>
                          <w:tcPr>
                            <w:tcW w:w="3758" w:type="dxa"/>
                            <w:shd w:val="clear" w:color="auto" w:fill="FFFFFF"/>
                            <w:vAlign w:val="bottom"/>
                          </w:tcPr>
                          <w:p w14:paraId="4713039B"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identificado tratarlo como si tuviera</w:t>
                            </w:r>
                          </w:p>
                        </w:tc>
                      </w:tr>
                      <w:tr w:rsidR="00093A32" w14:paraId="7CAC6BC6" w14:textId="77777777">
                        <w:tblPrEx>
                          <w:tblCellMar>
                            <w:top w:w="0" w:type="dxa"/>
                            <w:bottom w:w="0" w:type="dxa"/>
                          </w:tblCellMar>
                        </w:tblPrEx>
                        <w:trPr>
                          <w:trHeight w:hRule="exact" w:val="456"/>
                        </w:trPr>
                        <w:tc>
                          <w:tcPr>
                            <w:tcW w:w="1690" w:type="dxa"/>
                            <w:shd w:val="clear" w:color="auto" w:fill="FFFFFF"/>
                            <w:vAlign w:val="bottom"/>
                          </w:tcPr>
                          <w:p w14:paraId="6738B7B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Se desconoce la</w:t>
                            </w:r>
                          </w:p>
                        </w:tc>
                        <w:tc>
                          <w:tcPr>
                            <w:tcW w:w="3946" w:type="dxa"/>
                            <w:shd w:val="clear" w:color="auto" w:fill="FFFFFF"/>
                            <w:vAlign w:val="bottom"/>
                          </w:tcPr>
                          <w:p w14:paraId="05EDD0A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Buscar anticuerpo contra HBs</w:t>
                            </w:r>
                            <w:r>
                              <w:rPr>
                                <w:rFonts w:ascii="Times New Roman" w:eastAsia="Times New Roman" w:hAnsi="Times New Roman" w:cs="Times New Roman"/>
                                <w:sz w:val="16"/>
                                <w:szCs w:val="16"/>
                                <w:vertAlign w:val="superscript"/>
                              </w:rPr>
                              <w:t>4</w:t>
                            </w:r>
                          </w:p>
                        </w:tc>
                        <w:tc>
                          <w:tcPr>
                            <w:tcW w:w="2141" w:type="dxa"/>
                            <w:shd w:val="clear" w:color="auto" w:fill="FFFFFF"/>
                            <w:vAlign w:val="bottom"/>
                          </w:tcPr>
                          <w:p w14:paraId="0F69C42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se hace tratamiento</w:t>
                            </w:r>
                          </w:p>
                        </w:tc>
                        <w:tc>
                          <w:tcPr>
                            <w:tcW w:w="3758" w:type="dxa"/>
                            <w:shd w:val="clear" w:color="auto" w:fill="FFFFFF"/>
                          </w:tcPr>
                          <w:p w14:paraId="6797A659"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antígeno de superficie</w:t>
                            </w:r>
                          </w:p>
                          <w:p w14:paraId="3FD5806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Buscar en la persona expuesta anticuerpos</w:t>
                            </w:r>
                          </w:p>
                        </w:tc>
                      </w:tr>
                      <w:tr w:rsidR="00093A32" w14:paraId="590D5945" w14:textId="77777777">
                        <w:tblPrEx>
                          <w:tblCellMar>
                            <w:top w:w="0" w:type="dxa"/>
                            <w:bottom w:w="0" w:type="dxa"/>
                          </w:tblCellMar>
                        </w:tblPrEx>
                        <w:trPr>
                          <w:trHeight w:hRule="exact" w:val="206"/>
                        </w:trPr>
                        <w:tc>
                          <w:tcPr>
                            <w:tcW w:w="1690" w:type="dxa"/>
                            <w:shd w:val="clear" w:color="auto" w:fill="FFFFFF"/>
                          </w:tcPr>
                          <w:p w14:paraId="7DAF8223"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respuesta</w:t>
                            </w:r>
                          </w:p>
                        </w:tc>
                        <w:tc>
                          <w:tcPr>
                            <w:tcW w:w="3946" w:type="dxa"/>
                            <w:shd w:val="clear" w:color="auto" w:fill="FFFFFF"/>
                          </w:tcPr>
                          <w:p w14:paraId="5120789E"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en la persona expuesta</w:t>
                            </w:r>
                          </w:p>
                        </w:tc>
                        <w:tc>
                          <w:tcPr>
                            <w:tcW w:w="2141" w:type="dxa"/>
                            <w:shd w:val="clear" w:color="auto" w:fill="FFFFFF"/>
                          </w:tcPr>
                          <w:p w14:paraId="65C021A2" w14:textId="77777777" w:rsidR="00093A32" w:rsidRDefault="00093A32">
                            <w:pPr>
                              <w:rPr>
                                <w:sz w:val="10"/>
                                <w:szCs w:val="10"/>
                              </w:rPr>
                            </w:pPr>
                          </w:p>
                        </w:tc>
                        <w:tc>
                          <w:tcPr>
                            <w:tcW w:w="3758" w:type="dxa"/>
                            <w:shd w:val="clear" w:color="auto" w:fill="FFFFFF"/>
                          </w:tcPr>
                          <w:p w14:paraId="16D734B2" w14:textId="77777777" w:rsidR="00093A32" w:rsidRDefault="00093A32">
                            <w:pPr>
                              <w:pStyle w:val="Other0"/>
                              <w:spacing w:line="240" w:lineRule="auto"/>
                              <w:ind w:firstLine="260"/>
                              <w:jc w:val="both"/>
                              <w:rPr>
                                <w:sz w:val="16"/>
                                <w:szCs w:val="16"/>
                              </w:rPr>
                            </w:pPr>
                            <w:r>
                              <w:rPr>
                                <w:rFonts w:ascii="Times New Roman" w:eastAsia="Times New Roman" w:hAnsi="Times New Roman" w:cs="Times New Roman"/>
                                <w:sz w:val="16"/>
                                <w:szCs w:val="16"/>
                              </w:rPr>
                              <w:t>contra HBs</w:t>
                            </w:r>
                            <w:r>
                              <w:rPr>
                                <w:rFonts w:ascii="Times New Roman" w:eastAsia="Times New Roman" w:hAnsi="Times New Roman" w:cs="Times New Roman"/>
                                <w:sz w:val="16"/>
                                <w:szCs w:val="16"/>
                                <w:vertAlign w:val="superscript"/>
                              </w:rPr>
                              <w:t>4</w:t>
                            </w:r>
                          </w:p>
                        </w:tc>
                      </w:tr>
                      <w:tr w:rsidR="00093A32" w14:paraId="2882E7B2" w14:textId="77777777">
                        <w:tblPrEx>
                          <w:tblCellMar>
                            <w:top w:w="0" w:type="dxa"/>
                            <w:bottom w:w="0" w:type="dxa"/>
                          </w:tblCellMar>
                        </w:tblPrEx>
                        <w:trPr>
                          <w:trHeight w:hRule="exact" w:val="1171"/>
                        </w:trPr>
                        <w:tc>
                          <w:tcPr>
                            <w:tcW w:w="1690" w:type="dxa"/>
                            <w:tcBorders>
                              <w:bottom w:val="single" w:sz="4" w:space="0" w:color="auto"/>
                            </w:tcBorders>
                            <w:shd w:val="clear" w:color="auto" w:fill="FFFFFF"/>
                          </w:tcPr>
                          <w:p w14:paraId="70268647"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inmunológica</w:t>
                            </w:r>
                          </w:p>
                        </w:tc>
                        <w:tc>
                          <w:tcPr>
                            <w:tcW w:w="3946" w:type="dxa"/>
                            <w:tcBorders>
                              <w:bottom w:val="single" w:sz="4" w:space="0" w:color="auto"/>
                            </w:tcBorders>
                            <w:shd w:val="clear" w:color="auto" w:fill="FFFFFF"/>
                            <w:vAlign w:val="center"/>
                          </w:tcPr>
                          <w:p w14:paraId="10FA464F" w14:textId="77777777" w:rsidR="00093A32" w:rsidRDefault="00093A32">
                            <w:pPr>
                              <w:pStyle w:val="Other0"/>
                              <w:numPr>
                                <w:ilvl w:val="0"/>
                                <w:numId w:val="71"/>
                              </w:numPr>
                              <w:tabs>
                                <w:tab w:val="left" w:pos="120"/>
                              </w:tabs>
                              <w:spacing w:line="286" w:lineRule="auto"/>
                              <w:ind w:left="160" w:hanging="160"/>
                              <w:rPr>
                                <w:sz w:val="16"/>
                                <w:szCs w:val="16"/>
                              </w:rPr>
                            </w:pPr>
                            <w:r>
                              <w:rPr>
                                <w:rFonts w:ascii="Times New Roman" w:eastAsia="Times New Roman" w:hAnsi="Times New Roman" w:cs="Times New Roman"/>
                                <w:sz w:val="16"/>
                                <w:szCs w:val="16"/>
                              </w:rPr>
                              <w:t>Si el dato es inadecuado, aplicar concentrado HBIG</w:t>
                            </w:r>
                            <w:r>
                              <w:rPr>
                                <w:rFonts w:ascii="Times New Roman" w:eastAsia="Times New Roman" w:hAnsi="Times New Roman" w:cs="Times New Roman"/>
                                <w:sz w:val="16"/>
                                <w:szCs w:val="16"/>
                                <w:vertAlign w:val="superscript"/>
                              </w:rPr>
                              <w:t xml:space="preserve">2 </w:t>
                            </w:r>
                            <w:r>
                              <w:rPr>
                                <w:rFonts w:ascii="Times New Roman" w:eastAsia="Times New Roman" w:hAnsi="Times New Roman" w:cs="Times New Roman"/>
                                <w:sz w:val="16"/>
                                <w:szCs w:val="16"/>
                              </w:rPr>
                              <w:t>(una dosis) y una dosis de refuerzo de la vacuna</w:t>
                            </w:r>
                          </w:p>
                          <w:p w14:paraId="6C68098E" w14:textId="77777777" w:rsidR="00093A32" w:rsidRDefault="00093A32">
                            <w:pPr>
                              <w:pStyle w:val="Other0"/>
                              <w:numPr>
                                <w:ilvl w:val="0"/>
                                <w:numId w:val="71"/>
                              </w:numPr>
                              <w:tabs>
                                <w:tab w:val="left" w:pos="120"/>
                              </w:tabs>
                              <w:spacing w:line="286" w:lineRule="auto"/>
                              <w:ind w:left="160" w:hanging="160"/>
                              <w:rPr>
                                <w:sz w:val="16"/>
                                <w:szCs w:val="16"/>
                              </w:rPr>
                            </w:pPr>
                            <w:r>
                              <w:rPr>
                                <w:rFonts w:ascii="Times New Roman" w:eastAsia="Times New Roman" w:hAnsi="Times New Roman" w:cs="Times New Roman"/>
                                <w:sz w:val="16"/>
                                <w:szCs w:val="16"/>
                              </w:rPr>
                              <w:t>Si la situación es inadecuada, aplicar una dosis de refuerzo de la vacuna</w:t>
                            </w:r>
                            <w:r>
                              <w:rPr>
                                <w:rFonts w:ascii="Times New Roman" w:eastAsia="Times New Roman" w:hAnsi="Times New Roman" w:cs="Times New Roman"/>
                                <w:sz w:val="16"/>
                                <w:szCs w:val="16"/>
                                <w:vertAlign w:val="superscript"/>
                              </w:rPr>
                              <w:t>5</w:t>
                            </w:r>
                          </w:p>
                        </w:tc>
                        <w:tc>
                          <w:tcPr>
                            <w:tcW w:w="2141" w:type="dxa"/>
                            <w:tcBorders>
                              <w:bottom w:val="single" w:sz="4" w:space="0" w:color="auto"/>
                            </w:tcBorders>
                            <w:shd w:val="clear" w:color="auto" w:fill="FFFFFF"/>
                          </w:tcPr>
                          <w:p w14:paraId="6E438A03" w14:textId="77777777" w:rsidR="00093A32" w:rsidRDefault="00093A32">
                            <w:pPr>
                              <w:rPr>
                                <w:sz w:val="10"/>
                                <w:szCs w:val="10"/>
                              </w:rPr>
                            </w:pPr>
                          </w:p>
                        </w:tc>
                        <w:tc>
                          <w:tcPr>
                            <w:tcW w:w="3758" w:type="dxa"/>
                            <w:tcBorders>
                              <w:bottom w:val="single" w:sz="4" w:space="0" w:color="auto"/>
                            </w:tcBorders>
                            <w:shd w:val="clear" w:color="auto" w:fill="FFFFFF"/>
                            <w:vAlign w:val="center"/>
                          </w:tcPr>
                          <w:p w14:paraId="301297FE" w14:textId="77777777" w:rsidR="00093A32" w:rsidRDefault="00093A32">
                            <w:pPr>
                              <w:pStyle w:val="Other0"/>
                              <w:numPr>
                                <w:ilvl w:val="0"/>
                                <w:numId w:val="72"/>
                              </w:numPr>
                              <w:tabs>
                                <w:tab w:val="left" w:pos="120"/>
                              </w:tabs>
                              <w:spacing w:line="286" w:lineRule="auto"/>
                              <w:ind w:left="260" w:hanging="260"/>
                              <w:rPr>
                                <w:sz w:val="16"/>
                                <w:szCs w:val="16"/>
                              </w:rPr>
                            </w:pPr>
                            <w:r>
                              <w:rPr>
                                <w:rFonts w:ascii="Times New Roman" w:eastAsia="Times New Roman" w:hAnsi="Times New Roman" w:cs="Times New Roman"/>
                                <w:sz w:val="16"/>
                                <w:szCs w:val="16"/>
                              </w:rPr>
                              <w:t>Si hay niveles adecuados del anticuerpo, no se dará tratamiento</w:t>
                            </w:r>
                            <w:r>
                              <w:rPr>
                                <w:rFonts w:ascii="Times New Roman" w:eastAsia="Times New Roman" w:hAnsi="Times New Roman" w:cs="Times New Roman"/>
                                <w:sz w:val="16"/>
                                <w:szCs w:val="16"/>
                                <w:vertAlign w:val="superscript"/>
                              </w:rPr>
                              <w:t>5</w:t>
                            </w:r>
                          </w:p>
                          <w:p w14:paraId="545DAB56" w14:textId="77777777" w:rsidR="00093A32" w:rsidRDefault="00093A32">
                            <w:pPr>
                              <w:pStyle w:val="Other0"/>
                              <w:numPr>
                                <w:ilvl w:val="0"/>
                                <w:numId w:val="72"/>
                              </w:numPr>
                              <w:tabs>
                                <w:tab w:val="left" w:pos="120"/>
                              </w:tabs>
                              <w:spacing w:line="286" w:lineRule="auto"/>
                              <w:ind w:firstLine="0"/>
                              <w:rPr>
                                <w:sz w:val="16"/>
                                <w:szCs w:val="16"/>
                              </w:rPr>
                            </w:pPr>
                            <w:r>
                              <w:rPr>
                                <w:rFonts w:ascii="Times New Roman" w:eastAsia="Times New Roman" w:hAnsi="Times New Roman" w:cs="Times New Roman"/>
                                <w:sz w:val="16"/>
                                <w:szCs w:val="16"/>
                              </w:rPr>
                              <w:t>Si la situación es adecuada, no se emprenderá tratamiento alguno</w:t>
                            </w:r>
                          </w:p>
                        </w:tc>
                      </w:tr>
                    </w:tbl>
                    <w:p w14:paraId="40FF6F41" w14:textId="77777777" w:rsidR="00093A32" w:rsidRDefault="00093A32">
                      <w:pPr>
                        <w:spacing w:line="1" w:lineRule="exact"/>
                      </w:pPr>
                    </w:p>
                  </w:txbxContent>
                </v:textbox>
                <w10:wrap type="topAndBottom" anchorx="page"/>
              </v:shape>
            </w:pict>
          </mc:Fallback>
        </mc:AlternateContent>
      </w:r>
      <w:r>
        <w:rPr>
          <w:noProof/>
        </w:rPr>
        <mc:AlternateContent>
          <mc:Choice Requires="wps">
            <w:drawing>
              <wp:anchor distT="1545590" distB="609600" distL="0" distR="0" simplePos="0" relativeHeight="251665408" behindDoc="0" locked="0" layoutInCell="1" allowOverlap="1" wp14:anchorId="1542644A" wp14:editId="2F0E1F2F">
                <wp:simplePos x="0" y="0"/>
                <wp:positionH relativeFrom="page">
                  <wp:posOffset>7936865</wp:posOffset>
                </wp:positionH>
                <wp:positionV relativeFrom="paragraph">
                  <wp:posOffset>1545590</wp:posOffset>
                </wp:positionV>
                <wp:extent cx="100330" cy="548640"/>
                <wp:effectExtent l="0" t="0" r="0" b="0"/>
                <wp:wrapTopAndBottom/>
                <wp:docPr id="1010" name="Shape 1010"/>
                <wp:cNvGraphicFramePr/>
                <a:graphic xmlns:a="http://schemas.openxmlformats.org/drawingml/2006/main">
                  <a:graphicData uri="http://schemas.microsoft.com/office/word/2010/wordprocessingShape">
                    <wps:wsp>
                      <wps:cNvSpPr txBox="1"/>
                      <wps:spPr>
                        <a:xfrm>
                          <a:off x="0" y="0"/>
                          <a:ext cx="100330" cy="548640"/>
                        </a:xfrm>
                        <a:prstGeom prst="rect">
                          <a:avLst/>
                        </a:prstGeom>
                        <a:noFill/>
                      </wps:spPr>
                      <wps:txbx>
                        <w:txbxContent>
                          <w:p w14:paraId="3D2F7F71" w14:textId="77777777" w:rsidR="00093A32" w:rsidRDefault="00093A32">
                            <w:pPr>
                              <w:pStyle w:val="Bodytext80"/>
                              <w:jc w:val="both"/>
                            </w:pPr>
                            <w:r>
                              <w:t>HEPATITIS B</w:t>
                            </w:r>
                          </w:p>
                        </w:txbxContent>
                      </wps:txbx>
                      <wps:bodyPr vert="vert" lIns="0" tIns="0" rIns="0" bIns="0" upright="1"/>
                    </wps:wsp>
                  </a:graphicData>
                </a:graphic>
              </wp:anchor>
            </w:drawing>
          </mc:Choice>
          <mc:Fallback>
            <w:pict>
              <v:shape w14:anchorId="1542644A" id="Shape 1010" o:spid="_x0000_s1032" type="#_x0000_t202" style="position:absolute;margin-left:624.95pt;margin-top:121.7pt;width:7.9pt;height:43.2pt;z-index:251665408;visibility:visible;mso-wrap-style:square;mso-wrap-distance-left:0;mso-wrap-distance-top:121.7pt;mso-wrap-distance-right:0;mso-wrap-distance-bottom:4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" filled="f" stroked="f">
                <v:textbox style="layout-flow:vertical" inset="0,0,0,0">
                  <w:txbxContent>
                    <w:p w14:paraId="3D2F7F71" w14:textId="77777777" w:rsidR="00093A32" w:rsidRDefault="00093A32">
                      <w:pPr>
                        <w:pStyle w:val="Bodytext80"/>
                        <w:jc w:val="both"/>
                      </w:pPr>
                      <w:r>
                        <w:t>HEPATITIS B</w:t>
                      </w:r>
                    </w:p>
                  </w:txbxContent>
                </v:textbox>
                <w10:wrap type="topAndBottom" anchorx="page"/>
              </v:shape>
            </w:pict>
          </mc:Fallback>
        </mc:AlternateContent>
      </w:r>
    </w:p>
    <w:p w14:paraId="24B45E00" w14:textId="77777777" w:rsidR="00093A32" w:rsidRDefault="00093A32">
      <w:pPr>
        <w:pStyle w:val="Bodytext20"/>
        <w:spacing w:line="240" w:lineRule="auto"/>
        <w:jc w:val="both"/>
        <w:rPr>
          <w:sz w:val="15"/>
          <w:szCs w:val="15"/>
        </w:rPr>
      </w:pPr>
      <w:r>
        <w:rPr>
          <w:sz w:val="15"/>
          <w:szCs w:val="15"/>
        </w:rPr>
        <w:t>HBsAg, antígeno de superficie de hepatitis B; HBIG, concentrado inmunoglobulínico de hepatitis B.</w:t>
      </w:r>
    </w:p>
    <w:p w14:paraId="3686E2D8" w14:textId="77777777" w:rsidR="00093A32" w:rsidRDefault="00093A32">
      <w:pPr>
        <w:pStyle w:val="Bodytext20"/>
        <w:numPr>
          <w:ilvl w:val="0"/>
          <w:numId w:val="73"/>
        </w:numPr>
        <w:tabs>
          <w:tab w:val="left" w:pos="175"/>
        </w:tabs>
        <w:spacing w:line="240" w:lineRule="auto"/>
        <w:ind w:left="240" w:hanging="240"/>
        <w:rPr>
          <w:sz w:val="15"/>
          <w:szCs w:val="15"/>
        </w:rPr>
      </w:pPr>
      <w:bookmarkStart w:id="198" w:name="bookmark804"/>
      <w:bookmarkEnd w:id="198"/>
      <w:r>
        <w:rPr>
          <w:sz w:val="15"/>
          <w:szCs w:val="15"/>
        </w:rPr>
        <w:t xml:space="preserve">Centers for Disease Control and Prevention. Updated US Public Health Service Guidelines for the management of occupational exposures to HBV, HCV, y HIV and recomendations for postexposure prophilaxis. </w:t>
      </w:r>
      <w:r>
        <w:rPr>
          <w:i/>
          <w:iCs/>
          <w:sz w:val="15"/>
          <w:szCs w:val="15"/>
        </w:rPr>
        <w:t>MMWR Recomm Rep.</w:t>
      </w:r>
      <w:r>
        <w:rPr>
          <w:sz w:val="15"/>
          <w:szCs w:val="15"/>
        </w:rPr>
        <w:t xml:space="preserve"> 2001;50(RR-11):1-52</w:t>
      </w:r>
    </w:p>
    <w:p w14:paraId="6FB93ED3" w14:textId="77777777" w:rsidR="00093A32" w:rsidRDefault="00093A32">
      <w:pPr>
        <w:pStyle w:val="Bodytext20"/>
        <w:numPr>
          <w:ilvl w:val="0"/>
          <w:numId w:val="73"/>
        </w:numPr>
        <w:tabs>
          <w:tab w:val="left" w:pos="175"/>
        </w:tabs>
        <w:spacing w:line="470" w:lineRule="auto"/>
        <w:jc w:val="both"/>
        <w:rPr>
          <w:sz w:val="15"/>
          <w:szCs w:val="15"/>
        </w:rPr>
      </w:pPr>
      <w:bookmarkStart w:id="199" w:name="bookmark805"/>
      <w:bookmarkEnd w:id="199"/>
      <w:r>
        <w:rPr>
          <w:sz w:val="15"/>
          <w:szCs w:val="15"/>
        </w:rPr>
        <w:t>Dosis de concentrado HBIG, 0.06 ml/kg de peso por vía intramuscular.</w:t>
      </w:r>
    </w:p>
    <w:p w14:paraId="30AC13FF" w14:textId="77777777" w:rsidR="00093A32" w:rsidRDefault="00093A32">
      <w:pPr>
        <w:pStyle w:val="Bodytext20"/>
        <w:numPr>
          <w:ilvl w:val="0"/>
          <w:numId w:val="73"/>
        </w:numPr>
        <w:tabs>
          <w:tab w:val="left" w:pos="175"/>
        </w:tabs>
        <w:spacing w:line="240" w:lineRule="auto"/>
        <w:ind w:left="240" w:hanging="240"/>
        <w:jc w:val="both"/>
        <w:rPr>
          <w:sz w:val="15"/>
          <w:szCs w:val="15"/>
        </w:rPr>
      </w:pPr>
      <w:bookmarkStart w:id="200" w:name="bookmark806"/>
      <w:bookmarkEnd w:id="200"/>
      <w:r>
        <w:rPr>
          <w:sz w:val="15"/>
          <w:szCs w:val="15"/>
        </w:rPr>
        <w:t>Se prefiere la opción de aplicar una dosis del concentrado HBIG (0.06 ml/kg de peso) y reiniciar la serie de vacunas para personas que no reaccionan inmunológicamente y que no han completado la segunda serie de tres vacunas. Para las personas que completaron la segunda serie pero que tampoco reaccionaron inmunológicamente, se prefieren dos dosis del concentrado (0.06 ml/kg de peso) y una de las dosis se aplicará lo más pronto posible después de la exposición, y la segunda, un mes después.</w:t>
      </w:r>
    </w:p>
    <w:p w14:paraId="5487F47A" w14:textId="77777777" w:rsidR="00093A32" w:rsidRDefault="00093A32">
      <w:pPr>
        <w:pStyle w:val="Bodytext20"/>
        <w:numPr>
          <w:ilvl w:val="0"/>
          <w:numId w:val="73"/>
        </w:numPr>
        <w:tabs>
          <w:tab w:val="left" w:pos="175"/>
        </w:tabs>
        <w:spacing w:line="470" w:lineRule="auto"/>
        <w:jc w:val="both"/>
        <w:rPr>
          <w:sz w:val="15"/>
          <w:szCs w:val="15"/>
        </w:rPr>
      </w:pPr>
      <w:bookmarkStart w:id="201" w:name="bookmark807"/>
      <w:bookmarkEnd w:id="201"/>
      <w:r>
        <w:rPr>
          <w:sz w:val="15"/>
          <w:szCs w:val="15"/>
        </w:rPr>
        <w:t>Un nivel adecuado de anticuerpo contra HBs es de 10 mUI/ml o mayor.</w:t>
      </w:r>
    </w:p>
    <w:p w14:paraId="7EBADA29" w14:textId="77777777" w:rsidR="00093A32" w:rsidRDefault="00093A32">
      <w:pPr>
        <w:pStyle w:val="Bodytext20"/>
        <w:numPr>
          <w:ilvl w:val="0"/>
          <w:numId w:val="73"/>
        </w:numPr>
        <w:tabs>
          <w:tab w:val="left" w:pos="175"/>
        </w:tabs>
        <w:spacing w:line="240" w:lineRule="auto"/>
        <w:ind w:left="240" w:hanging="240"/>
        <w:rPr>
          <w:sz w:val="15"/>
          <w:szCs w:val="15"/>
        </w:rPr>
        <w:sectPr w:rsidR="00093A32" w:rsidSect="00093A32">
          <w:headerReference w:type="even" r:id="rId362"/>
          <w:headerReference w:type="default" r:id="rId363"/>
          <w:footerReference w:type="even" r:id="rId364"/>
          <w:footerReference w:type="default" r:id="rId365"/>
          <w:pgSz w:w="13022" w:h="8501" w:orient="landscape"/>
          <w:pgMar w:top="470" w:right="811" w:bottom="683" w:left="677" w:header="42" w:footer="255" w:gutter="0"/>
          <w:cols w:space="720"/>
          <w:noEndnote/>
          <w:docGrid w:linePitch="360"/>
          <w15:footnoteColumns w:val="1"/>
        </w:sectPr>
      </w:pPr>
      <w:bookmarkStart w:id="202" w:name="bookmark808"/>
      <w:bookmarkEnd w:id="202"/>
      <w:r>
        <w:rPr>
          <w:sz w:val="15"/>
          <w:szCs w:val="15"/>
        </w:rPr>
        <w:t>Habrá que valorar a la persona para conocer su respuesta de anticuerpos después de recibir la vacuna de refuerzo. En el caso de personas que recibieron el concentrado HBIG, habrá que practicar métodos para detectar anticuerpos contra HBs si dejan de detectarse los anticuerpos de adquisición pasiva, provenientes de HBIG (p. ej., 4-6 meses); en el caso de personas que no recibieron el concentrado habrá que practicar los métodos para valorar anticuerpos contra HBs uno a dos meses después de aplicada la vacuna de refuerzo. Si el nivel de anticuerpo contra HBs es inadecuado (&lt;10 mUI/ml) después de la vacuna de refuerzo, habrá que aplicar dos dosis más hasta completar una serie de tres dosis de revacunación.</w:t>
      </w:r>
    </w:p>
    <w:p w14:paraId="61506209" w14:textId="77777777" w:rsidR="00093A32" w:rsidRDefault="00093A32">
      <w:pPr>
        <w:pStyle w:val="BodyText"/>
        <w:ind w:firstLine="360"/>
      </w:pPr>
      <w:r>
        <w:t>Los niños con el antígeno de superficie que no tienen factores de riesgo conductuales o médicos, como una conducta extraordinariamente agresiva (como las mordidas), dermatitis generalizada o un problema hemorrágico, deben ser admitidos en el centro de atención pediátrica, sin restricciones. En tales circunstancias es insignificante el peligro de transmisión de HBV en el centro de atención pediátrica, y no está justificada la búsqueda sistemática del antígeno de superficie mencionado. El médico que atiende al niño, el director del programa y las autoridades sanitarias responsables (véase “Niños en el sistema asistencial extrahogareño”, sección 2) serán los encargados de admitir a los centros de atención a niños con el antígeno de superficie y que tienen factores de peligro conductuales o médicos.</w:t>
      </w:r>
    </w:p>
    <w:p w14:paraId="63CDD8F2" w14:textId="77777777" w:rsidR="00093A32" w:rsidRDefault="00093A32">
      <w:pPr>
        <w:pStyle w:val="BodyText"/>
        <w:ind w:firstLine="360"/>
      </w:pPr>
      <w:r>
        <w:t>Eficacia de los programas para prevenir la hepatitis B. Los programas habituales de vacunación contra hepatitis B han disminuido de manera significativa la prevalencia de infección por HBV en niños de poblaciones con una incidencia alta de tal infección. Se advierte un vínculo entre la protección más extendida con la vacuna contra hepatitis B y los decrementos mayores de la prevalencia del antígeno de superficie. Se necesitarán estudios de mayor magnitud y de más largo plazo para demostrar la disminución de la frecuencia en zonas con una menor incidencia de infección por hepatitis B.</w:t>
      </w:r>
    </w:p>
    <w:p w14:paraId="6B08A868" w14:textId="77777777" w:rsidR="00093A32" w:rsidRDefault="00093A32">
      <w:pPr>
        <w:pStyle w:val="BodyText"/>
        <w:ind w:firstLine="360"/>
      </w:pPr>
      <w:r>
        <w:t>Por lo común no se observan hasta la vida adulta las secuelas a largo plazo de la infección crónica por HBV, aunque se sabe que en niños ha habido casos de cirrosis y carcinoma hepatocelular. En Taiwán, la incidencia anual promedio de dicho carcinoma entre niños de seis a 14 años disminuyó significativamente en un lapso de 10 años de haber emprendido la vacunación sistemática contra hepatitis B de lactantes. Se espera que los programas de vacunación sistemática de lactantes a nivel mundial disminuyan significativamente la incidencia de muerte por cirrosis y HCC, en los próximos 30 a 50 años.</w:t>
      </w:r>
    </w:p>
    <w:p w14:paraId="46319E95" w14:textId="77777777" w:rsidR="00093A32" w:rsidRDefault="00093A32">
      <w:pPr>
        <w:pStyle w:val="BodyText"/>
        <w:spacing w:after="100"/>
        <w:ind w:firstLine="360"/>
      </w:pPr>
      <w:r>
        <w:t>La División de Hepatitis Vírica de los CDC sostiene un número gratuito para información sobre dicho tipo de hepatitis (1-888-4HEPCDC) y también una página Web (</w:t>
      </w:r>
      <w:hyperlink r:id="rId366" w:history="1">
        <w:r>
          <w:t>www.cdc.gov/hepatitis</w:t>
        </w:r>
      </w:hyperlink>
      <w:r>
        <w:t>) con información sobre la enfermedad para profesionales asistenciales y el público.</w:t>
      </w:r>
    </w:p>
    <w:p w14:paraId="789D9D42" w14:textId="77777777" w:rsidR="00093A32" w:rsidRDefault="00093A32">
      <w:pPr>
        <w:pStyle w:val="Bodytext70"/>
        <w:spacing w:after="0"/>
      </w:pPr>
      <w:r>
        <w:t>Hepatitis C</w:t>
      </w:r>
    </w:p>
    <w:p w14:paraId="51A6D2BA"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signos y los síntomas de la infección por el virus de hepatitis C </w:t>
      </w:r>
      <w:r>
        <w:rPr>
          <w:i/>
          <w:iCs/>
        </w:rPr>
        <w:t>(</w:t>
      </w:r>
      <w:r>
        <w:rPr>
          <w:rFonts w:ascii="Times New Roman" w:eastAsia="Times New Roman" w:hAnsi="Times New Roman" w:cs="Times New Roman"/>
          <w:i/>
          <w:iCs/>
          <w:sz w:val="16"/>
          <w:szCs w:val="16"/>
        </w:rPr>
        <w:t>hepatitis C virus</w:t>
      </w:r>
      <w:r>
        <w:rPr>
          <w:i/>
          <w:iCs/>
        </w:rPr>
        <w:t>,</w:t>
      </w:r>
      <w:r>
        <w:t xml:space="preserve"> HCV) son prácticamente idénticos a los de las hepatitis A o B. El cuadro agudo tiende a ser menos intenso y su comienzo es más insidioso, y casi todas las infecciones son asintomáticas. Se observa ictericia en menos de 20% de los pacientes, y las anormalidades en las pruebas de función hepática por lo común son menos intensas que las que surgen en personas con infección por virus de hepatitis B. La infección persistente con HCV se observa en 50 a 60% de los niños infectados, incluso sin que haya pruebas bioquímicas de ataque del hígado. Casi todos los niños con infección crónica son asintomáticos. A pesar de que la hepatitis crónica aparece en 60 a 70% de los adultos infectados, algunos datos indican que menos de 10% de los niños infectados terminan por mostrar hepatitis crónica, y que menos de 5% muestran al final cirrosis. La infección por HCV es la principal razón para la práctica de transplante de hígado en adultos en Estados Unidos.</w:t>
      </w:r>
    </w:p>
    <w:p w14:paraId="07EF1D30" w14:textId="77777777" w:rsidR="00093A32" w:rsidRDefault="00093A32">
      <w:pPr>
        <w:pStyle w:val="BodyText"/>
        <w:ind w:firstLine="0"/>
      </w:pPr>
      <w:r>
        <w:rPr>
          <w:b/>
          <w:bCs/>
        </w:rPr>
        <w:t>C</w:t>
      </w:r>
      <w:r>
        <w:rPr>
          <w:b/>
          <w:bCs/>
          <w:sz w:val="13"/>
          <w:szCs w:val="13"/>
        </w:rPr>
        <w:t>AUSAS</w:t>
      </w:r>
      <w:r>
        <w:rPr>
          <w:b/>
          <w:bCs/>
        </w:rPr>
        <w:t xml:space="preserve">: </w:t>
      </w:r>
      <w:r>
        <w:t xml:space="preserve">El virus de hepatitis C es un virus pequeño de RNA de un solo filamento y es miembro de la familia de Flavivirus. Existen múltiples genotipos y subtipos de dicho virus. </w:t>
      </w:r>
      <w:r>
        <w:rPr>
          <w:b/>
          <w:bCs/>
        </w:rPr>
        <w:t>A</w:t>
      </w:r>
      <w:r>
        <w:rPr>
          <w:b/>
          <w:bCs/>
          <w:sz w:val="13"/>
          <w:szCs w:val="13"/>
        </w:rPr>
        <w:t xml:space="preserve">SPECTOS </w:t>
      </w:r>
      <w:r>
        <w:rPr>
          <w:b/>
          <w:bCs/>
          <w:smallCaps/>
          <w:sz w:val="16"/>
          <w:szCs w:val="16"/>
        </w:rPr>
        <w:t>epidemiológicos</w:t>
      </w:r>
      <w:r>
        <w:rPr>
          <w:b/>
          <w:bCs/>
          <w:smallCaps/>
          <w:sz w:val="20"/>
          <w:szCs w:val="20"/>
        </w:rPr>
        <w:t>:</w:t>
      </w:r>
      <w:r>
        <w:t xml:space="preserve"> Se ha calculado que la prevalencia de infección por HCV en la población general estadounidense es de 1.8%. La seroprevalencia es de 0.2% en</w:t>
      </w:r>
    </w:p>
    <w:p w14:paraId="7B3F7853" w14:textId="77777777" w:rsidR="00093A32" w:rsidRDefault="00093A32">
      <w:pPr>
        <w:pStyle w:val="BodyText"/>
        <w:ind w:firstLine="360"/>
      </w:pPr>
      <w:r>
        <w:t>Los niños con el antígeno de superficie que no tienen factores de riesgo conductuales o médicos, como una conducta extraordinariamente agresiva (como las mordidas), dermatitis generalizada o un problema hemorrágico, deben ser admitidos en el centro de atención pediátrica, sin restricciones. En tales circunstancias es insignificante el peligro de transmisión de HBV en el centro de atención pediátrica, y no está justificada la búsqueda sistemática del antígeno de superficie mencionado. El médico que atiende al niño, el director del programa y las autoridades sanitarias responsables (véase “Niños en el sistema asistencial extrahogareño”, sección 2) serán los encargados de admitir a los centros de atención a niños con el antígeno de superficie y que tienen factores de peligro conductuales o médicos.</w:t>
      </w:r>
    </w:p>
    <w:p w14:paraId="4CF809B4" w14:textId="77777777" w:rsidR="00093A32" w:rsidRDefault="00093A32">
      <w:pPr>
        <w:pStyle w:val="BodyText"/>
        <w:ind w:firstLine="360"/>
      </w:pPr>
      <w:r>
        <w:t>Eficacia de los programas para prevenir la hepatitis B. Los programas habituales de vacunación contra hepatitis B han disminuido de manera significativa la prevalencia de infección por HBV en niños de poblaciones con una incidencia alta de tal infección. Se advierte un vínculo entre la protección más extendida con la vacuna contra hepatitis B y los decrementos mayores de la prevalencia del antígeno de superficie. Se necesitarán estudios de mayor magnitud y de más largo plazo para demostrar la disminución de la frecuencia en zonas con una menor incidencia de infección por hepatitis B.</w:t>
      </w:r>
    </w:p>
    <w:p w14:paraId="62991A7A" w14:textId="77777777" w:rsidR="00093A32" w:rsidRDefault="00093A32">
      <w:pPr>
        <w:pStyle w:val="BodyText"/>
        <w:ind w:firstLine="360"/>
      </w:pPr>
      <w:r>
        <w:t>Por lo común no se observan hasta la vida adulta las secuelas a largo plazo de la infección crónica por HBV, aunque se sabe que en niños ha habido casos de cirrosis y carcinoma hepatocelular. En Taiwán, la incidencia anual promedio de dicho carcinoma entre niños de seis a 14 años disminuyó significativamente en un lapso de 10 años de haber emprendido la vacunación sistemática contra hepatitis B de lactantes. Se espera que los programas de vacunación sistemática de lactantes a nivel mundial disminuyan significativamente la incidencia de muerte por cirrosis y HCC, en los próximos 30 a 50 años.</w:t>
      </w:r>
    </w:p>
    <w:p w14:paraId="26999D3A" w14:textId="77777777" w:rsidR="00093A32" w:rsidRDefault="00093A32">
      <w:pPr>
        <w:pStyle w:val="BodyText"/>
        <w:spacing w:after="100"/>
        <w:ind w:firstLine="360"/>
      </w:pPr>
      <w:r>
        <w:t>La División de Hepatitis Vírica de los CDC sostiene un número gratuito para información sobre dicho tipo de hepatitis (1-888-4HEPCDC) y también una página Web (</w:t>
      </w:r>
      <w:hyperlink r:id="rId367" w:history="1">
        <w:r>
          <w:t>www.cdc.gov/hepatitis</w:t>
        </w:r>
      </w:hyperlink>
      <w:r>
        <w:t>) con información sobre la enfermedad para profesionales asistenciales y el público.</w:t>
      </w:r>
    </w:p>
    <w:p w14:paraId="6E318AEA" w14:textId="77777777" w:rsidR="00093A32" w:rsidRDefault="00093A32">
      <w:pPr>
        <w:pStyle w:val="Bodytext70"/>
        <w:spacing w:after="0"/>
      </w:pPr>
      <w:r>
        <w:t>Hepatitis C</w:t>
      </w:r>
    </w:p>
    <w:p w14:paraId="7DAB32D5"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signos y los síntomas de la infección por el virus de hepatitis C </w:t>
      </w:r>
      <w:r>
        <w:rPr>
          <w:i/>
          <w:iCs/>
        </w:rPr>
        <w:t>(</w:t>
      </w:r>
      <w:r>
        <w:rPr>
          <w:rFonts w:ascii="Times New Roman" w:eastAsia="Times New Roman" w:hAnsi="Times New Roman" w:cs="Times New Roman"/>
          <w:i/>
          <w:iCs/>
          <w:sz w:val="16"/>
          <w:szCs w:val="16"/>
        </w:rPr>
        <w:t>hepatitis C virus</w:t>
      </w:r>
      <w:r>
        <w:rPr>
          <w:i/>
          <w:iCs/>
        </w:rPr>
        <w:t>,</w:t>
      </w:r>
      <w:r>
        <w:t xml:space="preserve"> HCV) son prácticamente idénticos a los de las hepatitis A o B. El cuadro agudo tiende a ser menos intenso y su comienzo es más insidioso, y casi todas las infecciones son asintomáticas. Se observa ictericia en menos de 20% de los pacientes, y las anormalidades en las pruebas de función hepática por lo común son menos intensas que las que surgen en personas con infección por virus de hepatitis B. La infección persistente con HCV se observa en 50 a 60% de los niños infectados, incluso sin que haya pruebas bioquímicas de ataque del hígado. Casi todos los niños con infección crónica son asintomáticos. A pesar de que la hepatitis crónica aparece en 60 a 70% de los adultos infectados, algunos datos indican que menos de 10% de los niños infectados terminan por mostrar hepatitis crónica, y que menos de 5% muestran al final cirrosis. La infección por HCV es la principal razón para la práctica de transplante de hígado en adultos en Estados Unidos.</w:t>
      </w:r>
    </w:p>
    <w:p w14:paraId="2BCA1116" w14:textId="77777777" w:rsidR="00093A32" w:rsidRDefault="00093A32">
      <w:pPr>
        <w:pStyle w:val="BodyText"/>
        <w:ind w:firstLine="0"/>
        <w:sectPr w:rsidR="00093A32" w:rsidSect="00093A32">
          <w:headerReference w:type="even" r:id="rId368"/>
          <w:headerReference w:type="default" r:id="rId369"/>
          <w:footerReference w:type="even" r:id="rId370"/>
          <w:footerReference w:type="default" r:id="rId371"/>
          <w:footnotePr>
            <w:numFmt w:val="chicago"/>
          </w:footnotePr>
          <w:pgSz w:w="8501" w:h="13022"/>
          <w:pgMar w:top="888" w:right="798" w:bottom="514" w:left="819" w:header="0" w:footer="86" w:gutter="0"/>
          <w:cols w:space="720"/>
          <w:noEndnote/>
          <w:docGrid w:linePitch="360"/>
          <w15:footnoteColumns w:val="1"/>
        </w:sectPr>
      </w:pPr>
      <w:r>
        <w:rPr>
          <w:b/>
          <w:bCs/>
        </w:rPr>
        <w:t>C</w:t>
      </w:r>
      <w:r>
        <w:rPr>
          <w:b/>
          <w:bCs/>
          <w:sz w:val="13"/>
          <w:szCs w:val="13"/>
        </w:rPr>
        <w:t>AUSAS</w:t>
      </w:r>
      <w:r>
        <w:rPr>
          <w:b/>
          <w:bCs/>
        </w:rPr>
        <w:t xml:space="preserve">: </w:t>
      </w:r>
      <w:r>
        <w:t xml:space="preserve">El virus de hepatitis C es un virus pequeño de RNA de un solo filamento y es miembro de la familia de Flavivirus. Existen múltiples genotipos y subtipos de dicho virus. </w:t>
      </w:r>
      <w:r>
        <w:rPr>
          <w:b/>
          <w:bCs/>
        </w:rPr>
        <w:t>A</w:t>
      </w:r>
      <w:r>
        <w:rPr>
          <w:b/>
          <w:bCs/>
          <w:sz w:val="13"/>
          <w:szCs w:val="13"/>
        </w:rPr>
        <w:t xml:space="preserve">SPECTOS </w:t>
      </w:r>
      <w:r>
        <w:rPr>
          <w:b/>
          <w:bCs/>
          <w:smallCaps/>
          <w:sz w:val="16"/>
          <w:szCs w:val="16"/>
        </w:rPr>
        <w:t>epidemiológicos</w:t>
      </w:r>
      <w:r>
        <w:rPr>
          <w:b/>
          <w:bCs/>
          <w:smallCaps/>
          <w:sz w:val="20"/>
          <w:szCs w:val="20"/>
        </w:rPr>
        <w:t>:</w:t>
      </w:r>
      <w:r>
        <w:t xml:space="preserve"> Se ha calculado que la prevalencia de infección por HCV en la población general estadounidense es de 1.8%. La seroprevalencia es de 0.2% en </w:t>
      </w:r>
    </w:p>
    <w:p w14:paraId="01FE4EA4" w14:textId="77777777" w:rsidR="00093A32" w:rsidRDefault="00093A32">
      <w:pPr>
        <w:pStyle w:val="BodyText"/>
        <w:ind w:firstLine="0"/>
      </w:pPr>
      <w:r>
        <w:t>menores de 12 años y 0.4% en adolescentes de 12 a 19 años. La seroprevalencia varía de una población a otra según los factores de riesgo concomitantes.</w:t>
      </w:r>
    </w:p>
    <w:p w14:paraId="141B8E4C" w14:textId="77777777" w:rsidR="00093A32" w:rsidRDefault="00093A32">
      <w:pPr>
        <w:pStyle w:val="BodyText"/>
        <w:ind w:firstLine="360"/>
      </w:pPr>
      <w:r>
        <w:t>La infección se propaga más bien por exposición parenteral a sangre de sujetos infectados por HCV. Se ha calculado que el riesgo actual de infección por dicho virus después de transfusión de sangre en Estados Unidos es menor de un caso por millón de unidades transfundidas (cada unidad equivale a 450 ml), gracias a la exclusión de donantes de alto riesgo y de las unidades que tienen HCV mediante la práctica de métodos en busca de anticuerpos y detección sistemática de los “conjuntos” de unidades de sangre por alguna forma de amplificación de ácido nucleico (véase “Aspectos de seguridad en el uso de sangre y hemoderivados: disminución del riesgo de infecciones transmitidas en transfusiones”, sección 2). En Estados Unidos se ha sabido de un brote de HCV después del empleo de un concentrado de inmunoglobulina intravenosa (IGIV) contaminado. En la actualidad en ese país todos los concentrados comerciales de inmunoglobulinas intravenosas e intramusculares pasan por un método de inactivación del virus de hepatitis C, o se corrobora que no tienen RNA de dicha partícula antes de su distribución.</w:t>
      </w:r>
    </w:p>
    <w:p w14:paraId="002EAD3E" w14:textId="77777777" w:rsidR="00093A32" w:rsidRDefault="00093A32">
      <w:pPr>
        <w:pStyle w:val="BodyText"/>
        <w:ind w:firstLine="360"/>
      </w:pPr>
      <w:r>
        <w:t>Las mayores seroprevalencias de la infección por HCV (60 a 90%) se observan en personas con exposición percutánea directa, grande o repetitiva a la sangre o los hemoderivados, como serían los usuarios de drogas inyectables y hemofílicos tratados con concentrados del factor de coagulación producidos antes de 1987. Las prevalencias son moderadamente altas en sujetos con exposiciones percutáneas directas frecuentes pero pequeñas, como las personas sometidas a hemodiálisis (10 a 20%). Las prevalencias más bajas se detectan en individuos con exposiciones percutáneas o de mucosas, no manifiestas, como individuos con comportamiento sexual de alto riesgo (1 a 10%) y en sujetos con exposiciones percutáneas esporádicas, como los profesionales asistenciales (1%).</w:t>
      </w:r>
    </w:p>
    <w:p w14:paraId="19B8CD69" w14:textId="77777777" w:rsidR="00093A32" w:rsidRDefault="00093A32">
      <w:pPr>
        <w:pStyle w:val="BodyText"/>
        <w:ind w:firstLine="360"/>
      </w:pPr>
      <w:r>
        <w:t>Otros líquidos corporales contaminados con sangre infectada pueden ser el punto de partida de infecciones. La transmisión sexual en parejas monógamas es poco común, y surge infección sólo en 1.5% de los cónyuges sin otros factores de riesgo. Tampoco es frecuente la transmisión entre contactos familiares, pero puede surgir por exposición percutánea o de mucosas a la sangre, directa o no manifiesta. En el caso de casi todos los niños y adolescentes infectados no se identifica un origen específico de la infección.</w:t>
      </w:r>
    </w:p>
    <w:p w14:paraId="61ACFD3A" w14:textId="77777777" w:rsidR="00093A32" w:rsidRDefault="00093A32">
      <w:pPr>
        <w:pStyle w:val="BodyText"/>
        <w:ind w:firstLine="360"/>
      </w:pPr>
      <w:r>
        <w:t>Se ha calculado que la seroprevalencia en embarazadas estadounidenses va de 1 a 2%. El peligro de transmisión de madre a hijo (perinatal) es de 5 a 6%, en promedio, y la transmisión se observa sólo en mujeres que tienen RNA de HCV en el momento del parto. La infección concomitante de la embarazada con virus de inmunodeficiencia humana (VIH) se ha acompañado de un mayor peligro de transmisión perinatal del virus de hepatitis C, que depende en parte del título sérico de RNA de HCV de la gestante. Se han detectado en el calostro anticuerpos séricos contra HCV y el RNA de dicho virus, pero la transmisión de la partícula por la leche materna no se ha demostrado. La frecuencia de transmisión en pequeños amamantados por su madre ha sido la misma que entre lactantes que reciben fórmula láctea.</w:t>
      </w:r>
    </w:p>
    <w:p w14:paraId="447B783D" w14:textId="77777777" w:rsidR="00093A32" w:rsidRDefault="00093A32">
      <w:pPr>
        <w:pStyle w:val="BodyText"/>
        <w:ind w:firstLine="360"/>
      </w:pPr>
      <w:r>
        <w:t>Se pensará que toda persona con anticuerpos contra HCV o que tienen en su sangre el RNA de dicha partícula es infectante.</w:t>
      </w:r>
    </w:p>
    <w:p w14:paraId="4FC083DE" w14:textId="77777777" w:rsidR="00093A32" w:rsidRDefault="00093A32">
      <w:pPr>
        <w:pStyle w:val="BodyText"/>
        <w:ind w:firstLine="360"/>
        <w:sectPr w:rsidR="00093A32" w:rsidSect="00093A32">
          <w:headerReference w:type="even" r:id="rId372"/>
          <w:headerReference w:type="default" r:id="rId373"/>
          <w:footerReference w:type="even" r:id="rId374"/>
          <w:footerReference w:type="default" r:id="rId375"/>
          <w:footnotePr>
            <w:numFmt w:val="chicago"/>
          </w:footnotePr>
          <w:pgSz w:w="8501" w:h="13022"/>
          <w:pgMar w:top="888" w:right="798" w:bottom="514" w:left="819" w:header="0" w:footer="86" w:gutter="0"/>
          <w:pgNumType w:start="394"/>
          <w:cols w:space="720"/>
          <w:noEndnote/>
          <w:docGrid w:linePitch="360"/>
          <w15:footnoteColumns w:val="1"/>
        </w:sectPr>
      </w:pPr>
      <w:r>
        <w:t xml:space="preserve">El </w:t>
      </w:r>
      <w:r>
        <w:rPr>
          <w:b/>
          <w:bCs/>
        </w:rPr>
        <w:t xml:space="preserve">periodo de incubación </w:t>
      </w:r>
      <w:r>
        <w:t>de la hepatitis C (enfermedad) es de seis a siete semanas, en promedio, con límites de dos semanas a seis meses. El lapso que media desde la exposición hasta la aparición de la viremia suele ser de una a dos semanas.</w:t>
      </w:r>
    </w:p>
    <w:p w14:paraId="278FAEF8" w14:textId="77777777" w:rsidR="00093A32" w:rsidRDefault="00093A32">
      <w:pPr>
        <w:pStyle w:val="BodyText"/>
        <w:ind w:firstLine="0"/>
      </w:pPr>
      <w:r>
        <w:rPr>
          <w:b/>
          <w:bCs/>
        </w:rPr>
        <w:t>M</w:t>
      </w:r>
      <w:r>
        <w:rPr>
          <w:b/>
          <w:bCs/>
          <w:sz w:val="13"/>
          <w:szCs w:val="13"/>
        </w:rPr>
        <w:t>ÉTODOS DIAGNÓSTICOS</w:t>
      </w:r>
      <w:r>
        <w:rPr>
          <w:b/>
          <w:bCs/>
        </w:rPr>
        <w:t>:</w:t>
      </w:r>
      <w:r>
        <w:rPr>
          <w:b/>
          <w:bCs/>
        </w:rPr>
        <w:footnoteReference w:id="25"/>
      </w:r>
      <w:r>
        <w:rPr>
          <w:b/>
          <w:bCs/>
        </w:rPr>
        <w:t xml:space="preserve"> </w:t>
      </w:r>
      <w:r>
        <w:t xml:space="preserve">Los dos tipos principales de métodos para el diagnóstico de laboratorio de infecciones por HCV son las mediciones de anticuerpos en busca de anticuerpo contra HCV y estudios de ácido nucleico </w:t>
      </w:r>
      <w:r>
        <w:rPr>
          <w:i/>
          <w:iCs/>
        </w:rPr>
        <w:t>(</w:t>
      </w:r>
      <w:r>
        <w:rPr>
          <w:rFonts w:ascii="Times New Roman" w:eastAsia="Times New Roman" w:hAnsi="Times New Roman" w:cs="Times New Roman"/>
          <w:i/>
          <w:iCs/>
          <w:sz w:val="16"/>
          <w:szCs w:val="16"/>
        </w:rPr>
        <w:t>nucleic acid tests</w:t>
      </w:r>
      <w:r>
        <w:rPr>
          <w:i/>
          <w:iCs/>
        </w:rPr>
        <w:t>,</w:t>
      </w:r>
      <w:r>
        <w:t xml:space="preserve"> NAT) para detectar RNA de HCV. El diagnóstico por medio de los títulos de anticuerpos comprende la práctica de un inmunoanálisis enzimático inicial; la repetición de los resultados positivos se confirma por medio de inmunotransferencia recombinante </w:t>
      </w:r>
      <w:r>
        <w:rPr>
          <w:i/>
          <w:iCs/>
        </w:rPr>
        <w:t>(</w:t>
      </w:r>
      <w:r>
        <w:rPr>
          <w:rFonts w:ascii="Times New Roman" w:eastAsia="Times New Roman" w:hAnsi="Times New Roman" w:cs="Times New Roman"/>
          <w:i/>
          <w:iCs/>
          <w:sz w:val="16"/>
          <w:szCs w:val="16"/>
        </w:rPr>
        <w:t>recombinant immunoblot assay</w:t>
      </w:r>
      <w:r>
        <w:rPr>
          <w:i/>
          <w:iCs/>
        </w:rPr>
        <w:t>,</w:t>
      </w:r>
      <w:r>
        <w:t xml:space="preserve"> RIBA). Los dos métodos detectan el anticuerpo de inmunoglobulina (Ig) G; no se cuenta con métodos para valorar IgM. Los inmunoanálisis enzimáticos actuales tienen una sensibilidad mínima de 97% y especificidad mayor de 99%. Los resultados negativos falsos al comenzar la evolución de una infección aguda son consecuencia del intervalo prolongado entre la exposición y el comienzo de la enfermedad y la seroconversión. En término de 15 semanas de la exposición, y de cinco a seis semanas de haber comenzado la hepatitis, en 80% de los pacientes se detectarán anticuerpos séricos contra HCV. En productos que nacen de madres que tienen anticuerpos contra HCV, los anticuerpos adquiridos en forma pasiva de la madre persisten incluso 18 meses.</w:t>
      </w:r>
    </w:p>
    <w:p w14:paraId="4E383955" w14:textId="77777777" w:rsidR="00093A32" w:rsidRDefault="00093A32">
      <w:pPr>
        <w:pStyle w:val="BodyText"/>
        <w:ind w:firstLine="360"/>
      </w:pPr>
      <w:r>
        <w:t xml:space="preserve">Los NAT diagnósticos aprobados en Estados Unidos por la </w:t>
      </w:r>
      <w:r>
        <w:rPr>
          <w:rFonts w:ascii="Times New Roman" w:eastAsia="Times New Roman" w:hAnsi="Times New Roman" w:cs="Times New Roman"/>
          <w:i/>
          <w:iCs/>
          <w:sz w:val="16"/>
          <w:szCs w:val="16"/>
        </w:rPr>
        <w:t>Food and Drug Administration</w:t>
      </w:r>
      <w:r>
        <w:t xml:space="preserve"> (FDA) para la detección cualitativa de HCV utilizan la reacción en cadena de polimerasa-transcriptasa inversa </w:t>
      </w:r>
      <w:r>
        <w:rPr>
          <w:i/>
          <w:iCs/>
        </w:rPr>
        <w:t>(</w:t>
      </w:r>
      <w:r>
        <w:rPr>
          <w:rFonts w:ascii="Times New Roman" w:eastAsia="Times New Roman" w:hAnsi="Times New Roman" w:cs="Times New Roman"/>
          <w:i/>
          <w:iCs/>
          <w:sz w:val="16"/>
          <w:szCs w:val="16"/>
        </w:rPr>
        <w:t>reverse transcriptase-polymerase chain reaction</w:t>
      </w:r>
      <w:r>
        <w:t>, RT-PCR). Es posible detectar el RNA del virus de hepatitis C en suero o plasma, en término de una a dos semanas después de exposición al virus y semanas antes de que comiencen las anormalidades en las enzimas hepáticas o la aparición de anticuerpo contra HCV. En la práctica clínica se utilizan comúnmente los métodos para identificar RNA de HCV, como la cadena de polimerasa-transcriptasa inversa, en el diagnóstico inicial de la infección, para identificar la infección en lactantes desde los comienzos de la vida (transmisión perinatal), momento en que los anticuerpos séricos de la madre interfieren en la capacidad de detectar los anticuerpos producidos por el lactante, y para vigilar a pacientes que reciben antivíricos. Sin embargo, surgen resultados falsos positivos y negativos por el manejo y almacenamiento inadecuados y por la contaminación de las muestras de prueba. El RNA vírico puede detectarse en forma intermitente, por lo que un solo método con resultados negativos no es concluyente. Están a la disposición técnicas cuantitativas para medir la concentración de RNA de HCV. La utilidad clínica de estos métodos cuantitativos al parecer consiste más bien en que sirven como indicadores pronósticos de sujetos que reciben antivíricos o que están a punto de recibirlos.</w:t>
      </w:r>
    </w:p>
    <w:p w14:paraId="5DFC5887" w14:textId="77777777" w:rsidR="00093A32" w:rsidRDefault="00093A32">
      <w:pPr>
        <w:pStyle w:val="BodyText"/>
        <w:ind w:firstLine="0"/>
        <w:sectPr w:rsidR="00093A32" w:rsidSect="00093A32">
          <w:headerReference w:type="even" r:id="rId376"/>
          <w:headerReference w:type="default" r:id="rId377"/>
          <w:footerReference w:type="even" r:id="rId378"/>
          <w:footerReference w:type="default" r:id="rId379"/>
          <w:footnotePr>
            <w:numFmt w:val="chicago"/>
          </w:footnotePr>
          <w:pgSz w:w="8501" w:h="13022"/>
          <w:pgMar w:top="888" w:right="798" w:bottom="514" w:left="819" w:header="0" w:footer="86" w:gutter="0"/>
          <w:pgNumType w:start="455"/>
          <w:cols w:space="720"/>
          <w:noEndnote/>
          <w:docGrid w:linePitch="360"/>
          <w15:footnoteColumns w:val="1"/>
        </w:sectPr>
      </w:pPr>
      <w:r>
        <w:rPr>
          <w:b/>
          <w:bCs/>
        </w:rPr>
        <w:t>T</w:t>
      </w:r>
      <w:r>
        <w:rPr>
          <w:b/>
          <w:bCs/>
          <w:sz w:val="13"/>
          <w:szCs w:val="13"/>
        </w:rPr>
        <w:t>RATAMIENTO</w:t>
      </w:r>
      <w:r>
        <w:rPr>
          <w:b/>
          <w:bCs/>
        </w:rPr>
        <w:t xml:space="preserve">: </w:t>
      </w:r>
      <w:r>
        <w:t xml:space="preserve">En Estados Unidos, la FDA ha aprobado para tratar la hepatitis C crónica en adultos, el interferón alfa o el interferón alfa-2b pegilado solo, el interferón alfa en combinación con ribavirina o el interferón alfa-2a pegilado. El interferón alfa, solo, produjo una respuesta sostenida en 10 a 20% de los pacientes tratados; la forma pegilada alfa-2a y alfa-2b, que requiere la administración de una sola dosis a la semana, originó cifras de respuesta sostenida promedio de 39 y 25%, respectivamente. En pacientes con genotipo 1, que es la cepa más común en Estados Unidos, se han obtenido cifras menores de respuesta sostenida. La combinación con interferón alfa-2b y ribavirina originó una respuesta sostenida en 33% de pacientes infectados con el genotipo 1 y en cerca de 80% de los pacientes con genotipos 2 o 3. La terapia mixta </w:t>
      </w:r>
    </w:p>
    <w:p w14:paraId="34DD2D67" w14:textId="77777777" w:rsidR="00093A32" w:rsidRDefault="00093A32">
      <w:pPr>
        <w:pStyle w:val="BodyText"/>
        <w:ind w:firstLine="0"/>
      </w:pPr>
      <w:r>
        <w:t>con interferones pegilados produjo una respuesta mayor y sostenida, particularmente en personas con genotipo 1 (40%). No hay terapias aprobadas por FDA para personas menores de 18 años de vida. La escasa experiencia acumulada con la terapia a base de interferón alfa en niños sugiere eficacia semejante a la observada en adultos. Es importante que todo niño con enfermedad grave o signos patológicos histológicamente avanzados (necrosis multilobulillar confluyente o cirrosis activa) consulte con un especialista en el tratamiento de hepatitis C crónica.</w:t>
      </w:r>
    </w:p>
    <w:p w14:paraId="242393A6" w14:textId="77777777" w:rsidR="00093A32" w:rsidRDefault="00093A32">
      <w:pPr>
        <w:pStyle w:val="BodyText"/>
        <w:ind w:firstLine="360"/>
      </w:pPr>
      <w:r>
        <w:t>Los niños con hepatopatía crónica vinculada con ataque de HCV, si son susceptibles, deben ser vacunados contra los virus de hepatitis A y B.</w:t>
      </w:r>
    </w:p>
    <w:p w14:paraId="03E408DF" w14:textId="77777777" w:rsidR="00093A32" w:rsidRDefault="00093A32">
      <w:pPr>
        <w:pStyle w:val="BodyText"/>
        <w:spacing w:after="220" w:line="276" w:lineRule="auto"/>
        <w:ind w:firstLine="360"/>
      </w:pPr>
      <w:r>
        <w:rPr>
          <w:rFonts w:ascii="Arial" w:eastAsia="Arial" w:hAnsi="Arial" w:cs="Arial"/>
          <w:b/>
          <w:bCs/>
          <w:i/>
          <w:iCs/>
          <w:sz w:val="15"/>
          <w:szCs w:val="15"/>
        </w:rPr>
        <w:t>Tratamiento de la infección crónica por HCV.</w:t>
      </w:r>
      <w:r>
        <w:t xml:space="preserve"> Al tener más años, las personas que tienen infección crónica por HCV están en peligro de padecer hepatitis y sus complicaciones, como cirrosis y carcinoma hepatocelular primario. Sin embargo, sólo en adultos se han señalado casos de este tipo de carcinoma en personas con hepatitis C crónica. Es importante valorar periódicamente en busca de hepatitis crónica a todo niño con infección por largo tiempo, y para ello se medirán sus enzimas hepáticas en suero ante el posible riesgo a largo plazo de una hepatopatía crónica. No se han planteado recomendaciones definitivas sobre la frecuencia con que deberán hacerse los métodos de detección mencionados. Conviene que un gastroenterólogo se encargue del tratamiento ulterior de todo niño que en forma persistente muestra mayores concentraciones de transaminasa sérica. No se ha precisado la necesidad de medir la concentración de fetoproteína alfa ni de practicar ultrasonografía abdominal en niños. </w:t>
      </w: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5E350403" w14:textId="77777777" w:rsidR="00093A32" w:rsidRDefault="00093A32">
      <w:pPr>
        <w:pStyle w:val="Other0"/>
        <w:spacing w:line="240"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32E7DF5A" w14:textId="77777777" w:rsidR="00093A32" w:rsidRDefault="00093A32">
      <w:pPr>
        <w:pStyle w:val="Bodytext80"/>
        <w:rPr>
          <w:sz w:val="15"/>
          <w:szCs w:val="15"/>
        </w:rPr>
      </w:pPr>
      <w:r>
        <w:rPr>
          <w:b/>
          <w:bCs/>
          <w:i/>
          <w:iCs/>
          <w:sz w:val="15"/>
          <w:szCs w:val="15"/>
        </w:rPr>
        <w:t>Atención de personas expuestas</w:t>
      </w:r>
    </w:p>
    <w:p w14:paraId="047047A1" w14:textId="77777777" w:rsidR="00093A32" w:rsidRDefault="00093A32">
      <w:pPr>
        <w:pStyle w:val="BodyText"/>
        <w:spacing w:line="276" w:lineRule="auto"/>
        <w:ind w:firstLine="0"/>
      </w:pPr>
      <w:r>
        <w:rPr>
          <w:rFonts w:ascii="Times New Roman" w:eastAsia="Times New Roman" w:hAnsi="Times New Roman" w:cs="Times New Roman"/>
          <w:b/>
          <w:bCs/>
          <w:i/>
          <w:iCs/>
          <w:sz w:val="16"/>
          <w:szCs w:val="16"/>
        </w:rPr>
        <w:t>Inmunoprofilaxia.</w:t>
      </w:r>
      <w:r>
        <w:t xml:space="preserve"> El concentrado inmunoglobulínico se elabora a partir de plasma que no tiene anticuerpos contra HCV. Con base en datos de ineficacia en seres humanos, y los obtenidos de estudios en animales, no se recomienda utilizar el concentrado inmunoglobulínico para profilaxia después de exposición, contra la infección por virus de hepatitis C.</w:t>
      </w:r>
    </w:p>
    <w:p w14:paraId="6278AD59"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Amamantamiento.</w:t>
      </w:r>
      <w:r>
        <w:t xml:space="preserve"> Es importante notificar a las mujeres infectadas con HCV que no se ha corroborado que se transmita dicho virus por la leche materna. Según las directrices actuales de los </w:t>
      </w:r>
      <w:r>
        <w:rPr>
          <w:rFonts w:ascii="Times New Roman" w:eastAsia="Times New Roman" w:hAnsi="Times New Roman" w:cs="Times New Roman"/>
          <w:i/>
          <w:iCs/>
          <w:sz w:val="16"/>
          <w:szCs w:val="16"/>
        </w:rPr>
        <w:t>Centers for Disease Control and Prevention</w:t>
      </w:r>
      <w:r>
        <w:t xml:space="preserve"> (CDC), la infección de la madre por HCV no constituye una contraindicación para alimentar a su hijo al seno. Las mujeres que tienen HCV y deciden amamantar a su hijo deben pensar en que será mejor no hacerlo en caso de que haya grietas o pérdida de sangre por sus pezones.</w:t>
      </w:r>
    </w:p>
    <w:p w14:paraId="4A9F2292" w14:textId="77777777" w:rsidR="00093A32" w:rsidRDefault="00093A32">
      <w:pPr>
        <w:pStyle w:val="BodyText"/>
        <w:spacing w:line="290" w:lineRule="auto"/>
        <w:ind w:firstLine="360"/>
      </w:pPr>
      <w:r>
        <w:rPr>
          <w:rFonts w:ascii="Times New Roman" w:eastAsia="Times New Roman" w:hAnsi="Times New Roman" w:cs="Times New Roman"/>
          <w:b/>
          <w:bCs/>
          <w:i/>
          <w:iCs/>
          <w:sz w:val="16"/>
          <w:szCs w:val="16"/>
        </w:rPr>
        <w:t>Cuidados de niños.</w:t>
      </w:r>
      <w:r>
        <w:t xml:space="preserve"> No está indicada la exclusión de niños con infección por HCV de la atención infantil extrahogareña.</w:t>
      </w:r>
    </w:p>
    <w:p w14:paraId="55FE22D0" w14:textId="77777777" w:rsidR="00093A32" w:rsidRDefault="00093A32">
      <w:pPr>
        <w:pStyle w:val="Bodytext80"/>
        <w:rPr>
          <w:sz w:val="15"/>
          <w:szCs w:val="15"/>
        </w:rPr>
      </w:pPr>
      <w:r>
        <w:rPr>
          <w:b/>
          <w:bCs/>
          <w:i/>
          <w:iCs/>
          <w:sz w:val="15"/>
          <w:szCs w:val="15"/>
        </w:rPr>
        <w:t>Métodos serológicos para identificar infección por HCV</w:t>
      </w:r>
    </w:p>
    <w:p w14:paraId="118A755C" w14:textId="77777777" w:rsidR="00093A32" w:rsidRDefault="00093A32">
      <w:pPr>
        <w:pStyle w:val="BodyText"/>
        <w:spacing w:line="276" w:lineRule="auto"/>
        <w:ind w:firstLine="0"/>
        <w:sectPr w:rsidR="00093A32" w:rsidSect="00093A32">
          <w:headerReference w:type="even" r:id="rId380"/>
          <w:headerReference w:type="default" r:id="rId381"/>
          <w:footerReference w:type="even" r:id="rId382"/>
          <w:footerReference w:type="default" r:id="rId383"/>
          <w:footnotePr>
            <w:numFmt w:val="chicago"/>
          </w:footnotePr>
          <w:pgSz w:w="8501" w:h="13022"/>
          <w:pgMar w:top="888" w:right="798" w:bottom="514" w:left="819" w:header="0" w:footer="86" w:gutter="0"/>
          <w:pgNumType w:start="396"/>
          <w:cols w:space="720"/>
          <w:noEndnote/>
          <w:docGrid w:linePitch="360"/>
          <w15:footnoteColumns w:val="1"/>
        </w:sectPr>
      </w:pPr>
      <w:r>
        <w:rPr>
          <w:rFonts w:ascii="Times New Roman" w:eastAsia="Times New Roman" w:hAnsi="Times New Roman" w:cs="Times New Roman"/>
          <w:b/>
          <w:bCs/>
          <w:i/>
          <w:iCs/>
          <w:sz w:val="16"/>
          <w:szCs w:val="16"/>
        </w:rPr>
        <w:t>Personas con factores de riesgo de presentar la infección por HCV.</w:t>
      </w:r>
      <w:r>
        <w:t xml:space="preserve"> Es recomendable practicar sistemáticamente estudios serológicos en usuarios de drogas inyectables, antiguos o presentes, quienes hayan recibido una o más unidades de sangre o hemoderivados antes de julio de 1992, quienes hayan recibido un órgano sólido en trasplante antes de julio de 1992, las personas sometidas a hemodiálisis por largo tiempo, los individuos que han recibido concentrados de factores de coagulación producidos antes de 1987 y los sujetos con concentraciones persistentemente anormales de transaminasa de alanina </w:t>
      </w:r>
      <w:r>
        <w:rPr>
          <w:i/>
          <w:iCs/>
        </w:rPr>
        <w:t>(</w:t>
      </w:r>
      <w:r>
        <w:rPr>
          <w:rFonts w:ascii="Times New Roman" w:eastAsia="Times New Roman" w:hAnsi="Times New Roman" w:cs="Times New Roman"/>
          <w:i/>
          <w:iCs/>
          <w:sz w:val="16"/>
          <w:szCs w:val="16"/>
        </w:rPr>
        <w:t>alanine transaminase</w:t>
      </w:r>
      <w:r>
        <w:rPr>
          <w:i/>
          <w:iCs/>
        </w:rPr>
        <w:t>,</w:t>
      </w:r>
      <w:r>
        <w:t xml:space="preserve"> ALT).</w:t>
      </w:r>
    </w:p>
    <w:p w14:paraId="07C4FE33" w14:textId="77777777" w:rsidR="00093A32" w:rsidRDefault="00093A32">
      <w:pPr>
        <w:pStyle w:val="BodyText"/>
        <w:ind w:firstLine="360"/>
      </w:pPr>
      <w:r>
        <w:rPr>
          <w:rFonts w:ascii="Times New Roman" w:eastAsia="Times New Roman" w:hAnsi="Times New Roman" w:cs="Times New Roman"/>
          <w:b/>
          <w:bCs/>
          <w:i/>
          <w:iCs/>
          <w:sz w:val="16"/>
          <w:szCs w:val="16"/>
        </w:rPr>
        <w:t>Embarazadas.</w:t>
      </w:r>
      <w:r>
        <w:t xml:space="preserve"> No se recomienda la práctica sistemática de estudios serológicos en embarazadas para buscar infección por virus de hepatitis C.</w:t>
      </w:r>
    </w:p>
    <w:p w14:paraId="2B58B1B6"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Hijos de madres con infección por HCV.</w:t>
      </w:r>
      <w:r>
        <w:t xml:space="preserve"> Los hijos de mujeres identificadas previamente con infección por HCV deben ser sometidos a pruebas para detectarla porque en promedio 5% de ellos se contagiarán de tal cuadro. Dura unos 18 meses la presencia de anticuerpos maternos obtenidos en forma pasiva en los lactantes. Por tal motivo sólo se harán después de los 18 meses de vida las pruebas para valorar anticuerpos contra HCV. Si se desea un diagnóstico más temprano puede practicarse RT-PCR para buscar RNA de HCV en la primera visita de vigilancia del lactante cuando tiene uno a dos meses de edad o en fecha posterior.</w:t>
      </w:r>
    </w:p>
    <w:p w14:paraId="04A65C07"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Niños adoptados.</w:t>
      </w:r>
      <w:r>
        <w:t xml:space="preserve"> No es recomendable la práctica sistemática de métodos serológicos en niños adoptados, dentro de Estados Unidos o provenientes de otros países. Sin embargo, las pruebas en cuestión están indicadas si la madre biológica muestra un mayor peligro de tener la infección por HCV (véase “Valoración médica inicial de niños extranjeros adoptados, en busca de enfermedades infecciosas”, sección 2).</w:t>
      </w:r>
    </w:p>
    <w:p w14:paraId="7D2521E6"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Niños que reciben IGIV</w:t>
      </w:r>
      <w:r>
        <w:t xml:space="preserve"> En Estados Unidos, el Servicio de Salud Pública recomienda la práctica de pruebas serológicas para detectar anticuerpos contra HCV y la medición de las concentraciones de ALT a toda persona que recibió Gammagard (producida por Baxter Healthcare Corporation, Glendale, CA) entre el primero de abril de 1993 y 23 de febrero de 1994. Ante el peligro de que quizá no se detecten los anticuerpos contra HCV en personas inmunodeficientes, es recomendable practicar RT-PCR para buscar RNA de HCV en personas con mayores concentraciones de alanina transaminasa, que no mostraron la presencia de anticuerpos contra HCV al repetir las pruebas. No conviene someter a estudios a personas que han recibido otros productos de concentrados y de inmunoglobulina intravenosa.</w:t>
      </w:r>
    </w:p>
    <w:p w14:paraId="14927EF3" w14:textId="77777777" w:rsidR="00093A32" w:rsidRDefault="00093A32">
      <w:pPr>
        <w:pStyle w:val="BodyText"/>
        <w:spacing w:line="283" w:lineRule="auto"/>
        <w:ind w:firstLine="360"/>
      </w:pPr>
      <w:r>
        <w:rPr>
          <w:rFonts w:ascii="Arial" w:eastAsia="Arial" w:hAnsi="Arial" w:cs="Arial"/>
          <w:b/>
          <w:bCs/>
          <w:i/>
          <w:iCs/>
          <w:sz w:val="15"/>
          <w:szCs w:val="15"/>
        </w:rPr>
        <w:t>Orientación de personas con infección por HCV</w:t>
      </w:r>
      <w:r>
        <w:rPr>
          <w:i/>
          <w:iCs/>
        </w:rPr>
        <w:t>.</w:t>
      </w:r>
      <w:r>
        <w:t xml:space="preserve"> Se considerarán como infectantes a todas las personas con infección por HCV, a las cuales se les indicará la posibilidad de contagio a otros sujetos y se les impedirá donar sangre, órganos, tejidos o semen; tampoco deberán compartir cepillos dentales y maquinillas de rasurar.</w:t>
      </w:r>
    </w:p>
    <w:p w14:paraId="531CF6A2" w14:textId="77777777" w:rsidR="00093A32" w:rsidRDefault="00093A32">
      <w:pPr>
        <w:pStyle w:val="BodyText"/>
        <w:ind w:firstLine="360"/>
      </w:pPr>
      <w:r>
        <w:t>Es importante aconsejar a las personas infectadas que eviten el contacto con agentes hepatotóxicos, incluidos medicamentos; también se les informará de los peligros de la ingestión de alcohol. Los sujetos con hepatopatía crónica, de ser susceptibles, deben ser vacunados contra los virus de hepatitis A y B.</w:t>
      </w:r>
    </w:p>
    <w:p w14:paraId="192E9433" w14:textId="77777777" w:rsidR="00093A32" w:rsidRDefault="00093A32">
      <w:pPr>
        <w:pStyle w:val="BodyText"/>
        <w:ind w:firstLine="360"/>
      </w:pPr>
      <w:r>
        <w:t>No se recomienda modificaciones en las prácticas sexuales de personas infectadas pero que tienen un compañero o compañera fijo y permanente; sin embargo, se les señalarán los posibles riesgos y el uso de precauciones para evitar la transmisión. Conviene recomendar a personas con múltiples compañeros que disminuyan el número de ellos y utilicen condón para evitar la transmisión. No existen datos en pro de aconsejar a una mujer que no se embarace.</w:t>
      </w:r>
    </w:p>
    <w:p w14:paraId="2AF818DC" w14:textId="77777777" w:rsidR="00093A32" w:rsidRDefault="00093A32">
      <w:pPr>
        <w:pStyle w:val="BodyText"/>
        <w:spacing w:after="100"/>
        <w:ind w:firstLine="360"/>
      </w:pPr>
      <w:r>
        <w:t>La División de Hepatitis Vírica de los CDC cuenta con un número gratuito para información sobre la hepatitis vírica (1-888-4HEPCDC) y conserva una página Web (</w:t>
      </w:r>
      <w:hyperlink r:id="rId384" w:history="1">
        <w:r>
          <w:t>www.cdc.gov/hepatitis</w:t>
        </w:r>
      </w:hyperlink>
      <w:r>
        <w:t>) con información sobre tal enfermedad para profesionales asistenciales y el público, que comprende información específica para personas que recibieron transfusiones de sangre antes de 1992. También se puede obtener información de la página Web de los Institutos Nacionales de Salud, en Estados Unidos (</w:t>
      </w:r>
      <w:hyperlink r:id="rId385" w:history="1">
        <w:r>
          <w:t>www.niddk.nih.gov/health/digest/pubs/chrnhepc/chrnhepc.htm</w:t>
        </w:r>
      </w:hyperlink>
      <w:r>
        <w:t>).</w:t>
      </w:r>
    </w:p>
    <w:p w14:paraId="0ADE6978" w14:textId="77777777" w:rsidR="00093A32" w:rsidRDefault="00093A32">
      <w:pPr>
        <w:pStyle w:val="Bodytext70"/>
        <w:spacing w:after="0"/>
      </w:pPr>
      <w:r>
        <w:t>Hepatitis D</w:t>
      </w:r>
    </w:p>
    <w:p w14:paraId="1180E741" w14:textId="77777777" w:rsidR="00093A32" w:rsidRDefault="00093A32">
      <w:pPr>
        <w:pStyle w:val="BodyText"/>
        <w:spacing w:line="262" w:lineRule="auto"/>
        <w:ind w:firstLine="0"/>
      </w:pPr>
      <w:r>
        <w:rPr>
          <w:b/>
          <w:bCs/>
          <w:smallCaps/>
          <w:sz w:val="20"/>
          <w:szCs w:val="20"/>
        </w:rPr>
        <w:t>M</w:t>
      </w:r>
      <w:r>
        <w:rPr>
          <w:b/>
          <w:bCs/>
          <w:smallCaps/>
          <w:sz w:val="16"/>
          <w:szCs w:val="16"/>
        </w:rPr>
        <w:t>anifestaciones clínicas</w:t>
      </w:r>
      <w:r>
        <w:rPr>
          <w:b/>
          <w:bCs/>
          <w:smallCaps/>
          <w:sz w:val="20"/>
          <w:szCs w:val="20"/>
        </w:rPr>
        <w:t>:</w:t>
      </w:r>
      <w:r>
        <w:t xml:space="preserve"> El virus de hepatitis D </w:t>
      </w:r>
      <w:r>
        <w:rPr>
          <w:i/>
          <w:iCs/>
        </w:rPr>
        <w:t>(</w:t>
      </w:r>
      <w:r>
        <w:rPr>
          <w:rFonts w:ascii="Times New Roman" w:eastAsia="Times New Roman" w:hAnsi="Times New Roman" w:cs="Times New Roman"/>
          <w:i/>
          <w:iCs/>
          <w:sz w:val="16"/>
          <w:szCs w:val="16"/>
        </w:rPr>
        <w:t>hepatitis D virus</w:t>
      </w:r>
      <w:r>
        <w:rPr>
          <w:i/>
          <w:iCs/>
        </w:rPr>
        <w:t>,</w:t>
      </w:r>
      <w:r>
        <w:t xml:space="preserve"> HDV) origina inflamación del hígado sólo en personas con infección aguda o crónica con el virus de</w:t>
      </w:r>
    </w:p>
    <w:p w14:paraId="1934671B" w14:textId="77777777" w:rsidR="00093A32" w:rsidRDefault="00093A32">
      <w:pPr>
        <w:pStyle w:val="BodyText"/>
        <w:ind w:firstLine="360"/>
      </w:pPr>
      <w:r>
        <w:rPr>
          <w:rFonts w:ascii="Times New Roman" w:eastAsia="Times New Roman" w:hAnsi="Times New Roman" w:cs="Times New Roman"/>
          <w:b/>
          <w:bCs/>
          <w:i/>
          <w:iCs/>
          <w:sz w:val="16"/>
          <w:szCs w:val="16"/>
        </w:rPr>
        <w:t>Embarazadas.</w:t>
      </w:r>
      <w:r>
        <w:t xml:space="preserve"> No se recomienda la práctica sistemática de estudios serológicos en embarazadas para buscar infección por virus de hepatitis C.</w:t>
      </w:r>
    </w:p>
    <w:p w14:paraId="0A643D05"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Hijos de madres con infección por HCV.</w:t>
      </w:r>
      <w:r>
        <w:t xml:space="preserve"> Los hijos de mujeres identificadas previamente con infección por HCV deben ser sometidos a pruebas para detectarla porque en promedio 5% de ellos se contagiarán de tal cuadro. Dura unos 18 meses la presencia de anticuerpos maternos obtenidos en forma pasiva en los lactantes. Por tal motivo sólo se harán después de los 18 meses de vida las pruebas para valorar anticuerpos contra HCV. Si se desea un diagnóstico más temprano puede practicarse RT-PCR para buscar RNA de HCV en la primera visita de vigilancia del lactante cuando tiene uno a dos meses de edad o en fecha posterior.</w:t>
      </w:r>
    </w:p>
    <w:p w14:paraId="4285A3DC"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Niños adoptados.</w:t>
      </w:r>
      <w:r>
        <w:t xml:space="preserve"> No es recomendable la práctica sistemática de métodos serológicos en niños adoptados, dentro de Estados Unidos o provenientes de otros países. Sin embargo, las pruebas en cuestión están indicadas si la madre biológica muestra un mayor peligro de tener la infección por HCV (véase “Valoración médica inicial de niños extranjeros adoptados, en busca de enfermedades infecciosas”, sección 2).</w:t>
      </w:r>
    </w:p>
    <w:p w14:paraId="1BEC0DDC"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Niños que reciben IGIV</w:t>
      </w:r>
      <w:r>
        <w:t xml:space="preserve"> En Estados Unidos, el Servicio de Salud Pública recomienda la práctica de pruebas serológicas para detectar anticuerpos contra HCV y la medición de las concentraciones de ALT a toda persona que recibió Gammagard (producida por Baxter Healthcare Corporation, Glendale, CA) entre el primero de abril de 1993 y 23 de febrero de 1994. Ante el peligro de que quizá no se detecten los anticuerpos contra HCV en personas inmunodeficientes, es recomendable practicar RT-PCR para buscar RNA de HCV en personas con mayores concentraciones de alanina transaminasa, que no mostraron la presencia de anticuerpos contra HCV al repetir las pruebas. No conviene someter a estudios a personas que han recibido otros productos de concentrados y de inmunoglobulina intravenosa.</w:t>
      </w:r>
    </w:p>
    <w:p w14:paraId="49DC69B8" w14:textId="77777777" w:rsidR="00093A32" w:rsidRDefault="00093A32">
      <w:pPr>
        <w:pStyle w:val="BodyText"/>
        <w:spacing w:line="283" w:lineRule="auto"/>
        <w:ind w:firstLine="360"/>
      </w:pPr>
      <w:r>
        <w:rPr>
          <w:rFonts w:ascii="Arial" w:eastAsia="Arial" w:hAnsi="Arial" w:cs="Arial"/>
          <w:b/>
          <w:bCs/>
          <w:i/>
          <w:iCs/>
          <w:sz w:val="15"/>
          <w:szCs w:val="15"/>
        </w:rPr>
        <w:t>Orientación de personas con infección por HCV</w:t>
      </w:r>
      <w:r>
        <w:rPr>
          <w:i/>
          <w:iCs/>
        </w:rPr>
        <w:t>.</w:t>
      </w:r>
      <w:r>
        <w:t xml:space="preserve"> Se considerarán como infectantes a todas las personas con infección por HCV, a las cuales se les indicará la posibilidad de contagio a otros sujetos y se les impedirá donar sangre, órganos, tejidos o semen; tampoco deberán compartir cepillos dentales y maquinillas de rasurar.</w:t>
      </w:r>
    </w:p>
    <w:p w14:paraId="27D0858C" w14:textId="77777777" w:rsidR="00093A32" w:rsidRDefault="00093A32">
      <w:pPr>
        <w:pStyle w:val="BodyText"/>
        <w:ind w:firstLine="360"/>
      </w:pPr>
      <w:r>
        <w:t>Es importante aconsejar a las personas infectadas que eviten el contacto con agentes hepatotóxicos, incluidos medicamentos; también se les informará de los peligros de la ingestión de alcohol. Los sujetos con hepatopatía crónica, de ser susceptibles, deben ser vacunados contra los virus de hepatitis A y B.</w:t>
      </w:r>
    </w:p>
    <w:p w14:paraId="05A00D33" w14:textId="77777777" w:rsidR="00093A32" w:rsidRDefault="00093A32">
      <w:pPr>
        <w:pStyle w:val="BodyText"/>
        <w:ind w:firstLine="360"/>
      </w:pPr>
      <w:r>
        <w:t>No se recomienda modificaciones en las prácticas sexuales de personas infectadas pero que tienen un compañero o compañera fijo y permanente; sin embargo, se les señalarán los posibles riesgos y el uso de precauciones para evitar la transmisión. Conviene recomendar a personas con múltiples compañeros que disminuyan el número de ellos y utilicen condón para evitar la transmisión. No existen datos en pro de aconsejar a una mujer que no se embarace.</w:t>
      </w:r>
    </w:p>
    <w:p w14:paraId="68271FFD" w14:textId="77777777" w:rsidR="00093A32" w:rsidRDefault="00093A32">
      <w:pPr>
        <w:pStyle w:val="BodyText"/>
        <w:spacing w:after="100"/>
        <w:ind w:firstLine="360"/>
      </w:pPr>
      <w:r>
        <w:t>La División de Hepatitis Vírica de los CDC cuenta con un número gratuito para información sobre la hepatitis vírica (1-888-4HEPCDC) y conserva una página Web (</w:t>
      </w:r>
      <w:hyperlink r:id="rId386" w:history="1">
        <w:r>
          <w:t>www.cdc.gov/hepatitis</w:t>
        </w:r>
      </w:hyperlink>
      <w:r>
        <w:t>) con información sobre tal enfermedad para profesionales asistenciales y el público, que comprende información específica para personas que recibieron transfusiones de sangre antes de 1992. También se puede obtener información de la página Web de los Institutos Nacionales de Salud, en Estados Unidos (</w:t>
      </w:r>
      <w:hyperlink r:id="rId387" w:history="1">
        <w:r>
          <w:t>www.niddk.nih.gov/health/digest/pubs/chrnhepc/chrnhepc.htm</w:t>
        </w:r>
      </w:hyperlink>
      <w:r>
        <w:t>).</w:t>
      </w:r>
    </w:p>
    <w:p w14:paraId="40030B2C" w14:textId="77777777" w:rsidR="00093A32" w:rsidRDefault="00093A32">
      <w:pPr>
        <w:pStyle w:val="Bodytext70"/>
        <w:spacing w:after="0"/>
      </w:pPr>
      <w:r>
        <w:t>Hepatitis D</w:t>
      </w:r>
    </w:p>
    <w:p w14:paraId="4FD05DCA" w14:textId="77777777" w:rsidR="00093A32" w:rsidRDefault="00093A32">
      <w:pPr>
        <w:pStyle w:val="BodyText"/>
        <w:spacing w:line="262" w:lineRule="auto"/>
        <w:ind w:firstLine="0"/>
        <w:sectPr w:rsidR="00093A32" w:rsidSect="00093A32">
          <w:headerReference w:type="even" r:id="rId388"/>
          <w:headerReference w:type="default" r:id="rId389"/>
          <w:footerReference w:type="even" r:id="rId390"/>
          <w:footerReference w:type="default" r:id="rId391"/>
          <w:footnotePr>
            <w:numFmt w:val="chicago"/>
          </w:footnotePr>
          <w:pgSz w:w="8501" w:h="13022"/>
          <w:pgMar w:top="888" w:right="798" w:bottom="514" w:left="819" w:header="0" w:footer="86" w:gutter="0"/>
          <w:pgNumType w:start="457"/>
          <w:cols w:space="720"/>
          <w:noEndnote/>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El virus de hepatitis D </w:t>
      </w:r>
      <w:r>
        <w:rPr>
          <w:i/>
          <w:iCs/>
        </w:rPr>
        <w:t>(</w:t>
      </w:r>
      <w:r>
        <w:rPr>
          <w:rFonts w:ascii="Times New Roman" w:eastAsia="Times New Roman" w:hAnsi="Times New Roman" w:cs="Times New Roman"/>
          <w:i/>
          <w:iCs/>
          <w:sz w:val="16"/>
          <w:szCs w:val="16"/>
        </w:rPr>
        <w:t>hepatitis D virus</w:t>
      </w:r>
      <w:r>
        <w:rPr>
          <w:i/>
          <w:iCs/>
        </w:rPr>
        <w:t>,</w:t>
      </w:r>
      <w:r>
        <w:t xml:space="preserve"> HDV) origina inflamación del hígado sólo en personas con infección aguda o crónica con el virus de </w:t>
      </w:r>
    </w:p>
    <w:p w14:paraId="07AB012D" w14:textId="77777777" w:rsidR="00093A32" w:rsidRDefault="00093A32">
      <w:pPr>
        <w:pStyle w:val="BodyText"/>
        <w:spacing w:line="262" w:lineRule="auto"/>
        <w:ind w:firstLine="0"/>
      </w:pPr>
      <w:r>
        <w:t xml:space="preserve">hepatitis B </w:t>
      </w:r>
      <w:r>
        <w:rPr>
          <w:i/>
          <w:iCs/>
        </w:rPr>
        <w:t>(</w:t>
      </w:r>
      <w:r>
        <w:rPr>
          <w:rFonts w:ascii="Times New Roman" w:eastAsia="Times New Roman" w:hAnsi="Times New Roman" w:cs="Times New Roman"/>
          <w:i/>
          <w:iCs/>
          <w:sz w:val="16"/>
          <w:szCs w:val="16"/>
        </w:rPr>
        <w:t>hepatitis B virus</w:t>
      </w:r>
      <w:r>
        <w:rPr>
          <w:i/>
          <w:iCs/>
        </w:rPr>
        <w:t>,</w:t>
      </w:r>
      <w:r>
        <w:t xml:space="preserve"> HBV); el virus de hepatitis D necesita del virus de hepatitis B como auxiliador y no origina infección si no cuenta con su presencia. La importancia de la infección por HDV reside en su capacidad de transformar una infección asintomática crónica leve por HBV en otra fulminante o una enfermedad más grave o de evolución rápida. La infección aguda concomitante con HBV y HDV suele ocasionar un cuadro clínico prácticamente idéntico al de la infección aguda por HBV sola, excepto en que la posibilidad de hepatitis fulminante puede llegar a 5 por ciento. </w:t>
      </w:r>
      <w:r>
        <w:rPr>
          <w:b/>
          <w:bCs/>
        </w:rPr>
        <w:t>C</w:t>
      </w:r>
      <w:r>
        <w:rPr>
          <w:b/>
          <w:bCs/>
          <w:sz w:val="13"/>
          <w:szCs w:val="13"/>
        </w:rPr>
        <w:t>AUSAS</w:t>
      </w:r>
      <w:r>
        <w:rPr>
          <w:b/>
          <w:bCs/>
        </w:rPr>
        <w:t xml:space="preserve">: </w:t>
      </w:r>
      <w:r>
        <w:t xml:space="preserve">El virus de hepatitis D mide 36 a 43 nm de diámetro y consiste en un genoma de RNA y un antígeno proteínico delta, ambos recubiertos por el antígeno de superficie de hepatitis B </w:t>
      </w:r>
      <w:r>
        <w:rPr>
          <w:i/>
          <w:iCs/>
        </w:rPr>
        <w:t>(</w:t>
      </w:r>
      <w:r>
        <w:rPr>
          <w:rFonts w:ascii="Times New Roman" w:eastAsia="Times New Roman" w:hAnsi="Times New Roman" w:cs="Times New Roman"/>
          <w:i/>
          <w:iCs/>
          <w:sz w:val="16"/>
          <w:szCs w:val="16"/>
        </w:rPr>
        <w:t>hepatitis B surface antigen</w:t>
      </w:r>
      <w:r>
        <w:rPr>
          <w:i/>
          <w:iCs/>
        </w:rPr>
        <w:t>,</w:t>
      </w:r>
      <w:r>
        <w:t xml:space="preserve"> HBsAg).</w:t>
      </w:r>
    </w:p>
    <w:p w14:paraId="4658D950" w14:textId="77777777" w:rsidR="00093A32" w:rsidRDefault="00093A32">
      <w:pPr>
        <w:pStyle w:val="BodyText"/>
        <w:ind w:firstLine="0"/>
      </w:pPr>
      <w:r>
        <w:rPr>
          <w:b/>
          <w:bCs/>
        </w:rPr>
        <w:t>A</w:t>
      </w:r>
      <w:r>
        <w:rPr>
          <w:b/>
          <w:bCs/>
          <w:sz w:val="13"/>
          <w:szCs w:val="13"/>
        </w:rPr>
        <w:t>SPECTOS EPIDEMIOLÓGICOS</w:t>
      </w:r>
      <w:r>
        <w:rPr>
          <w:b/>
          <w:bCs/>
        </w:rPr>
        <w:t xml:space="preserve">: </w:t>
      </w:r>
      <w:r>
        <w:t>El virus de hepatitis D puede causar infección en forma simultánea a la del virus de hepatitis B (infección concomitante), o infectar a una persona con infección crónica (infección sobreañadida). El contagio del virus D es semejante al del B (por inoculación parenteral, percutánea o de mucosas). El virus de hepatitis D se transmite por sangre o hemoderivados, uso de drogas inyectables o contacto sexual durante el tiempo en que el paciente tenga la partícula en su sangre. Pocas veces se transmite de la madre al neonato. Puede haber contagio intrafamiliar en personas con infección crónica por dicho virus. Las zonas de mayor prevalencia incluyen el sur de Italia y algunas partes de Europa Oriental, América del Sur, África y el Cercano Oriente. A diferencia de la infección por HBV, la causada por HDV es poco común en el Lejano Oriente. En Estados Unidos, la infección por HDV surge más bien en quienes abusan de drogas parenterales, hemofílicos y personas que han provenido desde áreas endémicas como migrantes.</w:t>
      </w:r>
    </w:p>
    <w:p w14:paraId="5995B438" w14:textId="77777777" w:rsidR="00093A32" w:rsidRDefault="00093A32">
      <w:pPr>
        <w:pStyle w:val="BodyText"/>
        <w:ind w:firstLine="360"/>
        <w:jc w:val="both"/>
      </w:pPr>
      <w:r>
        <w:t xml:space="preserve">El </w:t>
      </w:r>
      <w:r>
        <w:rPr>
          <w:b/>
          <w:bCs/>
        </w:rPr>
        <w:t xml:space="preserve">periodo de incubación </w:t>
      </w:r>
      <w:r>
        <w:t>para la infección sobreañadida por HDV, tal como se ha calculado después de inoculación en animales, es de dos a ocho semanas. Cuando hay infección simultánea de los virus B y D, el periodo de incubación es semejante al de la hepatitis B (45 a 160 días; promedio, 90 días).</w:t>
      </w:r>
    </w:p>
    <w:p w14:paraId="5F2FA03C" w14:textId="77777777" w:rsidR="00093A32" w:rsidRDefault="00093A32">
      <w:pPr>
        <w:pStyle w:val="BodyText"/>
        <w:ind w:firstLine="0"/>
      </w:pPr>
      <w:r>
        <w:rPr>
          <w:b/>
          <w:bCs/>
        </w:rPr>
        <w:t>M</w:t>
      </w:r>
      <w:r>
        <w:rPr>
          <w:b/>
          <w:bCs/>
          <w:sz w:val="13"/>
          <w:szCs w:val="13"/>
        </w:rPr>
        <w:t>ÉTODOS DIAGNÓSTICOS</w:t>
      </w:r>
      <w:r>
        <w:rPr>
          <w:b/>
          <w:bCs/>
        </w:rPr>
        <w:t xml:space="preserve">: </w:t>
      </w:r>
      <w:r>
        <w:t xml:space="preserve">En el comercio se cuenta con técnicas de radioinmunoensayo y inmunoanálisis enzimático para detectar anticuerpos contra HDV. Dicho tipo de anticuerpos quizá no aparezca antes de varias semanas de haber comenzado la enfermedad, y se necesitan sueros de fase aguda y de convalecencia para confirmar el diagnóstico. Por lo regular se diferencia la infección concomitante de la infección sobreañadida con HBV al emplear métodos para detectar el anticuerpo inmunoglobulina (Ig) M contra el antígeno central de hepatitis B </w:t>
      </w:r>
      <w:r>
        <w:rPr>
          <w:i/>
          <w:iCs/>
        </w:rPr>
        <w:t>(</w:t>
      </w:r>
      <w:r>
        <w:rPr>
          <w:rFonts w:ascii="Times New Roman" w:eastAsia="Times New Roman" w:hAnsi="Times New Roman" w:cs="Times New Roman"/>
          <w:i/>
          <w:iCs/>
          <w:sz w:val="16"/>
          <w:szCs w:val="16"/>
        </w:rPr>
        <w:t>hepatitis B core antibody</w:t>
      </w:r>
      <w:r>
        <w:rPr>
          <w:i/>
          <w:iCs/>
        </w:rPr>
        <w:t>,</w:t>
      </w:r>
      <w:r>
        <w:t xml:space="preserve"> anti-HBc); si no se detecta dicho anticuerpo, ello sugiere que la persona con una infección crónica por HBV tiene una infección sobreañadida. La valoración de la respuesta de anticuerpos IgM contra HDV no ayuda a distinguir entre las infecciones aguda y crónica por dicho virus porque el anticuerpo IgM contra él persiste durante la infección crónica. Los métodos para identificar anticuerpo IgM contra HDV, antígeno de hepatitis D (HD) y el RNA de HDV están en fase experimental.</w:t>
      </w:r>
    </w:p>
    <w:p w14:paraId="4122FA1C" w14:textId="77777777" w:rsidR="00093A32" w:rsidRDefault="00093A32">
      <w:pPr>
        <w:pStyle w:val="BodyText"/>
        <w:ind w:firstLine="0"/>
      </w:pPr>
      <w:r>
        <w:rPr>
          <w:b/>
          <w:bCs/>
        </w:rPr>
        <w:t>T</w:t>
      </w:r>
      <w:r>
        <w:rPr>
          <w:b/>
          <w:bCs/>
          <w:sz w:val="13"/>
          <w:szCs w:val="13"/>
        </w:rPr>
        <w:t>RATAMIENTO</w:t>
      </w:r>
      <w:r>
        <w:rPr>
          <w:b/>
          <w:bCs/>
        </w:rPr>
        <w:t xml:space="preserve">: </w:t>
      </w:r>
      <w:r>
        <w:t>De sostén.</w:t>
      </w:r>
    </w:p>
    <w:p w14:paraId="75E1D59E"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73CCF93E" w14:textId="77777777" w:rsidR="00093A32" w:rsidRDefault="00093A32">
      <w:pPr>
        <w:pStyle w:val="BodyText"/>
        <w:ind w:firstLine="0"/>
      </w:pPr>
      <w:r>
        <w:rPr>
          <w:b/>
          <w:bCs/>
        </w:rPr>
        <w:t>M</w:t>
      </w:r>
      <w:r>
        <w:rPr>
          <w:b/>
          <w:bCs/>
          <w:sz w:val="13"/>
          <w:szCs w:val="13"/>
        </w:rPr>
        <w:t>EDIDAS PREVENTIVAS</w:t>
      </w:r>
      <w:r>
        <w:rPr>
          <w:b/>
          <w:bCs/>
        </w:rPr>
        <w:t xml:space="preserve">: </w:t>
      </w:r>
      <w:r>
        <w:t>Están indicadas las mismas medidas de control y preventivas que se usan para la infección por HBV. En ausencia de infección por HBV no se transmite HDV; por lo tanto, la vacunación contra hepatitis B protege contra la infección por HDV. Los sujetos con infección crónica por HBV deben tener enorme cuidado de no exponerse a virus de hepatitis D.</w:t>
      </w:r>
    </w:p>
    <w:p w14:paraId="1982C0A1" w14:textId="77777777" w:rsidR="00093A32" w:rsidRDefault="00093A32">
      <w:pPr>
        <w:pStyle w:val="Bodytext70"/>
        <w:spacing w:after="0"/>
      </w:pPr>
      <w:r>
        <w:t>Hepatitis E</w:t>
      </w:r>
    </w:p>
    <w:p w14:paraId="482492C4" w14:textId="77777777" w:rsidR="00093A32" w:rsidRDefault="00093A32">
      <w:pPr>
        <w:pStyle w:val="BodyText"/>
        <w:ind w:firstLine="0"/>
      </w:pPr>
      <w:r>
        <w:rPr>
          <w:b/>
          <w:bCs/>
        </w:rPr>
        <w:t>M</w:t>
      </w:r>
      <w:r>
        <w:rPr>
          <w:b/>
          <w:bCs/>
          <w:sz w:val="13"/>
          <w:szCs w:val="13"/>
        </w:rPr>
        <w:t>ANIFESTACIONES CLÍNICAS</w:t>
      </w:r>
      <w:r>
        <w:rPr>
          <w:b/>
          <w:bCs/>
        </w:rPr>
        <w:t xml:space="preserve">: </w:t>
      </w:r>
      <w:r>
        <w:t>La infección por hepatitis E es una enfermedad aguda cuyos síntomas incluyen ictericia, malestar general, anorexia, fiebre, dolor abdominal y artralgias. También se observan casos de infección subclínica.</w:t>
      </w:r>
    </w:p>
    <w:p w14:paraId="3E1F3E79" w14:textId="77777777" w:rsidR="00093A32" w:rsidRDefault="00093A32">
      <w:pPr>
        <w:pStyle w:val="BodyText"/>
        <w:ind w:firstLine="0"/>
      </w:pPr>
      <w:r>
        <w:rPr>
          <w:b/>
          <w:bCs/>
        </w:rPr>
        <w:t>C</w:t>
      </w:r>
      <w:r>
        <w:rPr>
          <w:b/>
          <w:bCs/>
          <w:sz w:val="13"/>
          <w:szCs w:val="13"/>
        </w:rPr>
        <w:t>AUSAS</w:t>
      </w:r>
      <w:r>
        <w:rPr>
          <w:b/>
          <w:bCs/>
        </w:rPr>
        <w:t xml:space="preserve">: </w:t>
      </w:r>
      <w:r>
        <w:t xml:space="preserve">El virus de hepatitis E </w:t>
      </w:r>
      <w:r>
        <w:rPr>
          <w:i/>
          <w:iCs/>
        </w:rPr>
        <w:t>(</w:t>
      </w:r>
      <w:r>
        <w:rPr>
          <w:rFonts w:ascii="Times New Roman" w:eastAsia="Times New Roman" w:hAnsi="Times New Roman" w:cs="Times New Roman"/>
          <w:i/>
          <w:iCs/>
          <w:sz w:val="16"/>
          <w:szCs w:val="16"/>
        </w:rPr>
        <w:t>hepatitis E virus</w:t>
      </w:r>
      <w:r>
        <w:rPr>
          <w:i/>
          <w:iCs/>
        </w:rPr>
        <w:t>,</w:t>
      </w:r>
      <w:r>
        <w:t xml:space="preserve"> HEV) es un virus de RNA de filamento positivo, sin cubierta y esférico, y es el único agente conocido de hepatitis transmitida por mecanismos entéricos no-A ni-B. Anteriormente se clasificaba el virus de hepatitis E dentro de la familia Caliciviridae, género </w:t>
      </w:r>
      <w:r>
        <w:rPr>
          <w:rFonts w:ascii="Times New Roman" w:eastAsia="Times New Roman" w:hAnsi="Times New Roman" w:cs="Times New Roman"/>
          <w:i/>
          <w:iCs/>
          <w:sz w:val="16"/>
          <w:szCs w:val="16"/>
        </w:rPr>
        <w:t>Calicivirus</w:t>
      </w:r>
      <w:r>
        <w:rPr>
          <w:i/>
          <w:iCs/>
        </w:rPr>
        <w:t>;</w:t>
      </w:r>
      <w:r>
        <w:t xml:space="preserve"> sin embargo, se ha hecho una reasignación para colocarlo dentro del género “no asignado” de virus similares a hepatitis E, porque HEV posee algunas características que lo diferencian de los calicivirus típicos.</w:t>
      </w:r>
    </w:p>
    <w:p w14:paraId="4FAC768E" w14:textId="77777777" w:rsidR="00093A32" w:rsidRDefault="00093A32">
      <w:pPr>
        <w:pStyle w:val="BodyText"/>
        <w:ind w:firstLine="0"/>
      </w:pPr>
      <w:r>
        <w:rPr>
          <w:b/>
          <w:bCs/>
        </w:rPr>
        <w:t>A</w:t>
      </w:r>
      <w:r>
        <w:rPr>
          <w:b/>
          <w:bCs/>
          <w:sz w:val="13"/>
          <w:szCs w:val="13"/>
        </w:rPr>
        <w:t>SPECTOS EPIDEMIOLÓGICOS</w:t>
      </w:r>
      <w:r>
        <w:rPr>
          <w:b/>
          <w:bCs/>
        </w:rPr>
        <w:t xml:space="preserve">: </w:t>
      </w:r>
      <w:r>
        <w:t>El contagio del virus se hace por la vía fecal-oral.</w:t>
      </w:r>
    </w:p>
    <w:p w14:paraId="264D142F" w14:textId="77777777" w:rsidR="00093A32" w:rsidRDefault="00093A32">
      <w:pPr>
        <w:pStyle w:val="BodyText"/>
        <w:ind w:firstLine="0"/>
      </w:pPr>
      <w:r>
        <w:t>La enfermedad es más común en adultos que en niños y tiene un índice extraordinariamente alto de letalidad en embarazadas. Se han notificado casos en epidemias o de manera esporádica en zonas de Asia, África y México. Los brotes por lo común dependieron de la ingestión de agua contaminada. En Estados Unidos rara vez se ha notificado la infección por el virus de hepatitis E, y casi todos los casos publicados se han observado en viajeros que van a regiones endémicas. Sin embargo, se han señalado casos de infección aguda por este virus, corroborada al aislar la “cepa estadounidense” de él en personas sin el antecedente reciente de haber viajado fuera de dicho país. La identificación de un virus porcino en Estados Unidos muy similar a HEV humano plantea la posibilidad de que exista un reservorio zoonótico del virus. Se desconoce el periodo de transmisibilidad después de infección aguda, pero durante dos semanas comúnmente hay dispersión del virus por las heces y viremia. Al parecer no se produce la infección crónica.</w:t>
      </w:r>
    </w:p>
    <w:p w14:paraId="760C0671"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de infección aguda por HEV se hace al detectar el anticuerpo inmunoglobulina (Ig) M contra HEV (anti-HEV) en suero, o al detectar el RNA de la partícula por reacción en cadena de polimerasa-transcriptasa inversa en muestras de suero o excremento. En laboratorios de investigación y comerciales se practican los métodos basados en la reacción en cadena de polimerasa-transcriptasa inversa y también los serológicos, para el diagnóstico de infección aguda por HEV. Sin embargo, ninguno de tales procedimientos ha recibido la aprobación de la </w:t>
      </w:r>
      <w:r>
        <w:rPr>
          <w:rFonts w:ascii="Times New Roman" w:eastAsia="Times New Roman" w:hAnsi="Times New Roman" w:cs="Times New Roman"/>
          <w:i/>
          <w:iCs/>
          <w:sz w:val="16"/>
          <w:szCs w:val="16"/>
        </w:rPr>
        <w:t>Food and Drug Administration</w:t>
      </w:r>
      <w:r>
        <w:t xml:space="preserve"> para tal finalidad. Los criterios de los CDC para considerar si es necesario someter a prueba una muestra de suero de fase aguda para buscar signos de infección por HEV incluyen un cuadro clínico de comienzo poco preciso con ictericia o una concentración de transaminasa de alanina sérica cuando menos 2.5 veces mayor que el límite superior de los resultados normales y negativos para búsqueda de anticuerpo IgM contra el virus de hepatitis A, anticuerpo IgM contra el antígeno central de hepatitis B y el anticuerpo contra el virus de hepatitis C.</w:t>
      </w:r>
    </w:p>
    <w:p w14:paraId="4660262B" w14:textId="77777777" w:rsidR="00093A32" w:rsidRDefault="00093A32">
      <w:pPr>
        <w:pStyle w:val="BodyText"/>
        <w:spacing w:line="257" w:lineRule="auto"/>
        <w:ind w:firstLine="0"/>
      </w:pPr>
      <w:r>
        <w:rPr>
          <w:b/>
          <w:bCs/>
          <w:smallCaps/>
          <w:sz w:val="20"/>
          <w:szCs w:val="20"/>
        </w:rPr>
        <w:t>T</w:t>
      </w:r>
      <w:r>
        <w:rPr>
          <w:b/>
          <w:bCs/>
          <w:smallCaps/>
          <w:sz w:val="16"/>
          <w:szCs w:val="16"/>
        </w:rPr>
        <w:t>ratamiento</w:t>
      </w:r>
      <w:r>
        <w:rPr>
          <w:b/>
          <w:bCs/>
          <w:smallCaps/>
          <w:sz w:val="20"/>
          <w:szCs w:val="20"/>
        </w:rPr>
        <w:t>:</w:t>
      </w:r>
      <w:r>
        <w:t xml:space="preserve"> De sostén.</w:t>
      </w:r>
    </w:p>
    <w:p w14:paraId="71A5290B"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w:t>
      </w:r>
    </w:p>
    <w:p w14:paraId="68247AA3" w14:textId="77777777" w:rsidR="00093A32" w:rsidRDefault="00093A32">
      <w:pPr>
        <w:pStyle w:val="BodyText"/>
        <w:ind w:firstLine="0"/>
      </w:pPr>
      <w:r>
        <w:rPr>
          <w:b/>
          <w:bCs/>
        </w:rPr>
        <w:t>M</w:t>
      </w:r>
      <w:r>
        <w:rPr>
          <w:b/>
          <w:bCs/>
          <w:sz w:val="13"/>
          <w:szCs w:val="13"/>
        </w:rPr>
        <w:t>EDIDAS PREVENTIVAS</w:t>
      </w:r>
      <w:r>
        <w:rPr>
          <w:b/>
          <w:bCs/>
        </w:rPr>
        <w:t xml:space="preserve">: </w:t>
      </w:r>
      <w:r>
        <w:t>Entre las medidas más eficaces están practicar una higiene satisfactoria y no ingerir alimentos y agua posiblemente contaminados. En Estados Unidos, no ha sido eficaz la inmunoprofilaxia pasiva con concentrado inmunoglobulínico.</w:t>
      </w:r>
    </w:p>
    <w:p w14:paraId="5A81B1EE" w14:textId="77777777" w:rsidR="00093A32" w:rsidRDefault="00093A32">
      <w:pPr>
        <w:pStyle w:val="Bodytext70"/>
        <w:spacing w:after="0"/>
      </w:pPr>
      <w:r>
        <w:t>Hepatitis G</w:t>
      </w:r>
    </w:p>
    <w:p w14:paraId="3C93D4D2"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virus de hepatitis G </w:t>
      </w:r>
      <w:r>
        <w:rPr>
          <w:i/>
          <w:iCs/>
        </w:rPr>
        <w:t>(</w:t>
      </w:r>
      <w:r>
        <w:rPr>
          <w:rFonts w:ascii="Times New Roman" w:eastAsia="Times New Roman" w:hAnsi="Times New Roman" w:cs="Times New Roman"/>
          <w:i/>
          <w:iCs/>
          <w:sz w:val="16"/>
          <w:szCs w:val="16"/>
        </w:rPr>
        <w:t>hepatitis G virus</w:t>
      </w:r>
      <w:r>
        <w:rPr>
          <w:i/>
          <w:iCs/>
        </w:rPr>
        <w:t>,</w:t>
      </w:r>
      <w:r>
        <w:t xml:space="preserve"> HGV), conocido también como virus de hepatitis GB (GBV-C), puede causar infección crónica y viremia, pero en estudios con dicho agente y otros más supuestos de la hepatitis “no-ABCDE” (es decir, virus transmitido por transfusión </w:t>
      </w:r>
      <w:r>
        <w:rPr>
          <w:i/>
          <w:iCs/>
        </w:rPr>
        <w:t>[</w:t>
      </w:r>
      <w:r>
        <w:rPr>
          <w:rFonts w:ascii="Times New Roman" w:eastAsia="Times New Roman" w:hAnsi="Times New Roman" w:cs="Times New Roman"/>
          <w:i/>
          <w:iCs/>
          <w:sz w:val="16"/>
          <w:szCs w:val="16"/>
        </w:rPr>
        <w:t>transfusion- transmitted</w:t>
      </w:r>
      <w:r>
        <w:t xml:space="preserve"> virus, TTV] virus SEN [SEN-V]) no se ha demostrado un vínculo con la hepatopatía aguda, fulminante o crónica. En la sangre se han identificado concentraciones altas de RNA de HGV, pero no se ha demostrado que el hígado sea el sitio de la réplica. Al parecer la infección concomitante con virus de hepatitis G no modifica la evolución ni la intensidad de la infección concomitante con virus de hepatitis B </w:t>
      </w:r>
      <w:r>
        <w:rPr>
          <w:i/>
          <w:iCs/>
        </w:rPr>
        <w:t>(</w:t>
      </w:r>
      <w:r>
        <w:rPr>
          <w:rFonts w:ascii="Times New Roman" w:eastAsia="Times New Roman" w:hAnsi="Times New Roman" w:cs="Times New Roman"/>
          <w:i/>
          <w:iCs/>
          <w:sz w:val="16"/>
          <w:szCs w:val="16"/>
        </w:rPr>
        <w:t>hepatitis B virus</w:t>
      </w:r>
      <w:r>
        <w:rPr>
          <w:i/>
          <w:iCs/>
        </w:rPr>
        <w:t>,</w:t>
      </w:r>
      <w:r>
        <w:t xml:space="preserve"> HBV) o C </w:t>
      </w:r>
      <w:r>
        <w:rPr>
          <w:i/>
          <w:iCs/>
        </w:rPr>
        <w:t>(</w:t>
      </w:r>
      <w:r>
        <w:rPr>
          <w:rFonts w:ascii="Times New Roman" w:eastAsia="Times New Roman" w:hAnsi="Times New Roman" w:cs="Times New Roman"/>
          <w:i/>
          <w:iCs/>
          <w:sz w:val="16"/>
          <w:szCs w:val="16"/>
        </w:rPr>
        <w:t>hepatitis C virus</w:t>
      </w:r>
      <w:r>
        <w:rPr>
          <w:i/>
          <w:iCs/>
        </w:rPr>
        <w:t>,</w:t>
      </w:r>
      <w:r>
        <w:t xml:space="preserve"> HCV), pero se le ha vinculado con menor índice de mortalidad en individuos que también tienen infección por virus de inmunodeficiencia humana.</w:t>
      </w:r>
    </w:p>
    <w:p w14:paraId="0E586292" w14:textId="77777777" w:rsidR="00093A32" w:rsidRDefault="00093A32">
      <w:pPr>
        <w:pStyle w:val="BodyText"/>
        <w:ind w:firstLine="0"/>
      </w:pPr>
      <w:r>
        <w:rPr>
          <w:b/>
          <w:bCs/>
        </w:rPr>
        <w:t>C</w:t>
      </w:r>
      <w:r>
        <w:rPr>
          <w:b/>
          <w:bCs/>
          <w:sz w:val="13"/>
          <w:szCs w:val="13"/>
        </w:rPr>
        <w:t>AUSAS</w:t>
      </w:r>
      <w:r>
        <w:rPr>
          <w:b/>
          <w:bCs/>
        </w:rPr>
        <w:t xml:space="preserve">: </w:t>
      </w:r>
      <w:r>
        <w:t>El virus de hepatitis G tiene RNA monofilamentoso que está incluido en la familia de los Flaviviridae y comparte 27% de homología con HCV. No se ha aislado aún el virus comentado.</w:t>
      </w:r>
    </w:p>
    <w:p w14:paraId="6FCA2C30" w14:textId="77777777" w:rsidR="00093A32" w:rsidRDefault="00093A3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En todo el mundo se han señalado casos de hepatitis por virus G en adultos y niños, y se le ha detectado en cerca de 1.5% de los donantes de sangre en Estados Unidos. Se ha notificado la infección en 10 a 20% de adultos con infección crónica por HBV o HCV, y la infección coexistente surge más a menudo entre quienes se inyectan drogas. El mecanismo primario de propagación es la exposición percutánea directa a la sangre, que incluye transfusiones de órganos trasplantados obtenidos de donantes infectados y el uso de drogas inyectables. Se ha corroborado la transmisión en personas sometidas a hemodiálisis y de madres a recién nacidos. También puede haber transmisión sexual. Los lactantes y los niños infectados pueden mostrar viremia persistente, pero no se ha observado un vínculo con la enfermedad.</w:t>
      </w:r>
    </w:p>
    <w:p w14:paraId="3A0E33A2" w14:textId="77777777" w:rsidR="00093A32" w:rsidRDefault="00093A32">
      <w:pPr>
        <w:pStyle w:val="BodyText"/>
        <w:ind w:firstLine="360"/>
      </w:pPr>
      <w:r>
        <w:t xml:space="preserve">Se desconoce el </w:t>
      </w:r>
      <w:r>
        <w:rPr>
          <w:b/>
          <w:bCs/>
        </w:rPr>
        <w:t>periodo de incubación.</w:t>
      </w:r>
    </w:p>
    <w:p w14:paraId="4DDFB3FA" w14:textId="77777777" w:rsidR="00093A32" w:rsidRDefault="00093A32">
      <w:pPr>
        <w:pStyle w:val="BodyText"/>
        <w:ind w:firstLine="0"/>
      </w:pPr>
      <w:r>
        <w:rPr>
          <w:b/>
          <w:bCs/>
        </w:rPr>
        <w:t>M</w:t>
      </w:r>
      <w:r>
        <w:rPr>
          <w:b/>
          <w:bCs/>
          <w:sz w:val="13"/>
          <w:szCs w:val="13"/>
        </w:rPr>
        <w:t>ÉTODOS DIAGNÓSTICOS</w:t>
      </w:r>
      <w:r>
        <w:rPr>
          <w:b/>
          <w:bCs/>
        </w:rPr>
        <w:t xml:space="preserve">: </w:t>
      </w:r>
      <w:r>
        <w:t>En personas con infección crónica se puede diagnosticar el ataque del virus HGV al detectar su RNA por la reacción en cadena de polimerasa. En individuos en los que la infección ha mostrado resolución, se detectan sólo anticuerpos contra HGV. No se distribuye en el comercio ninguna prueba a base de ácido nucleico ni de tipo serológico.</w:t>
      </w:r>
    </w:p>
    <w:p w14:paraId="1A086DC4" w14:textId="77777777" w:rsidR="00093A32" w:rsidRDefault="00093A32">
      <w:pPr>
        <w:pStyle w:val="BodyText"/>
        <w:ind w:firstLine="0"/>
      </w:pPr>
      <w:r>
        <w:rPr>
          <w:b/>
          <w:bCs/>
        </w:rPr>
        <w:t>T</w:t>
      </w:r>
      <w:r>
        <w:rPr>
          <w:b/>
          <w:bCs/>
          <w:sz w:val="13"/>
          <w:szCs w:val="13"/>
        </w:rPr>
        <w:t>RATAMIENTO</w:t>
      </w:r>
      <w:r>
        <w:rPr>
          <w:b/>
          <w:bCs/>
        </w:rPr>
        <w:t xml:space="preserve">: </w:t>
      </w:r>
      <w:r>
        <w:t>No se cuenta con ningún tratamiento ni está indicado.</w:t>
      </w:r>
    </w:p>
    <w:p w14:paraId="5067B9EA" w14:textId="77777777" w:rsidR="00093A32" w:rsidRDefault="00093A32">
      <w:pPr>
        <w:pStyle w:val="BodyText"/>
        <w:spacing w:after="100"/>
        <w:ind w:firstLine="0"/>
      </w:pPr>
      <w:r>
        <w:t xml:space="preserve">Aislamiento del paciente hospitalizado: Se recomienda seguir las precauciones estándar. </w:t>
      </w:r>
      <w:r>
        <w:rPr>
          <w:b/>
          <w:bCs/>
        </w:rPr>
        <w:t>M</w:t>
      </w:r>
      <w:r>
        <w:rPr>
          <w:b/>
          <w:bCs/>
          <w:sz w:val="13"/>
          <w:szCs w:val="13"/>
        </w:rPr>
        <w:t>EDIDAS PREVENTIVAS</w:t>
      </w:r>
      <w:r>
        <w:rPr>
          <w:b/>
          <w:bCs/>
        </w:rPr>
        <w:t xml:space="preserve">: </w:t>
      </w:r>
      <w:r>
        <w:t>No se conoce ningún método para evitar la infección por virus de hepatitis G.</w:t>
      </w:r>
    </w:p>
    <w:p w14:paraId="36542B50" w14:textId="77777777" w:rsidR="00093A32" w:rsidRDefault="00093A32">
      <w:pPr>
        <w:pStyle w:val="Bodytext70"/>
        <w:spacing w:after="0"/>
      </w:pPr>
      <w:r>
        <w:t>Herpes simple</w:t>
      </w:r>
    </w:p>
    <w:p w14:paraId="560E65B7" w14:textId="77777777" w:rsidR="00093A32" w:rsidRDefault="00093A32">
      <w:pPr>
        <w:pStyle w:val="Other0"/>
        <w:spacing w:line="257" w:lineRule="auto"/>
        <w:ind w:firstLine="0"/>
        <w:rPr>
          <w:sz w:val="16"/>
          <w:szCs w:val="16"/>
        </w:rPr>
      </w:pPr>
      <w:r>
        <w:rPr>
          <w:b/>
          <w:bCs/>
          <w:smallCaps/>
          <w:sz w:val="20"/>
          <w:szCs w:val="20"/>
        </w:rPr>
        <w:t>M</w:t>
      </w:r>
      <w:r>
        <w:rPr>
          <w:b/>
          <w:bCs/>
          <w:smallCaps/>
          <w:sz w:val="16"/>
          <w:szCs w:val="16"/>
        </w:rPr>
        <w:t>anifestaciones clínicas</w:t>
      </w:r>
    </w:p>
    <w:p w14:paraId="01610C87" w14:textId="77777777" w:rsidR="00093A32" w:rsidRDefault="00093A32">
      <w:pPr>
        <w:pStyle w:val="BodyText"/>
        <w:ind w:firstLine="0"/>
        <w:sectPr w:rsidR="00093A32" w:rsidSect="00093A32">
          <w:headerReference w:type="even" r:id="rId392"/>
          <w:headerReference w:type="default" r:id="rId393"/>
          <w:footerReference w:type="even" r:id="rId394"/>
          <w:footerReference w:type="default" r:id="rId395"/>
          <w:footnotePr>
            <w:numFmt w:val="chicago"/>
          </w:footnotePr>
          <w:type w:val="continuous"/>
          <w:pgSz w:w="8501" w:h="13022"/>
          <w:pgMar w:top="888" w:right="798" w:bottom="514" w:left="819" w:header="0" w:footer="3" w:gutter="0"/>
          <w:cols w:space="720"/>
          <w:noEndnote/>
          <w:docGrid w:linePitch="360"/>
          <w15:footnoteColumns w:val="1"/>
        </w:sectPr>
      </w:pPr>
      <w:r>
        <w:rPr>
          <w:rFonts w:ascii="Arial" w:eastAsia="Arial" w:hAnsi="Arial" w:cs="Arial"/>
          <w:b/>
          <w:bCs/>
          <w:i/>
          <w:iCs/>
          <w:sz w:val="15"/>
          <w:szCs w:val="15"/>
        </w:rPr>
        <w:t>Neonatos.</w:t>
      </w:r>
      <w:r>
        <w:t xml:space="preserve"> En los recién nacidos, la infección por virus de herpes simple </w:t>
      </w:r>
      <w:r>
        <w:rPr>
          <w:i/>
          <w:iCs/>
        </w:rPr>
        <w:t>(</w:t>
      </w:r>
      <w:r>
        <w:rPr>
          <w:rFonts w:ascii="Times New Roman" w:eastAsia="Times New Roman" w:hAnsi="Times New Roman" w:cs="Times New Roman"/>
          <w:i/>
          <w:iCs/>
          <w:sz w:val="16"/>
          <w:szCs w:val="16"/>
        </w:rPr>
        <w:t>herpes simplex virus</w:t>
      </w:r>
      <w:r>
        <w:t>, HSV) se manifiesta en la forma siguiente: 1) enfermedad diseminada que afecta múltiples órganos y predominantemente hígado y pulmones; 2) enfermedad localizada en el sistema nervioso central (SNC), o 3) ataque de la piel, los ojos y la boca. En promedio, 33% de los casos tienen un carácter diseminado; otro 33% corresponde a ataque del SNC, y el 33% restante afecta piel, ojos y boca, aunque entre las variantes en cuestión puede haber “traslape” clínico. En muchos neonatos con la forma</w:t>
      </w:r>
    </w:p>
    <w:p w14:paraId="032A51DE" w14:textId="77777777" w:rsidR="00093A32" w:rsidRDefault="00093A32">
      <w:pPr>
        <w:pStyle w:val="Bodytext70"/>
        <w:spacing w:after="0"/>
      </w:pPr>
      <w:r>
        <w:t>Hepatitis G</w:t>
      </w:r>
    </w:p>
    <w:p w14:paraId="09935552"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virus de hepatitis G </w:t>
      </w:r>
      <w:r>
        <w:rPr>
          <w:i/>
          <w:iCs/>
        </w:rPr>
        <w:t>(</w:t>
      </w:r>
      <w:r>
        <w:rPr>
          <w:rFonts w:ascii="Times New Roman" w:eastAsia="Times New Roman" w:hAnsi="Times New Roman" w:cs="Times New Roman"/>
          <w:i/>
          <w:iCs/>
          <w:sz w:val="16"/>
          <w:szCs w:val="16"/>
        </w:rPr>
        <w:t>hepatitis G virus</w:t>
      </w:r>
      <w:r>
        <w:rPr>
          <w:i/>
          <w:iCs/>
        </w:rPr>
        <w:t>,</w:t>
      </w:r>
      <w:r>
        <w:t xml:space="preserve"> HGV), conocido también como virus de hepatitis GB (GBV-C), puede causar infección crónica y viremia, pero en estudios con dicho agente y otros más supuestos de la hepatitis “no-ABCDE” (es decir, virus transmitido por transfusión </w:t>
      </w:r>
      <w:r>
        <w:rPr>
          <w:i/>
          <w:iCs/>
        </w:rPr>
        <w:t>[</w:t>
      </w:r>
      <w:r>
        <w:rPr>
          <w:rFonts w:ascii="Times New Roman" w:eastAsia="Times New Roman" w:hAnsi="Times New Roman" w:cs="Times New Roman"/>
          <w:i/>
          <w:iCs/>
          <w:sz w:val="16"/>
          <w:szCs w:val="16"/>
        </w:rPr>
        <w:t>transfusion- transmitted</w:t>
      </w:r>
      <w:r>
        <w:t xml:space="preserve"> virus, TTV] virus SEN [SEN-V]) no se ha demostrado un vínculo con la hepatopatía aguda, fulminante o crónica. En la sangre se han identificado concentraciones altas de RNA de HGV, pero no se ha demostrado que el hígado sea el sitio de la réplica. Al parecer la infección concomitante con virus de hepatitis G no modifica la evolución ni la intensidad de la infección concomitante con virus de hepatitis B </w:t>
      </w:r>
      <w:r>
        <w:rPr>
          <w:i/>
          <w:iCs/>
        </w:rPr>
        <w:t>(</w:t>
      </w:r>
      <w:r>
        <w:rPr>
          <w:rFonts w:ascii="Times New Roman" w:eastAsia="Times New Roman" w:hAnsi="Times New Roman" w:cs="Times New Roman"/>
          <w:i/>
          <w:iCs/>
          <w:sz w:val="16"/>
          <w:szCs w:val="16"/>
        </w:rPr>
        <w:t>hepatitis B virus</w:t>
      </w:r>
      <w:r>
        <w:rPr>
          <w:i/>
          <w:iCs/>
        </w:rPr>
        <w:t>,</w:t>
      </w:r>
      <w:r>
        <w:t xml:space="preserve"> HBV) o C </w:t>
      </w:r>
      <w:r>
        <w:rPr>
          <w:i/>
          <w:iCs/>
        </w:rPr>
        <w:t>(</w:t>
      </w:r>
      <w:r>
        <w:rPr>
          <w:rFonts w:ascii="Times New Roman" w:eastAsia="Times New Roman" w:hAnsi="Times New Roman" w:cs="Times New Roman"/>
          <w:i/>
          <w:iCs/>
          <w:sz w:val="16"/>
          <w:szCs w:val="16"/>
        </w:rPr>
        <w:t>hepatitis C virus</w:t>
      </w:r>
      <w:r>
        <w:rPr>
          <w:i/>
          <w:iCs/>
        </w:rPr>
        <w:t>,</w:t>
      </w:r>
      <w:r>
        <w:t xml:space="preserve"> HCV), pero se le ha vinculado con menor índice de mortalidad en individuos que también tienen infección por virus de inmunodeficiencia humana.</w:t>
      </w:r>
    </w:p>
    <w:p w14:paraId="743CD515" w14:textId="77777777" w:rsidR="00093A32" w:rsidRDefault="00093A32">
      <w:pPr>
        <w:pStyle w:val="BodyText"/>
        <w:ind w:firstLine="0"/>
      </w:pPr>
      <w:r>
        <w:rPr>
          <w:b/>
          <w:bCs/>
        </w:rPr>
        <w:t>C</w:t>
      </w:r>
      <w:r>
        <w:rPr>
          <w:b/>
          <w:bCs/>
          <w:sz w:val="13"/>
          <w:szCs w:val="13"/>
        </w:rPr>
        <w:t>AUSAS</w:t>
      </w:r>
      <w:r>
        <w:rPr>
          <w:b/>
          <w:bCs/>
        </w:rPr>
        <w:t xml:space="preserve">: </w:t>
      </w:r>
      <w:r>
        <w:t>El virus de hepatitis G tiene RNA monofilamentoso que está incluido en la familia de los Flaviviridae y comparte 27% de homología con HCV. No se ha aislado aún el virus comentado.</w:t>
      </w:r>
    </w:p>
    <w:p w14:paraId="5CC77139" w14:textId="77777777" w:rsidR="00093A32" w:rsidRDefault="00093A3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En todo el mundo se han señalado casos de hepatitis por virus G en adultos y niños, y se le ha detectado en cerca de 1.5% de los donantes de sangre en Estados Unidos. Se ha notificado la infección en 10 a 20% de adultos con infección crónica por HBV o HCV, y la infección coexistente surge más a menudo entre quienes se inyectan drogas. El mecanismo primario de propagación es la exposición percutánea directa a la sangre, que incluye transfusiones de órganos trasplantados obtenidos de donantes infectados y el uso de drogas inyectables. Se ha corroborado la transmisión en personas sometidas a hemodiálisis y de madres a recién nacidos. También puede haber transmisión sexual. Los lactantes y los niños infectados pueden mostrar viremia persistente, pero no se ha observado un vínculo con la enfermedad.</w:t>
      </w:r>
    </w:p>
    <w:p w14:paraId="6A4F7C7C" w14:textId="77777777" w:rsidR="00093A32" w:rsidRDefault="00093A32">
      <w:pPr>
        <w:pStyle w:val="BodyText"/>
        <w:ind w:firstLine="360"/>
      </w:pPr>
      <w:r>
        <w:t xml:space="preserve">Se desconoce el </w:t>
      </w:r>
      <w:r>
        <w:rPr>
          <w:b/>
          <w:bCs/>
        </w:rPr>
        <w:t>periodo de incubación.</w:t>
      </w:r>
    </w:p>
    <w:p w14:paraId="066786A7" w14:textId="77777777" w:rsidR="00093A32" w:rsidRDefault="00093A32">
      <w:pPr>
        <w:pStyle w:val="BodyText"/>
        <w:ind w:firstLine="0"/>
      </w:pPr>
      <w:r>
        <w:rPr>
          <w:b/>
          <w:bCs/>
        </w:rPr>
        <w:t>M</w:t>
      </w:r>
      <w:r>
        <w:rPr>
          <w:b/>
          <w:bCs/>
          <w:sz w:val="13"/>
          <w:szCs w:val="13"/>
        </w:rPr>
        <w:t>ÉTODOS DIAGNÓSTICOS</w:t>
      </w:r>
      <w:r>
        <w:rPr>
          <w:b/>
          <w:bCs/>
        </w:rPr>
        <w:t xml:space="preserve">: </w:t>
      </w:r>
      <w:r>
        <w:t>En personas con infección crónica se puede diagnosticar el ataque del virus HGV al detectar su RNA por la reacción en cadena de polimerasa. En individuos en los que la infección ha mostrado resolución, se detectan sólo anticuerpos contra HGV. No se distribuye en el comercio ninguna prueba a base de ácido nucleico ni de tipo serológico.</w:t>
      </w:r>
    </w:p>
    <w:p w14:paraId="4CA573D5" w14:textId="77777777" w:rsidR="00093A32" w:rsidRDefault="00093A32">
      <w:pPr>
        <w:pStyle w:val="BodyText"/>
        <w:ind w:firstLine="0"/>
      </w:pPr>
      <w:r>
        <w:rPr>
          <w:b/>
          <w:bCs/>
        </w:rPr>
        <w:t>T</w:t>
      </w:r>
      <w:r>
        <w:rPr>
          <w:b/>
          <w:bCs/>
          <w:sz w:val="13"/>
          <w:szCs w:val="13"/>
        </w:rPr>
        <w:t>RATAMIENTO</w:t>
      </w:r>
      <w:r>
        <w:rPr>
          <w:b/>
          <w:bCs/>
        </w:rPr>
        <w:t xml:space="preserve">: </w:t>
      </w:r>
      <w:r>
        <w:t>No se cuenta con ningún tratamiento ni está indicado.</w:t>
      </w:r>
    </w:p>
    <w:p w14:paraId="025990F1" w14:textId="77777777" w:rsidR="00093A32" w:rsidRDefault="00093A32">
      <w:pPr>
        <w:pStyle w:val="BodyText"/>
        <w:spacing w:after="100"/>
        <w:ind w:firstLine="0"/>
      </w:pPr>
      <w:r>
        <w:t xml:space="preserve">Aislamiento del paciente hospitalizado: Se recomienda seguir las precauciones estándar. </w:t>
      </w:r>
      <w:r>
        <w:rPr>
          <w:b/>
          <w:bCs/>
        </w:rPr>
        <w:t>M</w:t>
      </w:r>
      <w:r>
        <w:rPr>
          <w:b/>
          <w:bCs/>
          <w:sz w:val="13"/>
          <w:szCs w:val="13"/>
        </w:rPr>
        <w:t>EDIDAS PREVENTIVAS</w:t>
      </w:r>
      <w:r>
        <w:rPr>
          <w:b/>
          <w:bCs/>
        </w:rPr>
        <w:t xml:space="preserve">: </w:t>
      </w:r>
      <w:r>
        <w:t>No se conoce ningún método para evitar la infección por virus de hepatitis G.</w:t>
      </w:r>
    </w:p>
    <w:p w14:paraId="411A29DE" w14:textId="77777777" w:rsidR="00093A32" w:rsidRDefault="00093A32">
      <w:pPr>
        <w:pStyle w:val="Bodytext70"/>
        <w:spacing w:after="0"/>
      </w:pPr>
      <w:r>
        <w:t>Herpes simple</w:t>
      </w:r>
    </w:p>
    <w:p w14:paraId="23C50BF5" w14:textId="77777777" w:rsidR="00093A32" w:rsidRDefault="00093A32">
      <w:pPr>
        <w:pStyle w:val="Other0"/>
        <w:spacing w:line="257" w:lineRule="auto"/>
        <w:ind w:firstLine="0"/>
        <w:rPr>
          <w:sz w:val="16"/>
          <w:szCs w:val="16"/>
        </w:rPr>
      </w:pPr>
      <w:r>
        <w:rPr>
          <w:b/>
          <w:bCs/>
          <w:smallCaps/>
          <w:sz w:val="20"/>
          <w:szCs w:val="20"/>
        </w:rPr>
        <w:t>M</w:t>
      </w:r>
      <w:r>
        <w:rPr>
          <w:b/>
          <w:bCs/>
          <w:smallCaps/>
          <w:sz w:val="16"/>
          <w:szCs w:val="16"/>
        </w:rPr>
        <w:t>anifestaciones clínicas</w:t>
      </w:r>
    </w:p>
    <w:p w14:paraId="59688C78" w14:textId="77777777" w:rsidR="00093A32" w:rsidRDefault="00093A32">
      <w:pPr>
        <w:pStyle w:val="BodyText"/>
        <w:ind w:firstLine="0"/>
      </w:pPr>
      <w:r>
        <w:rPr>
          <w:rFonts w:ascii="Arial" w:eastAsia="Arial" w:hAnsi="Arial" w:cs="Arial"/>
          <w:b/>
          <w:bCs/>
          <w:i/>
          <w:iCs/>
          <w:sz w:val="15"/>
          <w:szCs w:val="15"/>
        </w:rPr>
        <w:t>Neonatos.</w:t>
      </w:r>
      <w:r>
        <w:t xml:space="preserve"> En los recién nacidos, la infección por virus de herpes simple </w:t>
      </w:r>
      <w:r>
        <w:rPr>
          <w:i/>
          <w:iCs/>
        </w:rPr>
        <w:t>(</w:t>
      </w:r>
      <w:r>
        <w:rPr>
          <w:rFonts w:ascii="Times New Roman" w:eastAsia="Times New Roman" w:hAnsi="Times New Roman" w:cs="Times New Roman"/>
          <w:i/>
          <w:iCs/>
          <w:sz w:val="16"/>
          <w:szCs w:val="16"/>
        </w:rPr>
        <w:t>herpes simplex virus</w:t>
      </w:r>
      <w:r>
        <w:t>, HSV) se manifiesta en la forma siguiente: 1) enfermedad diseminada que afecta múltiples órganos y predominantemente hígado y pulmones; 2) enfermedad localizada en el sistema nervioso central (SNC), o 3) ataque de la piel, los ojos y la boca. En promedio, 33% de los casos tienen un carácter diseminado; otro 33% corresponde a ataque del SNC, y el 33% restante afecta piel, ojos y boca, aunque entre las variantes en cuestión puede haber “traslape” clínico. En muchos neonatos con la forma diseminada o de ataque del SNC no aparecen lesiones cutáneas o surgen tardíamente en la evolución de la infección. En caso de no haber las lesiones de la piel es difícil diagnosticar infección neonatal por HSV. Hay que pensar en la posibilidad de infección diseminada en los neonatos con un síndrome de sepsis, cultivos bacteriológicos con resultados negativos y grave disfunción hepática. También hay que considerar que el virus de herpes simple puede ser un agente causal en neonatos que muestran fiebre, irritabilidad y datos anormales en el líquido cefalorraquídeo (LCR), sobre todo en presencia de convulsiones. A pesar de que la infección asintomática es común en niños de mayor edad, es rara (si es que aparece) en los neonatos.</w:t>
      </w:r>
    </w:p>
    <w:p w14:paraId="1AE1C8F6" w14:textId="77777777" w:rsidR="00093A32" w:rsidRDefault="00093A32">
      <w:pPr>
        <w:pStyle w:val="BodyText"/>
        <w:ind w:firstLine="360"/>
      </w:pPr>
      <w:r>
        <w:t>Las infecciones herpéticas en neonatos suelen ser graves y conllevan cifras altas de mortalidad y morbilidad, incluso si se administran antivíricos. Las lesiones recurrentes de la piel son frecuentes en lactantes supervivientes, y quizá se vinculen con secuelas en el SNC si las lesiones de la piel aparecen a menudo en los primeros seis meses de vida.</w:t>
      </w:r>
    </w:p>
    <w:p w14:paraId="62E75863" w14:textId="77777777" w:rsidR="00093A32" w:rsidRDefault="00093A32">
      <w:pPr>
        <w:pStyle w:val="BodyText"/>
        <w:ind w:firstLine="360"/>
      </w:pPr>
      <w:r>
        <w:t>Los síntomas iniciales de la infección pueden surgir en cualquier momento entre el nacimiento y las cuatro semanas de edad, aproximadamente. La enfermedad diseminada tiene la fecha más anterior de comienzo y lo hace a menudo en la primera semana de vida; el ataque del SNC se manifiesta más tardíamente, por lo común entre la segunda y la tercera semanas de vida.</w:t>
      </w:r>
    </w:p>
    <w:p w14:paraId="6036B1B1" w14:textId="77777777" w:rsidR="00093A32" w:rsidRDefault="00093A32">
      <w:pPr>
        <w:pStyle w:val="BodyText"/>
        <w:spacing w:line="276" w:lineRule="auto"/>
        <w:ind w:firstLine="360"/>
      </w:pPr>
      <w:r>
        <w:rPr>
          <w:rFonts w:ascii="Arial" w:eastAsia="Arial" w:hAnsi="Arial" w:cs="Arial"/>
          <w:b/>
          <w:bCs/>
          <w:i/>
          <w:iCs/>
          <w:sz w:val="15"/>
          <w:szCs w:val="15"/>
        </w:rPr>
        <w:t>Niños que han rebasado el periodo neonatal y adolescentes.</w:t>
      </w:r>
      <w:r>
        <w:t xml:space="preserve"> Casi todas las infecciones primarias por HSV son asintomáticas. La gingivostomatitis, que es la manifestación clínica más común en dicho grupo de edad, por lo común es causada por HSV de tipo 1 (HSV-1). El cuadro mencionado se caracteriza por fiebre, irritabilidad, adenopatía submandibular dolorosa al tacto y un enantema ulceroso que afecta las encías y las mucosas de la boca, a menudo con lesiones vesiculares peribucales.</w:t>
      </w:r>
    </w:p>
    <w:p w14:paraId="2D4BCA70" w14:textId="77777777" w:rsidR="00093A32" w:rsidRDefault="00093A32">
      <w:pPr>
        <w:pStyle w:val="BodyText"/>
        <w:ind w:firstLine="360"/>
      </w:pPr>
      <w:r>
        <w:t>El herpes genital, que es la manifestación más común de la infección por el virus en adolescentes y adultos, se caracteriza por lesiones vesiculares ulcerosas en los genitales de varones o mujeres, perineo o ambas zonas. El herpes genital suele ser causado con HSV de tipo 2 (HSV-2), pero al parecer va en aumento la frecuencia del ataque de HSV tipo 1.</w:t>
      </w:r>
    </w:p>
    <w:p w14:paraId="4FA1FD2F" w14:textId="77777777" w:rsidR="00093A32" w:rsidRDefault="00093A32">
      <w:pPr>
        <w:pStyle w:val="BodyText"/>
        <w:ind w:firstLine="360"/>
      </w:pPr>
      <w:r>
        <w:t>El eccema herpético con lesiones vesiculares concentradas en las zonas de ataque eccematoso surge a veces en individuos con dermatitis que se infectan con HSV.</w:t>
      </w:r>
    </w:p>
    <w:p w14:paraId="147ACD64" w14:textId="77777777" w:rsidR="00093A32" w:rsidRDefault="00093A32">
      <w:pPr>
        <w:pStyle w:val="BodyText"/>
        <w:ind w:firstLine="360"/>
      </w:pPr>
      <w:r>
        <w:t>En sujetos inmunodeficientes, se observan a veces lesiones locales graves y, con menor frecuencia, infección diseminada por el virus con lesiones vesiculares generalizadas en la piel y ataque visceral.</w:t>
      </w:r>
    </w:p>
    <w:p w14:paraId="46263C96" w14:textId="77777777" w:rsidR="00093A32" w:rsidRDefault="00093A32">
      <w:pPr>
        <w:pStyle w:val="BodyText"/>
        <w:ind w:firstLine="360"/>
      </w:pPr>
      <w:r>
        <w:t>Después de la infección primaria, el virus de herpes simple persiste durante toda la vida en forma latente. El sitio en que permanece latente la partícula que causa el herpes labial es el ganglio del trigémino, y el sitio usual de latencia del herpes genital son los ganglios sacros, si bien puede afectar cualquier ganglio sensitivo, según el sitio de infección primaria. Puede reactivarse el virus latente muy a menudo sin que surjan síntomas. Cuando aparecen síntomas, el ataque recurrente de herpes labial por HSV-1 asume la forma de vesículas aisladas o en grupos en la región peribucal, por lo común en el borde bermellón de los labios (fogazos). Las lesiones de herpes genital recurrente y sintomático incluyen las de tipo vesicular en el pene, escroto, vulva, cuello uterino, glúteos, área perianal, muslos o dorso.</w:t>
      </w:r>
    </w:p>
    <w:p w14:paraId="43EF165E" w14:textId="77777777" w:rsidR="00093A32" w:rsidRDefault="00093A32">
      <w:pPr>
        <w:pStyle w:val="BodyText"/>
        <w:ind w:firstLine="360"/>
      </w:pPr>
      <w:r>
        <w:t>La conjuntivitis y la queratitis pueden ser consecuencia de infecciones primarias o recurrentes por HSV. El panadizo herpético consiste en una o varias lesiones vesiculares en las zonas distales de los dedos. Se ha dicho que la infección por virus de herpes simple constituye un factor desencadenante de eritema multiforme.</w:t>
      </w:r>
    </w:p>
    <w:p w14:paraId="4639DFC0" w14:textId="77777777" w:rsidR="00093A32" w:rsidRDefault="00093A32">
      <w:pPr>
        <w:pStyle w:val="BodyText"/>
        <w:ind w:firstLine="360"/>
      </w:pPr>
      <w:r>
        <w:t xml:space="preserve">La encefalitis por virus de herpes simple puede ser consecuencia de infección primaria o recurrente y por lo común se acompaña de fiebre, alteraciones del estado de conciencia, cambios de la personalidad, convulsiones y signos neurológicos focales. Por lo común, la encefalitis comienza en forma aguda y sigue una evolución fulminante que culmina en coma y muerte en individuos no tratados. Es frecuente que haya pleocitosis de líquido cefalorraquídeo con predominio de linfocitos y algunos eritrocitos. La infección por el virus de herpes simple también puede originar meningitis, con manifestaciones clínicas inespecíficas por lo común leves y que ceden por sí solas. Los episodios mencionados de meningitis casi siempre tienen origen en la infección por HSV-2 en genitales. Se han descrito manifestaciones poco comunes de ataque de HSV en el sistema nervioso central, que incluyen parálisis de Bell, síndromes de dolor atípicos, neuralgia del trigémino, mielitis ascendente y encefalomielitis posinfecciosa. </w:t>
      </w:r>
      <w:r>
        <w:rPr>
          <w:b/>
          <w:bCs/>
        </w:rPr>
        <w:t>C</w:t>
      </w:r>
      <w:r>
        <w:rPr>
          <w:b/>
          <w:bCs/>
          <w:sz w:val="13"/>
          <w:szCs w:val="13"/>
        </w:rPr>
        <w:t>AUSAS</w:t>
      </w:r>
      <w:r>
        <w:rPr>
          <w:b/>
          <w:bCs/>
        </w:rPr>
        <w:t xml:space="preserve">: </w:t>
      </w:r>
      <w:r>
        <w:t xml:space="preserve">Los virus de esta categoría tienen DNA, cubierta y doble filamento. Las infecciones por HSV-1 por lo común abarcan la cara y la piel por arriba de la cintura; sin embargo, se ha atribuido un número cada vez mayor de casos de herpes genital a HSV-1. Las infecciones por HSV-2 generalmente abarcan los genitales y la piel debajo de la línea de la cintura en adolescentes y adultos sexualmente activos. Uno y otro tipo de virus se detectan a veces en cualquiera de las áreas mencionadas. La causa más común de enfermedad en neonatos es el virus de herpes simple tipo 2. </w:t>
      </w:r>
      <w:r>
        <w:rPr>
          <w:b/>
          <w:bCs/>
        </w:rPr>
        <w:t>A</w:t>
      </w:r>
      <w:r>
        <w:rPr>
          <w:b/>
          <w:bCs/>
          <w:sz w:val="13"/>
          <w:szCs w:val="13"/>
        </w:rPr>
        <w:t>SPECTOS EPIDEMIOLÓGICOS</w:t>
      </w:r>
      <w:r>
        <w:rPr>
          <w:b/>
          <w:bCs/>
        </w:rPr>
        <w:t xml:space="preserve">: </w:t>
      </w:r>
      <w:r>
        <w:t>Las infecciones por virus de herpes simple están distribuidas muy ampliamente y son transmitidas por personas sintomáticas o asintomáticas con las formas primarias o recurrentes de las mismas.</w:t>
      </w:r>
    </w:p>
    <w:p w14:paraId="3549AD28" w14:textId="77777777" w:rsidR="00093A32" w:rsidRDefault="00093A32">
      <w:pPr>
        <w:pStyle w:val="BodyText"/>
        <w:spacing w:line="276" w:lineRule="auto"/>
        <w:ind w:firstLine="360"/>
      </w:pPr>
      <w:r>
        <w:rPr>
          <w:rFonts w:ascii="Arial" w:eastAsia="Arial" w:hAnsi="Arial" w:cs="Arial"/>
          <w:b/>
          <w:bCs/>
          <w:i/>
          <w:iCs/>
          <w:sz w:val="15"/>
          <w:szCs w:val="15"/>
        </w:rPr>
        <w:t>Neonatos:</w:t>
      </w:r>
      <w:r>
        <w:t xml:space="preserve"> Se ha calculado en Estados Unidos que la incidencia de infección neonatal por el virus va de un caso en 3 000 a otro por 20 000 neonatos vivos. Existe una posibilidad mucho mayor de que la infección surja en los prematuros. El virus de herpes simple se transmite a un recién nacido muy a menudo durante el parto, desde las vías genitales infectadas de su madre, o por infección ascendentes, a veces a través de membranas al parecer intactas. En el país mencionado, cerca de 75% de las infecciones en neonatos son causadas por HSV-2, y 25%, por HSV-1. En contadas ocasiones se ha dicho que las infecciones intrauterinas originan malformaciones congénitas. Otras causas menos frecuentes de infección neonatal incluyen la transmisión posnatal de un progenitor u otro cuidador, muy a menudo de una infección extragenital (manos o boca) o de otro pequeño infectado o cuidador en la sala de cunas, quizá a través de las manos de los profesionales que atienden a los pequeños.</w:t>
      </w:r>
    </w:p>
    <w:p w14:paraId="66849A4A" w14:textId="77777777" w:rsidR="00093A32" w:rsidRDefault="00093A32">
      <w:pPr>
        <w:pStyle w:val="BodyText"/>
        <w:ind w:firstLine="360"/>
      </w:pPr>
      <w:r>
        <w:t>Se ha calculado que el riesgo de infección por HSV en el parto vaginal de un pequeño cuya madre tiene infección primaria de genitales, es de 33 a 50%. El peligro que tiene un pequeño que nace de una mujer que propaga virus como resultado de una infección reactivada, es menor de 5%. A veces es imposible diferenciar entre las infecciones primarias y las recurrentes en las mujeres con los solos datos de la anamnesis o la exploración física. Las infecciones primarias y las recurrentes pueden no mostrar síntomas o acompañarse de signos inespecíficos (como secreción vaginal, dolor en genitales o úlceras superficiales). Más de 75% de los pequeños que contraen la infección han nacido de mujeres sin el antecedente ni signos clínicos que sugieran infección activa por HSV en el embarazo.</w:t>
      </w:r>
    </w:p>
    <w:p w14:paraId="08200305" w14:textId="77777777" w:rsidR="00093A32" w:rsidRDefault="00093A32">
      <w:pPr>
        <w:pStyle w:val="BodyText"/>
        <w:spacing w:line="283" w:lineRule="auto"/>
        <w:ind w:firstLine="360"/>
      </w:pPr>
      <w:r>
        <w:rPr>
          <w:rFonts w:ascii="Arial" w:eastAsia="Arial" w:hAnsi="Arial" w:cs="Arial"/>
          <w:b/>
          <w:bCs/>
          <w:i/>
          <w:iCs/>
          <w:sz w:val="15"/>
          <w:szCs w:val="15"/>
        </w:rPr>
        <w:t>Niños que han rebasado el periodo neonatal y adolescentes.</w:t>
      </w:r>
      <w:r>
        <w:t xml:space="preserve"> Las personas con gingivostomatitis o herpes genital primario generalmente propagan virus durante una semana, como mínimo, y a veces varias semanas. Los sujetos con infección recurrente secretan el virus por un lapso más breve, tres a cuatro días de manera típica. Es común la reactivación intermitente y asintomática del herpes de la boca y los genitales; persiste permanentemente y aparece en 1% de los días en individuos que habían estado infectados. La máxima concentración de virus se propaga durante las infecciones sintomáticas primarias, y la mínima, en las infecciones recurrentes asintomáticas.</w:t>
      </w:r>
    </w:p>
    <w:p w14:paraId="4F208D24" w14:textId="77777777" w:rsidR="00093A32" w:rsidRDefault="00093A32">
      <w:pPr>
        <w:pStyle w:val="BodyText"/>
        <w:ind w:firstLine="360"/>
      </w:pPr>
      <w:r>
        <w:t>La infección por HSV-1 suele ser consecuencia del contacto directo con secreciones o lesiones infectadas, de la boca. Las infecciones por HSV-2 suelen ser resultado del contacto directo con secreciones de genitales infectadas o lesiones en la actividad sexual. Las infecciones de genitales causadas por HSV-1 en niños pueden ser resultado de autoinoculación del virus desde la boca, pero hay que pensar siempre en la posibilidad de abuso sexual en niños prepúberes con infecciones por HSV-2 en genitales. Por tal razón, cualquier partícula de HSV aislada en genitales de niños debe someterse a tipificación para diferenciar entre HSV-1 y virus de herpes simple tipo 2.</w:t>
      </w:r>
    </w:p>
    <w:p w14:paraId="2ED36C01" w14:textId="77777777" w:rsidR="00093A32" w:rsidRDefault="00093A32">
      <w:pPr>
        <w:pStyle w:val="BodyText"/>
        <w:ind w:firstLine="360"/>
      </w:pPr>
      <w:r>
        <w:t>La incidencia de infección por HSV-2 guarda relación con el número de compañeros sexuales y con el contagio de otras enfermedades de transmisión sexual. Después de la infección primaria de genitales, que suele ser asintomática, en algunas personas surgen a menudo recidivas clínicas, y otras no las muestran. Es más probable que reaparezca la infección por HSV-2 de genitales, que la causada en tales órganos por el virus de herpes simple tipo 1.</w:t>
      </w:r>
    </w:p>
    <w:p w14:paraId="7FE3389A" w14:textId="77777777" w:rsidR="00093A32" w:rsidRDefault="00093A32">
      <w:pPr>
        <w:pStyle w:val="BodyText"/>
        <w:ind w:firstLine="360"/>
      </w:pPr>
      <w:r>
        <w:t>La inoculación de la piel surge por contacto directo con secreciones de boca o genitales que contienen HSV; el contacto mencionado puede originar herpes de gladiadores entre los luchadores (grecorromanos), el herpes que caracteriza a los jugadores de fútbol americano y rugby o el panadizo herpético en los dedos de una persona expuesta.</w:t>
      </w:r>
    </w:p>
    <w:p w14:paraId="4AFF6EC5" w14:textId="77777777" w:rsidR="00093A32" w:rsidRDefault="00093A32">
      <w:pPr>
        <w:pStyle w:val="BodyText"/>
        <w:ind w:firstLine="360"/>
      </w:pPr>
      <w:r>
        <w:t xml:space="preserve">El </w:t>
      </w:r>
      <w:r>
        <w:rPr>
          <w:b/>
          <w:bCs/>
        </w:rPr>
        <w:t xml:space="preserve">periodo de incubación </w:t>
      </w:r>
      <w:r>
        <w:t>de la infección que surge después de la etapa neonatal varía de dos días a dos semanas.</w:t>
      </w:r>
    </w:p>
    <w:p w14:paraId="44495B1A" w14:textId="77777777" w:rsidR="00093A32" w:rsidRDefault="00093A32">
      <w:pPr>
        <w:pStyle w:val="BodyText"/>
        <w:ind w:firstLine="0"/>
      </w:pPr>
      <w:r>
        <w:rPr>
          <w:b/>
          <w:bCs/>
        </w:rPr>
        <w:t>M</w:t>
      </w:r>
      <w:r>
        <w:rPr>
          <w:b/>
          <w:bCs/>
          <w:sz w:val="13"/>
          <w:szCs w:val="13"/>
        </w:rPr>
        <w:t>ÉTODOS DIAGNÓSTICOS</w:t>
      </w:r>
      <w:r>
        <w:rPr>
          <w:b/>
          <w:bCs/>
        </w:rPr>
        <w:t xml:space="preserve">: </w:t>
      </w:r>
      <w:r>
        <w:t>El virus de herpes simple se multiplica fácilmente en cultivo celular. Es importante contar con medios especiales de transporte para muestras que no pueden ser inoculadas inmediatamente en los medios de células susceptibles. Los efectos citopatógenos que son típicos de la infección por el virus deben observarse uno a tres días después de la inoculación. Entre los métodos para confirmación de los cultivos están la tinción de anticuerpos fluorescentes y los de inmunoanálisis enzimáticos. Es posible que los cultivos que son negativos para el día 15 lo sigan siendo. El DNA del virus de herpes simple en LCR suele detectarse por reacción en cadena de polimerasa en personas con encefalitis por el virus, y constituye el método diagnóstico más conveniente cuando los practica personal experto de laboratorio. El método definitivo para confirmar el diagnóstico de encefalitis por HSV es el estudio histológico y el cultivo del virus en muestras de tejido encefálico obtenido por biopsia. Los cultivos de LCR obtenido de un sujeto con encefalitis con HSV por lo común son negativos.</w:t>
      </w:r>
    </w:p>
    <w:p w14:paraId="4D38BEA0" w14:textId="77777777" w:rsidR="00093A32" w:rsidRDefault="00093A32">
      <w:pPr>
        <w:pStyle w:val="BodyText"/>
        <w:ind w:firstLine="360"/>
      </w:pPr>
      <w:r>
        <w:t>Para el diagnóstico de infección neonatal por HSV habrá que obtener muestras para cultivo, de vesículas cutáneas, boca o nasofaringe, ojos, orina, sangre, excrementos o recto y líquido cefalorraquídeo. La positividad en los cultivos del material obtenido de cualquiera de las zonas anteriores más de 48 h después del nacimiento indica réplica vírica que sugiere infección del producto y no colonización durante la exposición en el parto. También se cuenta con técnicas de diagnóstico rápido, como sería la tinción de anticuerpos por fluorescencia directa del material de raspado de vesículas, o la detección de antígeno de HSV por inmunoanálisis enzimático. Las técnicas en cuestión tienen la misma especificidad que los cultivos, aunque son un poco menos sensibles que ellos. Por la tipificación de las cepas de HSV se disitingue entre HSV-1 y HSV-2 aislados. La reacción en cadena de polimerasa es un método sensible para detectar DNA de HSV, y tiene utilidad particular para valorar muestras de LCR de personas en quienes se sospecha encefalitis herpética. El estudio histológico de las lesiones en busca de células gigantes multinucleadas e inclusiones intranucleares eosinófilas típicas de HSV (p. ej., con la prueba de Tzanck) tiene poca sensibilidad y no se recomienda como estudio diagnóstico rápido.</w:t>
      </w:r>
    </w:p>
    <w:p w14:paraId="14F5D339" w14:textId="77777777" w:rsidR="00093A32" w:rsidRDefault="00093A32">
      <w:pPr>
        <w:pStyle w:val="BodyText"/>
        <w:ind w:firstLine="360"/>
      </w:pPr>
      <w:r>
        <w:t>Los anticuerpos específicos de tipo e inespecíficos contra HSV surgen en las primeras semanas después de la infección y persisten indefinidamente. Los anticuerpos con especificidad de tipo contra HSV-2 casi siempre denotan la presencia de una infección anogenital, pero el hecho de detectar anticuerpo contra HSV-1 no diferencia entre las infecciones anogenital y la bucolabial. Los estudios serológicos con especificidad de tipo pueden ser útiles para confirmar el diagnóstico clínico de herpes genital. Además, se les utiliza para diagnosticar a personas con infecciones no detectadas y para tratar a compañeros sexuales de personas con herpes genital.</w:t>
      </w:r>
    </w:p>
    <w:p w14:paraId="35B4F60B" w14:textId="77777777" w:rsidR="00093A32" w:rsidRDefault="00093A32">
      <w:pPr>
        <w:pStyle w:val="BodyText"/>
        <w:ind w:firstLine="360"/>
      </w:pPr>
      <w:r>
        <w:t xml:space="preserve">En Estados Unidos, la Food and Drug Administration (FDA) ha aprobado varias técnicas con especificidad de tipo basadas en la glucoproteína G (gG), y se incluye por lo menos una que pueda utilizarse como prueba de atención directa. La sensibilidad de tales métodos para detectar anticuerpos contra HSV-2 varía de 80 a 98%, y a veces surgen resultados negativos falsos, en particular poco después de haber comenzado la infección. La especificidad de tales métodos es mayor de 96%; surgen a veces resultados positivos falsos, sobre todo en pacientes con poca probabilidad de estar infectados por HSV. Por tal razón, a veces en algunas situaciones conviene repetir los estudios o practicar un método confirmatorio (p. ej., un método de inmunotransferencia si la prueba inicial fue un método de inmunosorbente con enzimas). </w:t>
      </w:r>
      <w:r>
        <w:rPr>
          <w:b/>
          <w:bCs/>
        </w:rPr>
        <w:t>T</w:t>
      </w:r>
      <w:r>
        <w:rPr>
          <w:b/>
          <w:bCs/>
          <w:sz w:val="13"/>
          <w:szCs w:val="13"/>
        </w:rPr>
        <w:t>RATAMIENTO</w:t>
      </w:r>
      <w:r>
        <w:rPr>
          <w:b/>
          <w:bCs/>
        </w:rPr>
        <w:t xml:space="preserve">: </w:t>
      </w:r>
      <w:r>
        <w:t>En lo que toca a las dosis recomendadas de antivíricos y la duración del tratamiento con aciclovir, clorhidrato de valaciclovir, famciclovir y penciclovir en diferentes infecciones por HSV, véase “Antivíricos contra infecciones no producidas por VIH” (sección 4). En Estados Unidos, la FDA no ha aprobado el uso de valaciclovir ni famciclovir en niños.</w:t>
      </w:r>
    </w:p>
    <w:p w14:paraId="7A4FD0A5" w14:textId="77777777" w:rsidR="00093A32" w:rsidRDefault="00093A32">
      <w:pPr>
        <w:pStyle w:val="BodyText"/>
        <w:ind w:firstLine="0"/>
      </w:pPr>
      <w:r>
        <w:rPr>
          <w:b/>
          <w:bCs/>
        </w:rPr>
        <w:t>N</w:t>
      </w:r>
      <w:r>
        <w:rPr>
          <w:b/>
          <w:bCs/>
          <w:sz w:val="13"/>
          <w:szCs w:val="13"/>
        </w:rPr>
        <w:t>EONATOS</w:t>
      </w:r>
      <w:r>
        <w:rPr>
          <w:b/>
          <w:bCs/>
        </w:rPr>
        <w:t xml:space="preserve">: </w:t>
      </w:r>
      <w:r>
        <w:t>El aciclovir parenteral es el tratamiento más indicado contra infecciones por HSV en neonatos. Debe administrarse a todos los recién nacidos con infección por HSV, sean cuales sean las manifestaciones y los signos clínicos. Se observan los mejores resultados en términos de morbilidad y mortalidad en lactantes con enfermedad circunscrita a la piel, ojos y boca. Muchos neonatos tratados de encefalitis por HSV sobreviven, pero muchos quedan con notables secuelas neurológicas. En promedio, 25% de los neonatos con enfermedad diseminada terminan por fallecer a pesar del tratamiento antivírico. La dosis de aciclovir es de 60 mg/kg al día, en tres fracciones, aplicadas por vía intravenosa durante 14 días si la enfermedad se limitó a la piel, los ojos y la boca, y de 21 días, si el cuadro es diseminado y afecta el SNC. Al terminar el tratamiento surgen a veces recaídas de enfermedades de la piel, los ojos, la boca y el SNC. El tratamiento óptimo de tales recurrencias no se ha definido. Está en fase de evaluación la utilidad de la terapia supresora a largo plazo o intermitente con aciclovir para neonatos con enfermedad de la piel, los ojos y la boca.</w:t>
      </w:r>
    </w:p>
    <w:p w14:paraId="6304432C" w14:textId="77777777" w:rsidR="00093A32" w:rsidRDefault="00093A32">
      <w:pPr>
        <w:pStyle w:val="BodyText"/>
        <w:ind w:firstLine="360"/>
      </w:pPr>
      <w:r>
        <w:t>Los lactantes con ataques de ojos atribuibles a HSV deben recibir un colirio tópico (1 a 2% de trifluridina, 0.1% de yododesoxiuridina o 3% de vidarabina), así como la terapia antivírica parenteral.</w:t>
      </w:r>
    </w:p>
    <w:p w14:paraId="3591EB4B" w14:textId="77777777" w:rsidR="00093A32" w:rsidRDefault="00093A32">
      <w:pPr>
        <w:pStyle w:val="Bodytext80"/>
        <w:rPr>
          <w:sz w:val="15"/>
          <w:szCs w:val="15"/>
        </w:rPr>
      </w:pPr>
      <w:r>
        <w:rPr>
          <w:b/>
          <w:bCs/>
          <w:i/>
          <w:iCs/>
          <w:sz w:val="15"/>
          <w:szCs w:val="15"/>
        </w:rPr>
        <w:t>Infección de genitales</w:t>
      </w:r>
    </w:p>
    <w:p w14:paraId="39FC5CD6" w14:textId="77777777" w:rsidR="00093A32" w:rsidRDefault="00093A32">
      <w:pPr>
        <w:pStyle w:val="BodyText"/>
        <w:spacing w:line="290" w:lineRule="auto"/>
        <w:ind w:firstLine="0"/>
      </w:pPr>
      <w:r>
        <w:rPr>
          <w:rFonts w:ascii="Times New Roman" w:eastAsia="Times New Roman" w:hAnsi="Times New Roman" w:cs="Times New Roman"/>
          <w:b/>
          <w:bCs/>
          <w:i/>
          <w:iCs/>
          <w:sz w:val="16"/>
          <w:szCs w:val="16"/>
        </w:rPr>
        <w:t>Primaria.</w:t>
      </w:r>
      <w:r>
        <w:t xml:space="preserve"> Muchos sujetos con el primer episodio de herpes tienen manifestaciones leves, pero más adelante muestran síntomas intensos o duraderos. Por tal razón, casi todas las personas con ese cuadro inicial en genitales deben recibir antivíricos. En los adultos, el aciclovir y el valaciclovir acortan la duración de los síntomas y también la “excreción” vírica en el herpes primario. El aciclovir ingerido, cuya administración se comienza en término de seis días de haber iniciado la enfermedad, acorta dicho padecimiento y también la “excreción” o propagación de virus, tres a cinco días. El valaciclovir y el famciclovir al parecer no son más eficaces que el aciclovir, aunque una de sus ventajas es que su dosificación es menos frecuente. No hay presentaciones de valaciclovir o famciclovir para niños. El aciclovir intravenoso está indicado en sujetos con infección primaria grave o complicada que obliga a hospitalización. No se recomienda el aciclovir tópico (pomada al 5%) contra la infección primaria de genitales. El tratamiento sistémico o tópico de las lesiones primarias no modifica la frecuencia o gravedad de las recidivas ulteriores.</w:t>
      </w:r>
    </w:p>
    <w:p w14:paraId="21824740" w14:textId="77777777" w:rsidR="00093A32" w:rsidRDefault="00093A32">
      <w:pPr>
        <w:pStyle w:val="BodyText"/>
        <w:spacing w:line="276" w:lineRule="auto"/>
        <w:ind w:firstLine="360"/>
      </w:pPr>
      <w:r>
        <w:rPr>
          <w:rFonts w:ascii="Times New Roman" w:eastAsia="Times New Roman" w:hAnsi="Times New Roman" w:cs="Times New Roman"/>
          <w:b/>
          <w:bCs/>
          <w:i/>
          <w:iCs/>
          <w:sz w:val="16"/>
          <w:szCs w:val="16"/>
        </w:rPr>
        <w:t>Recurrente.</w:t>
      </w:r>
      <w:r>
        <w:t xml:space="preserve"> Los antivíricos contra el herpes genital recurrente pueden administrarse en forma episódica para mejorar o acortar la evolución de las lesiones, o de manera continua como terapia supresora para aminorar la frecuencia de recidivas. Muchos pacientes se benefician de los antivíricos, por lo que habrá que comentar con todos los enfermos las opciones terapéuticas. El aciclovir ingerible cuya administración se comience en término de dos días de haber iniciado los síntomas acorta el curso medio, aproximadamente en un día. El médico, al suministrar el fármaco o una receta, debe dar instrucciones al paciente para emprender inmediatamente el tratamiento una vez que se manifiesten los síntomas. En Estados Unidos, el valaciclovir y el famciclovir han sido aprobados para tratar adultos con herpes genital recurrente; sin embargo, no existen datos para tratar a niños. El aciclovir tópico no es beneficioso en hospedadores inmunocompetentes.</w:t>
      </w:r>
    </w:p>
    <w:p w14:paraId="1DF41CFF" w14:textId="77777777" w:rsidR="00093A32" w:rsidRDefault="00093A32">
      <w:pPr>
        <w:pStyle w:val="BodyText"/>
        <w:ind w:firstLine="360"/>
      </w:pPr>
      <w:r>
        <w:t>En adultos con recidivas frecuentes de HSV de genitales (seis episodios o más por año), la ingestión de aciclovir diariamente como terapia de supresión disminuye la frecuencia de las recidivas sintomáticas. Después de un año de terapia continua diaria, aproximadamente, habrá que interrumpir el uso del fármaco y valorar el índice de recidiva. Si reaparece el cuadro habrá que pensar en fármacos supresores adicionales. Al parecer, el aciclovir es inocuo para los adultos que lo han recibido por más de 15 años, pero se desconocen sus efectos a largo plazo. Los datos también refuerzan la función supresora del valaciclovir o el famciclovir en adultos.</w:t>
      </w:r>
    </w:p>
    <w:p w14:paraId="390925B3" w14:textId="77777777" w:rsidR="00093A32" w:rsidRDefault="00093A32">
      <w:pPr>
        <w:pStyle w:val="BodyText"/>
        <w:spacing w:line="276" w:lineRule="auto"/>
        <w:ind w:firstLine="360"/>
        <w:rPr>
          <w:sz w:val="15"/>
          <w:szCs w:val="15"/>
        </w:rPr>
      </w:pPr>
      <w:r>
        <w:t xml:space="preserve">No se cuenta con datos sobre el uso de aciclovir, valaciclovir y famciclovir como terapia supresora en niños. Tampoco se ha definido la inocuidad de los tres fármacos anteriores a nivel sistémico en embarazadas. La información disponible señala que no se agrava el peligro de que surjan defectos congénitos importantes en comparación con la población general en mujeres que recibieron aciclovir en el primer trimestre de la gestación. Dicho antivírico puede ser ingerido por las embarazadas en el primer episodio del herpes genital o en el cuadro herpético grave y recurrente, y se le aplicará por vía endovenosa a las gestantes que tienen una infección grave por virus de herpes simple. </w:t>
      </w:r>
      <w:r>
        <w:rPr>
          <w:rFonts w:ascii="Arial" w:eastAsia="Arial" w:hAnsi="Arial" w:cs="Arial"/>
          <w:b/>
          <w:bCs/>
          <w:i/>
          <w:iCs/>
          <w:sz w:val="15"/>
          <w:szCs w:val="15"/>
        </w:rPr>
        <w:t>Forma mucocutánea</w:t>
      </w:r>
    </w:p>
    <w:p w14:paraId="2EF80D4F" w14:textId="77777777" w:rsidR="00093A32" w:rsidRDefault="00093A32">
      <w:pPr>
        <w:pStyle w:val="BodyText"/>
        <w:spacing w:line="283" w:lineRule="auto"/>
        <w:ind w:firstLine="0"/>
      </w:pPr>
      <w:r>
        <w:rPr>
          <w:rFonts w:ascii="Times New Roman" w:eastAsia="Times New Roman" w:hAnsi="Times New Roman" w:cs="Times New Roman"/>
          <w:b/>
          <w:bCs/>
          <w:i/>
          <w:iCs/>
          <w:sz w:val="16"/>
          <w:szCs w:val="16"/>
        </w:rPr>
        <w:t>Hospedadores inmunodeficientes.</w:t>
      </w:r>
      <w:r>
        <w:t xml:space="preserve"> El aciclovir intravenoso es eficaz para tratar y evitar las infecciones mucocutáneas por HSV. La presentación tópica puede acelerar la curación de lesiones en los pacientes inmunodeficientes.</w:t>
      </w:r>
    </w:p>
    <w:p w14:paraId="7D235BE6" w14:textId="77777777" w:rsidR="00093A32" w:rsidRDefault="00093A32">
      <w:pPr>
        <w:pStyle w:val="BodyText"/>
        <w:ind w:firstLine="360"/>
      </w:pPr>
      <w:r>
        <w:t>Se han aislado en personas inmunodeficientes que han recibido por largo tiempo aciclovir, cepas de HSV resistentes a él. En esas circunstancias cabe observar enfermedad progresiva a pesar del uso de dicho antivírico. El fármaco más indicado en situaciones causadas por HSV resistentes a aciclovir es el foscarnet sódico.</w:t>
      </w:r>
    </w:p>
    <w:p w14:paraId="50897C57" w14:textId="77777777" w:rsidR="00093A32" w:rsidRDefault="00093A32">
      <w:pPr>
        <w:pStyle w:val="BodyText"/>
        <w:ind w:firstLine="360"/>
      </w:pPr>
      <w:r>
        <w:rPr>
          <w:rFonts w:ascii="Times New Roman" w:eastAsia="Times New Roman" w:hAnsi="Times New Roman" w:cs="Times New Roman"/>
          <w:b/>
          <w:bCs/>
          <w:i/>
          <w:iCs/>
          <w:sz w:val="16"/>
          <w:szCs w:val="16"/>
        </w:rPr>
        <w:t>Hospedadores inmunocompetentes.</w:t>
      </w:r>
      <w:r>
        <w:t xml:space="preserve"> Son escasos los datos de los efectos del aciclovir en la evolución de las infecciones primarias o recurrentes mucocutáneas extragenitales por HSV en hospedadores inmunocompetentes. Se ha obtenido beneficio terapéutico en un escaso número de niños con gingivostomatitis primaria tratados con aciclovir ingerible. En adultos con herpes labial recurrente se ha señalado mínimo efecto terapéutico de dicho fármaco ingerible. Es ineficaz la presentación tópica.</w:t>
      </w:r>
    </w:p>
    <w:p w14:paraId="45740420" w14:textId="77777777" w:rsidR="00093A32" w:rsidRDefault="00093A32">
      <w:pPr>
        <w:pStyle w:val="BodyText"/>
        <w:ind w:firstLine="360"/>
      </w:pPr>
      <w:r>
        <w:t>En un pequeño estudio comparativo en adultos con herpes labial recurrente (seis episodios o más por año), el aciclovir en dosis profiláctica de 400 mg dos veces al día disminuyó la frecuencia de episodios recurrentes. En niños no se han realizado estudios del fármaco en cuestión usado como preventivo, pero los menores con recurrencias frecuentes pueden beneficiarse de la administración continua de dicho producto oral (80 mg/kg por día en tres fracciones; dosis máxima, 1 000 mg/día); habrá que hacer una nueva valoración después de un año de administración ininterrumpida.</w:t>
      </w:r>
    </w:p>
    <w:p w14:paraId="0ECF1665" w14:textId="77777777" w:rsidR="00093A32" w:rsidRDefault="00093A32">
      <w:pPr>
        <w:pStyle w:val="Bodytext80"/>
        <w:rPr>
          <w:sz w:val="15"/>
          <w:szCs w:val="15"/>
        </w:rPr>
      </w:pPr>
      <w:r>
        <w:rPr>
          <w:b/>
          <w:bCs/>
          <w:i/>
          <w:iCs/>
          <w:sz w:val="15"/>
          <w:szCs w:val="15"/>
        </w:rPr>
        <w:t>Otras infecciones por HSV</w:t>
      </w:r>
    </w:p>
    <w:p w14:paraId="399AE135" w14:textId="77777777" w:rsidR="00093A32" w:rsidRDefault="00093A32">
      <w:pPr>
        <w:pStyle w:val="BodyText"/>
        <w:ind w:firstLine="0"/>
      </w:pPr>
      <w:r>
        <w:rPr>
          <w:rFonts w:ascii="Times New Roman" w:eastAsia="Times New Roman" w:hAnsi="Times New Roman" w:cs="Times New Roman"/>
          <w:b/>
          <w:bCs/>
          <w:i/>
          <w:iCs/>
          <w:sz w:val="16"/>
          <w:szCs w:val="16"/>
        </w:rPr>
        <w:t>Sistema nervioso central.</w:t>
      </w:r>
      <w:r>
        <w:t xml:space="preserve"> Los niños con encefalitis por HSV deben ser tratados 21 días con aciclovir intravenoso. El tratamiento es menos eficaz en adultos de mayor edad que en niños. Los sujetos en coma o en estado semicomatoso al comenzar el tratamiento tienen un mal pronóstico. En el caso de personas con parálisis de Bell habrá que pensar en la combinación de aciclovir y prednisona.</w:t>
      </w:r>
    </w:p>
    <w:p w14:paraId="05BE70CB" w14:textId="77777777" w:rsidR="00093A32" w:rsidRDefault="00093A32">
      <w:pPr>
        <w:pStyle w:val="BodyText"/>
        <w:ind w:firstLine="360"/>
      </w:pPr>
      <w:r>
        <w:rPr>
          <w:rFonts w:ascii="Times New Roman" w:eastAsia="Times New Roman" w:hAnsi="Times New Roman" w:cs="Times New Roman"/>
          <w:b/>
          <w:bCs/>
          <w:i/>
          <w:iCs/>
          <w:sz w:val="16"/>
          <w:szCs w:val="16"/>
        </w:rPr>
        <w:t>Ojos.</w:t>
      </w:r>
      <w:r>
        <w:t xml:space="preserve"> El tratamiento en estos casos se consultará con un oftalmólogo. Se ha probado la eficacia contra la queratitis superficial de algunos productos tópicos como trifluridina al 1 o 2%, yododesoxiuridina al 0.1% y vidarabina a 3%. Los corticosteroides tópicos están contraindicados en casos de que se sospeche conjuntivitis por HSV; sin embargo, es posible que los oftalmólogos los utilicen junto con antivíricos para combatir infecciones invasoras locales. En el caso de niños con lesiones recurrentes de los ojos pudiera ser beneficiosa la terapia supresora con aciclovir ingerido (80 mg/kg de peso al día en tres fracciones; dosis máxima, 1 000 mg/día).</w:t>
      </w:r>
    </w:p>
    <w:p w14:paraId="75F9DA9C"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habrá que cumplir las recomendaciones siguientes.</w:t>
      </w:r>
    </w:p>
    <w:p w14:paraId="0D447BBA" w14:textId="77777777" w:rsidR="00093A32" w:rsidRDefault="00093A32">
      <w:pPr>
        <w:pStyle w:val="BodyText"/>
        <w:ind w:firstLine="360"/>
      </w:pPr>
      <w:r>
        <w:rPr>
          <w:rFonts w:ascii="Arial" w:eastAsia="Arial" w:hAnsi="Arial" w:cs="Arial"/>
          <w:b/>
          <w:bCs/>
          <w:i/>
          <w:iCs/>
          <w:sz w:val="15"/>
          <w:szCs w:val="15"/>
        </w:rPr>
        <w:t>Neonatos con infección por HSV.</w:t>
      </w:r>
      <w:r>
        <w:t xml:space="preserve"> Los neonatos con este problema deben ser hospitalizados y tratados con precauciones para evitar la transmisión por contacto si presentan lesiones mucocutáneas.</w:t>
      </w:r>
    </w:p>
    <w:p w14:paraId="174B3529" w14:textId="77777777" w:rsidR="00093A32" w:rsidRDefault="00093A32">
      <w:pPr>
        <w:pStyle w:val="BodyText"/>
        <w:spacing w:line="276" w:lineRule="auto"/>
        <w:ind w:firstLine="360"/>
      </w:pPr>
      <w:r>
        <w:rPr>
          <w:rFonts w:ascii="Arial" w:eastAsia="Arial" w:hAnsi="Arial" w:cs="Arial"/>
          <w:b/>
          <w:bCs/>
          <w:i/>
          <w:iCs/>
          <w:sz w:val="15"/>
          <w:szCs w:val="15"/>
        </w:rPr>
        <w:t>Neonatos expuestos a HSV durante su nacimiento.</w:t>
      </w:r>
      <w:r>
        <w:t xml:space="preserve"> Los pequeños que nacieron de mujeres con lesiones activas por HSV deben ser tratados con precauciones para evitar la transmisión por contacto durante el periodo en que estén en la incubadora. Algunos expertos piensan que no se necesitan estas precauciones si los productos expuestos nacieron por cesárea, a condición de que las membranas hubieran permanecido rotas menos de 4 h. Es reducido el peligro de infección por HSV en productos posiblemente expuestos (como el caso de hijos de una mujer con un antecedente de herpes genital recurrente).</w:t>
      </w:r>
    </w:p>
    <w:p w14:paraId="3B432E47" w14:textId="77777777" w:rsidR="00093A32" w:rsidRDefault="00093A32">
      <w:pPr>
        <w:pStyle w:val="BodyText"/>
        <w:ind w:firstLine="360"/>
      </w:pPr>
      <w:r>
        <w:t>Otro método de control de la infección en neonatos con exposición perinatal corroborada al HSV es la habitación conjunta y constante con su madre en una estancia privada.</w:t>
      </w:r>
    </w:p>
    <w:p w14:paraId="1B531F1B" w14:textId="77777777" w:rsidR="00093A32" w:rsidRDefault="00093A32">
      <w:pPr>
        <w:pStyle w:val="BodyText"/>
        <w:spacing w:line="276" w:lineRule="auto"/>
        <w:ind w:firstLine="360"/>
      </w:pPr>
      <w:r>
        <w:rPr>
          <w:rFonts w:ascii="Arial" w:eastAsia="Arial" w:hAnsi="Arial" w:cs="Arial"/>
          <w:b/>
          <w:bCs/>
          <w:i/>
          <w:iCs/>
          <w:sz w:val="15"/>
          <w:szCs w:val="15"/>
        </w:rPr>
        <w:t>Mujeres en primera etapa del parto y puérperas con infección por HSV.</w:t>
      </w:r>
      <w:r>
        <w:t xml:space="preserve"> Las mujeres con lesiones activas por HSV deben ser tratadas en la primera y segunda fases del parto y en el puerperio, con precauciones para evitar la transmisión por contacto. Es importante orientarlas sobre la trascendencia de la higiene cuidadosa de las manos antes de cuidar a su pequeño y después de hacerlo. Ellas deben cubrirse con una bata limpia para que el hijo no entre en contacto con las lesiones ni con las secreciones infectantes. La mujer con herpes labial o estomatitis debe utilizar una mascarilla quirúrgica desechable cuando toque a su recién nacido, hasta que las lesiones tengan costra y estén secas. Tampoco besará ni hará caricias con la nariz a su pequeño hasta que hayan desaparecido las lesiones. Es importante cubrir las lesiones herpéticas o en otros sitios de la piel.</w:t>
      </w:r>
    </w:p>
    <w:p w14:paraId="5EDD02F5" w14:textId="77777777" w:rsidR="00093A32" w:rsidRDefault="00093A32">
      <w:pPr>
        <w:pStyle w:val="BodyText"/>
        <w:ind w:firstLine="360"/>
      </w:pPr>
      <w:r>
        <w:t>Es aceptable el amamantamiento si en las mamas no hay lesiones o si están cubiertas las lesiones activas en otros sitios del cuerpo (véase “Lecha Materna”, sección 2).</w:t>
      </w:r>
    </w:p>
    <w:p w14:paraId="5FC75B07" w14:textId="77777777" w:rsidR="00093A32" w:rsidRDefault="00093A32">
      <w:pPr>
        <w:pStyle w:val="BodyText"/>
        <w:spacing w:line="283" w:lineRule="auto"/>
        <w:ind w:firstLine="360"/>
      </w:pPr>
      <w:r>
        <w:rPr>
          <w:rFonts w:ascii="Arial" w:eastAsia="Arial" w:hAnsi="Arial" w:cs="Arial"/>
          <w:b/>
          <w:bCs/>
          <w:i/>
          <w:iCs/>
          <w:sz w:val="15"/>
          <w:szCs w:val="15"/>
        </w:rPr>
        <w:t>Niños con infección mucocutánea por HSV.</w:t>
      </w:r>
      <w:r>
        <w:t xml:space="preserve"> Se recomienda seguir precauciones para evitar la transmisión por contacto en los pacientes con el ataque mucocutáneo grave por HSV. Los sujetos con lesiones recurrentes localizadas deben ser tratados con las precauciones estándar.</w:t>
      </w:r>
    </w:p>
    <w:p w14:paraId="7DFBF634" w14:textId="77777777" w:rsidR="00093A32" w:rsidRDefault="00093A32">
      <w:pPr>
        <w:pStyle w:val="BodyText"/>
        <w:spacing w:after="220" w:line="298" w:lineRule="auto"/>
        <w:ind w:firstLine="360"/>
      </w:pPr>
      <w:r>
        <w:rPr>
          <w:rFonts w:ascii="Arial" w:eastAsia="Arial" w:hAnsi="Arial" w:cs="Arial"/>
          <w:b/>
          <w:bCs/>
          <w:i/>
          <w:iCs/>
          <w:sz w:val="15"/>
          <w:szCs w:val="15"/>
        </w:rPr>
        <w:t>Pacientes de infección por HSV en SNC.</w:t>
      </w:r>
      <w:r>
        <w:t xml:space="preserve"> Se recomiendan precauciones estándar en niños con infección circunscrita al sistema nervioso central.</w:t>
      </w:r>
    </w:p>
    <w:p w14:paraId="462120DA"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FF61DB0" w14:textId="77777777" w:rsidR="00093A32" w:rsidRDefault="00093A32">
      <w:pPr>
        <w:pStyle w:val="BodyText"/>
        <w:spacing w:line="276" w:lineRule="auto"/>
        <w:ind w:firstLine="0"/>
      </w:pPr>
      <w:r>
        <w:rPr>
          <w:rFonts w:ascii="Arial" w:eastAsia="Arial" w:hAnsi="Arial" w:cs="Arial"/>
          <w:b/>
          <w:bCs/>
          <w:i/>
          <w:iCs/>
          <w:sz w:val="15"/>
          <w:szCs w:val="15"/>
        </w:rPr>
        <w:t>Prevención de infección neonatal.</w:t>
      </w:r>
      <w:r>
        <w:t xml:space="preserve"> Se han sucedido cambios notables en la opinión de los expertos acerca del tratamiento apropiado de embarazadas, para reducir al mínimo el peligro de infección del neonato por HSV. Ya no se recomienda obtener material de cultivo en busca de HSV, semanalmente durante la gestación. Se acepta que existe un riesgo reducido de que las mujeres con el antecedente de infección genital por HSV y las que tienen compañeros sexuales con ese tipo de infección, transmitan el virus a sus pequeños (véase antes en este resumen “Aspectos epidemiológicos”).</w:t>
      </w:r>
    </w:p>
    <w:p w14:paraId="1FDDE89E" w14:textId="77777777" w:rsidR="00093A32" w:rsidRDefault="00093A32">
      <w:pPr>
        <w:pStyle w:val="BodyText"/>
        <w:ind w:firstLine="360"/>
      </w:pPr>
      <w:r>
        <w:t>El tratamiento de productos expuestos a HSV durante el parto difiere de acuerdo con el estado de la infección de la gestante, el tipo de parto y la opinión de los expertos (véase después en este resumen “Atención de neonatos hijos de madres con lesiones genitales activas”). Entre las recomendaciones actuales para tratar a las embarazadas de modo que se evite la infección por HSV están:</w:t>
      </w:r>
    </w:p>
    <w:p w14:paraId="1F31BCA8" w14:textId="77777777" w:rsidR="00093A32" w:rsidRDefault="00093A32">
      <w:pPr>
        <w:pStyle w:val="BodyText"/>
        <w:numPr>
          <w:ilvl w:val="0"/>
          <w:numId w:val="74"/>
        </w:numPr>
        <w:tabs>
          <w:tab w:val="left" w:pos="329"/>
        </w:tabs>
        <w:ind w:left="360" w:hanging="360"/>
      </w:pPr>
      <w:bookmarkStart w:id="203" w:name="bookmark809"/>
      <w:bookmarkEnd w:id="203"/>
      <w:r>
        <w:rPr>
          <w:rFonts w:ascii="Times New Roman" w:eastAsia="Times New Roman" w:hAnsi="Times New Roman" w:cs="Times New Roman"/>
          <w:b/>
          <w:bCs/>
          <w:i/>
          <w:iCs/>
          <w:sz w:val="16"/>
          <w:szCs w:val="16"/>
        </w:rPr>
        <w:t>Durante el embarazo.</w:t>
      </w:r>
      <w:r>
        <w:t xml:space="preserve"> En las valoraciones prenatales habrá que interrogar a todas las embarazadas en cuanto a signos y síntomas pasados o actuales, compatibles por sí mismos con infección por herpes genital y si lo muestran sus compañeros sexuales.</w:t>
      </w:r>
    </w:p>
    <w:p w14:paraId="521F48E7" w14:textId="77777777" w:rsidR="00093A32" w:rsidRDefault="00093A32">
      <w:pPr>
        <w:pStyle w:val="BodyText"/>
        <w:numPr>
          <w:ilvl w:val="0"/>
          <w:numId w:val="74"/>
        </w:numPr>
        <w:tabs>
          <w:tab w:val="left" w:pos="329"/>
        </w:tabs>
        <w:spacing w:after="220"/>
        <w:ind w:left="360" w:hanging="360"/>
      </w:pPr>
      <w:bookmarkStart w:id="204" w:name="bookmark810"/>
      <w:bookmarkEnd w:id="204"/>
      <w:r>
        <w:rPr>
          <w:rFonts w:ascii="Times New Roman" w:eastAsia="Times New Roman" w:hAnsi="Times New Roman" w:cs="Times New Roman"/>
          <w:b/>
          <w:bCs/>
          <w:i/>
          <w:iCs/>
          <w:sz w:val="16"/>
          <w:szCs w:val="16"/>
        </w:rPr>
        <w:t>Mujeres en primera fase del parto.</w:t>
      </w:r>
      <w:r>
        <w:t xml:space="preserve"> En la primera fase del parto habrá que interrogar a todas las gestantes en cuanto a signos y síntomas recientes o actuales compatibles con infección de herpes genital y se las explorará con enorme cuidado en busca de signos clínicos de tal problema. La cesárea en mujeres que tienen infección clínicamente manifiesta puede disminuir el peligro de infección por HSV al neonato si se practica en término de 4 a 6 h de haberse roto las membranas, pero si se realiza en momentos ulteriores es menos probable que disminuya la frecuencia de infección en el recién nacido. A pesar de lo comentado, muchos expertos recomiendan practicar la cesárea en casos en que hay infección del conducto del parto, incluso si las membranas estuvieron rotas durante 6 h o más. Si no hay lesiones en genitales, el antecedente de HSV de genitales por la mujer no constituye indicación para practicar cesárea. Es mejor no utilizar monitores de cuero cabelludo del producto en la medida de lo posible en los hijos de mujeres de las que se sospecha infección activa por herpes genital.</w:t>
      </w:r>
    </w:p>
    <w:p w14:paraId="153CB7E3" w14:textId="77777777" w:rsidR="00093A32" w:rsidRDefault="00093A32">
      <w:pPr>
        <w:pStyle w:val="BodyText"/>
        <w:ind w:firstLine="360"/>
      </w:pPr>
      <w:r>
        <w:t>Habrá que emprender inmediatamente la cesárea en toda mujer que muestra rotura de membranas y lesiones genitales activas, en el término del embarazo. No se ha definido la asistencia adecuada del parto si la rotura de las membranas, en presencia de lesiones genitales activas, ocurre en una fecha en que todavía son inmaduros los pulmones del feto. Algunos expertos recomiendan administrar a la gestante aciclovir intravenoso (15 mg/kg en tres fracciones, con dosis máxima de 1 200 mg/día) si se difiere el trabajo de parto y la expulsión. Se desconoce la utilidad y los riesgos del aciclovir en tal situación. En Estados Unidos, la FDA no ha aprobado el uso de aciclovir para tal indicación.</w:t>
      </w:r>
    </w:p>
    <w:p w14:paraId="55673D81" w14:textId="77777777" w:rsidR="00093A32" w:rsidRDefault="00093A32">
      <w:pPr>
        <w:pStyle w:val="Bodytext80"/>
        <w:rPr>
          <w:sz w:val="15"/>
          <w:szCs w:val="15"/>
        </w:rPr>
      </w:pPr>
      <w:r>
        <w:rPr>
          <w:b/>
          <w:bCs/>
          <w:i/>
          <w:iCs/>
          <w:sz w:val="15"/>
          <w:szCs w:val="15"/>
        </w:rPr>
        <w:t>Atención de neonatos de madres con lesiones genitales activas</w:t>
      </w:r>
    </w:p>
    <w:p w14:paraId="74AF66FC" w14:textId="77777777" w:rsidR="00093A32" w:rsidRDefault="00093A32">
      <w:pPr>
        <w:pStyle w:val="BodyText"/>
        <w:spacing w:line="276" w:lineRule="auto"/>
        <w:ind w:firstLine="0"/>
      </w:pPr>
      <w:r>
        <w:rPr>
          <w:rFonts w:ascii="Times New Roman" w:eastAsia="Times New Roman" w:hAnsi="Times New Roman" w:cs="Times New Roman"/>
          <w:b/>
          <w:bCs/>
          <w:i/>
          <w:iCs/>
          <w:sz w:val="16"/>
          <w:szCs w:val="16"/>
        </w:rPr>
        <w:t>Parto vaginal.</w:t>
      </w:r>
      <w:r>
        <w:t xml:space="preserve"> El riesgo de los pequeños expuestos a lesiones por virus de herpes simple durante su nacimiento varía en diferentes circunstancias, de menos de 5 a 50% o más; por tal razón no hay consenso en cuanto a la decisión de tratar al pequeño expuesto pero asintomático, con medidas empíricas, como el aciclovir intravenoso. La cifra de infección de hijos de madres con herpes genital recurrente y activo es menor de 5%; por esa causa, muchos expertos no tratarían empíricamente a los pequeños con aciclovir. Sin embargo, hay que instruir a los progenitores o los cuidadores para que reconozcan los signos y síntomas de la infección por HSV en el neonato.</w:t>
      </w:r>
    </w:p>
    <w:p w14:paraId="080ECBAF" w14:textId="77777777" w:rsidR="00093A32" w:rsidRDefault="00093A32">
      <w:pPr>
        <w:pStyle w:val="BodyText"/>
        <w:ind w:firstLine="360"/>
      </w:pPr>
      <w:r>
        <w:t>En los hijos de mujeres con infección genital primaria el riesgo de infección puede rebasar el 50%. Ante esta cifra alta, algunos expertos recomiendan el tratamiento empírico con aciclovir en el neonato después que se ha obtenido material para cultivo y conocido sus resultados, en tanto que otros practicarían cultivos en busca de HSV 24 a 48 h después del parto y emprenderán la administración del aciclovir sólo si se identifica el virus en tales cultivos. No obstante, si el producto tiene síntomas que sugieran la infección, como erupciones en la piel o el cuero cabelludo (en particular las vesículas) o manifestaciones clínicas no explicadas (como las de sepsis), habrá que obtener material de cultivo y hacerlos, independientemente de la edad, y emprender inmediatamente la administración de aciclovir.</w:t>
      </w:r>
    </w:p>
    <w:p w14:paraId="3AA8AF0C" w14:textId="77777777" w:rsidR="00093A32" w:rsidRDefault="00093A32">
      <w:pPr>
        <w:pStyle w:val="BodyText"/>
        <w:ind w:firstLine="360"/>
      </w:pPr>
      <w:r>
        <w:t>Distinguir entre la infección primaria de genitales y la infección recurrente por HSV en la gestante permitirá valorar el peligro de infección por dicho virus en el producto expuesto, pero tal diferenciación suele ser difícil. Los primeros episodios de la infección clínica quizá no sean infecciones primarias. A menudo estas últimas son asintomáticas, situación en la cual el primer episodio sintomático en realidad representa la reactivación de una infección (recurrente). En casos escogidos pueden ser útiles los métodos serológicos. Por ejemplo, si la mujer con lesiones herpéticas no tiene anticuerpos detectables contra HSV, su caso será el de infección primaria. Para la valoración de las mujeres seropositivas es necesario diferenciar entre los anticuerpos contra HSV-1 y contra HSV-2. En la actualidad tal diferenciación es fiable si se practican los métodos basados en detección de la glucoproteína G con especificidad de tipo.</w:t>
      </w:r>
    </w:p>
    <w:p w14:paraId="74503B38" w14:textId="77777777" w:rsidR="00093A32" w:rsidRDefault="00093A32">
      <w:pPr>
        <w:pStyle w:val="BodyText"/>
        <w:spacing w:line="283" w:lineRule="auto"/>
        <w:ind w:firstLine="360"/>
      </w:pPr>
      <w:r>
        <w:rPr>
          <w:rFonts w:ascii="Times New Roman" w:eastAsia="Times New Roman" w:hAnsi="Times New Roman" w:cs="Times New Roman"/>
          <w:b/>
          <w:bCs/>
          <w:i/>
          <w:iCs/>
          <w:sz w:val="16"/>
          <w:szCs w:val="16"/>
        </w:rPr>
        <w:t>Recomendaciones.</w:t>
      </w:r>
      <w:r>
        <w:t xml:space="preserve"> El tratamiento de lactantes asintomáticos expuestos que nacieron por vía vaginal de mujeres con lesiones genitales activas puede dividirse de la forma siguiente, con base en el tipo de la infección de su madre.</w:t>
      </w:r>
    </w:p>
    <w:p w14:paraId="44FCC7B5" w14:textId="77777777" w:rsidR="00093A32" w:rsidRDefault="00093A32">
      <w:pPr>
        <w:pStyle w:val="BodyText"/>
        <w:numPr>
          <w:ilvl w:val="0"/>
          <w:numId w:val="74"/>
        </w:numPr>
        <w:tabs>
          <w:tab w:val="left" w:pos="336"/>
        </w:tabs>
        <w:ind w:firstLine="0"/>
      </w:pPr>
      <w:bookmarkStart w:id="205" w:name="bookmark811"/>
      <w:bookmarkEnd w:id="205"/>
      <w:r>
        <w:t>Mujer con infección primaria</w:t>
      </w:r>
    </w:p>
    <w:p w14:paraId="3086480A" w14:textId="77777777" w:rsidR="00093A32" w:rsidRDefault="00093A32">
      <w:pPr>
        <w:pStyle w:val="BodyText"/>
        <w:numPr>
          <w:ilvl w:val="0"/>
          <w:numId w:val="74"/>
        </w:numPr>
        <w:tabs>
          <w:tab w:val="left" w:pos="336"/>
        </w:tabs>
        <w:ind w:firstLine="0"/>
      </w:pPr>
      <w:bookmarkStart w:id="206" w:name="bookmark812"/>
      <w:bookmarkEnd w:id="206"/>
      <w:r>
        <w:t>Mujer con lesiones recurrentes identificadas</w:t>
      </w:r>
    </w:p>
    <w:p w14:paraId="2A8686F1" w14:textId="77777777" w:rsidR="00093A32" w:rsidRDefault="00093A32">
      <w:pPr>
        <w:pStyle w:val="BodyText"/>
        <w:numPr>
          <w:ilvl w:val="0"/>
          <w:numId w:val="74"/>
        </w:numPr>
        <w:tabs>
          <w:tab w:val="left" w:pos="336"/>
        </w:tabs>
        <w:spacing w:after="220"/>
        <w:ind w:firstLine="0"/>
      </w:pPr>
      <w:bookmarkStart w:id="207" w:name="bookmark813"/>
      <w:bookmarkEnd w:id="207"/>
      <w:r>
        <w:t>Mujer de la que se desconoce su estado (lesiones primarias o recurrentes)</w:t>
      </w:r>
    </w:p>
    <w:p w14:paraId="05F3A731" w14:textId="77777777" w:rsidR="00093A32" w:rsidRDefault="00093A32">
      <w:pPr>
        <w:pStyle w:val="BodyText"/>
        <w:ind w:firstLine="360"/>
      </w:pPr>
      <w:r>
        <w:t>En el caso de los pequeños de cada una de las categorías anteriores habrá que obtener material de cultivo y buscar en él HSV 24 a 48 h después del nacimiento. Las muestras para cultivo deben incluir orina y excrementos, así como material rectal, de la boca y nasofaringe obtenido con aplicador (véase antes en este resumen “Métodos Diagnósticos”). En lo que toca a hijos de mujeres de las que se supone o comprueba la infección primaria, algunos expertos recomiendan el tratamiento empírico con el aciclovir desde el nacimiento, aunque no existen datos en pro de la eficacia de tal estrategia. Otros expertos esperarían los resultados de un cultivo positivo o bien las manifestaciones clínicas de la infección antes de emprender el tratamiento.</w:t>
      </w:r>
    </w:p>
    <w:p w14:paraId="6F61BBE5" w14:textId="77777777" w:rsidR="00093A32" w:rsidRDefault="00093A32">
      <w:pPr>
        <w:pStyle w:val="BodyText"/>
        <w:ind w:firstLine="360"/>
      </w:pPr>
      <w:r>
        <w:t>El pequeño cuya madre tiene lesiones identificadas y recurrentes en genitales debe ser observado cuidadosamente en busca de signos de infección, incluidos los de tipo vesicular en la piel, cuadros disneicos, convulsiones o signos de sepsis. Es prudente enseñar a los progenitores y los cuidadores todo lo referente a los signos y los síntomas de infección por HSV del neonato. El pequeño con cualquiera de las manifestaciones mencionadas debe ser valorado inmediatamente en busca de posible infección por HSV (y también infección bacteriana). Hay que obtener muestras de las lesiones de la piel, conjuntivas, nasofaringe, boca, excrementos y recto por aplicador, orina, capa leucocítica en sangre, excrementos y líquido cefalorraquídeo. También es recomendable estudiar el LCR por medio de la reacción en cadena de polimerasa. Se emprenderá la administración de aciclovir si se advierte positividad de cualquiera de los resultados del cultivo, si la reacción en cadena de polimerasa o el LCR aportan resultados anormales o hay sospecha notable de infección por HSV.</w:t>
      </w:r>
    </w:p>
    <w:p w14:paraId="137229C5" w14:textId="77777777" w:rsidR="00093A32" w:rsidRDefault="00093A32">
      <w:pPr>
        <w:pStyle w:val="BodyText"/>
        <w:ind w:firstLine="360"/>
      </w:pPr>
      <w:r>
        <w:t>Los productos nacidos por cesárea de mujeres con lesiones herpéticas deben ser observados con gran cuidado, y se practicarán cultivos tal como se recomienda en todo pequeño potencialmente expuesto que ha nacido por vía vaginal. Se emprenderá la administración de antivíricos si los resultados del cultivo del material obtenido del pequeño son positivos o si se sospecha decididamente la presencia de HSV.</w:t>
      </w:r>
    </w:p>
    <w:p w14:paraId="1DB91B7F" w14:textId="77777777" w:rsidR="00093A32" w:rsidRDefault="00093A32">
      <w:pPr>
        <w:pStyle w:val="Bodytext80"/>
        <w:rPr>
          <w:sz w:val="15"/>
          <w:szCs w:val="15"/>
        </w:rPr>
      </w:pPr>
      <w:r>
        <w:rPr>
          <w:b/>
          <w:bCs/>
          <w:i/>
          <w:iCs/>
          <w:sz w:val="15"/>
          <w:szCs w:val="15"/>
        </w:rPr>
        <w:t>Otras recomendaciones</w:t>
      </w:r>
    </w:p>
    <w:p w14:paraId="6160A210" w14:textId="77777777" w:rsidR="00093A32" w:rsidRDefault="00093A32">
      <w:pPr>
        <w:pStyle w:val="BodyText"/>
        <w:numPr>
          <w:ilvl w:val="0"/>
          <w:numId w:val="74"/>
        </w:numPr>
        <w:tabs>
          <w:tab w:val="left" w:pos="341"/>
        </w:tabs>
        <w:ind w:left="360" w:hanging="360"/>
      </w:pPr>
      <w:bookmarkStart w:id="208" w:name="bookmark814"/>
      <w:bookmarkEnd w:id="208"/>
      <w:r>
        <w:t>La duración de la observación intrahospitalaria en productos con un mayor peligro de HSV neonatal es variable, y se basa en factores específicos del pequeño y recursos locales, como la capacidad de la familia para observar al menor en el hogar, posibilidad de contar con atención de vigilancia y valoración clínica.</w:t>
      </w:r>
    </w:p>
    <w:p w14:paraId="5336323A" w14:textId="77777777" w:rsidR="00093A32" w:rsidRDefault="00093A32">
      <w:pPr>
        <w:pStyle w:val="BodyText"/>
        <w:numPr>
          <w:ilvl w:val="0"/>
          <w:numId w:val="74"/>
        </w:numPr>
        <w:tabs>
          <w:tab w:val="left" w:pos="341"/>
        </w:tabs>
        <w:spacing w:after="220"/>
        <w:ind w:left="360" w:hanging="360"/>
      </w:pPr>
      <w:bookmarkStart w:id="209" w:name="bookmark815"/>
      <w:bookmarkEnd w:id="209"/>
      <w:r>
        <w:t>La infección del neonato por HSV puede surgir incluso seis semanas después del nacimiento, aunque muchos de los pequeños infectados muestran ya síntomas a las cuatro semanas de vida. Los progenitores y los médicos deben seguir una actitud vigilante y valorar con gran cuidado cualquier erupción u otros síntomas que pudieran ser causados por el virus del herpes simple.</w:t>
      </w:r>
    </w:p>
    <w:p w14:paraId="6131C2EB" w14:textId="77777777" w:rsidR="00093A32" w:rsidRDefault="00093A32">
      <w:pPr>
        <w:pStyle w:val="BodyText"/>
        <w:spacing w:line="276" w:lineRule="auto"/>
        <w:ind w:firstLine="360"/>
      </w:pPr>
      <w:r>
        <w:rPr>
          <w:rFonts w:ascii="Arial" w:eastAsia="Arial" w:hAnsi="Arial" w:cs="Arial"/>
          <w:b/>
          <w:bCs/>
          <w:i/>
          <w:iCs/>
          <w:sz w:val="15"/>
          <w:szCs w:val="15"/>
        </w:rPr>
        <w:t>Personal hospitalario infectado.</w:t>
      </w:r>
      <w:r>
        <w:t xml:space="preserve"> Sólo en raras ocasiones se ha corroborado la transmisión de HSV en salas de cuna, del personal infectado a los pequeños. Es de poca magnitud el riesgo de que suceda dicha forma de transmisión por parte del personal que tiene herpes labial o que están asintomáticos pero que “dispersan” el virus en secreciones de la boca. Los directivos deben comparar el menoscabo de la atención al excluir al personal con herpes labial, que es esencial para la operación de la sala de cunas, con el peligro posible de infectar a los neonatos. El personal con el herpes mencionado que está en contacto con los pequeños debe cubrir las lesiones, no tocarlas y seguir perfectamente las normas de higiene de manos. La transmisión de la infección por parte del personal con lesiones genitales es improbable, siempre y cuando cumplan con las normas de higiene manual. Las personas con panadizo herpético activo no deben participar en la atención directa de neonatos o pacientes inmunodeficientes.</w:t>
      </w:r>
    </w:p>
    <w:p w14:paraId="4D0FA822" w14:textId="77777777" w:rsidR="00093A32" w:rsidRDefault="00093A32">
      <w:pPr>
        <w:pStyle w:val="BodyText"/>
        <w:spacing w:line="288" w:lineRule="auto"/>
        <w:ind w:firstLine="360"/>
        <w:sectPr w:rsidR="00093A32" w:rsidSect="00093A32">
          <w:headerReference w:type="even" r:id="rId396"/>
          <w:headerReference w:type="default" r:id="rId397"/>
          <w:footerReference w:type="even" r:id="rId398"/>
          <w:footerReference w:type="default" r:id="rId399"/>
          <w:headerReference w:type="first" r:id="rId400"/>
          <w:footerReference w:type="first" r:id="rId401"/>
          <w:footnotePr>
            <w:numFmt w:val="chicago"/>
          </w:footnotePr>
          <w:pgSz w:w="8501" w:h="13022"/>
          <w:pgMar w:top="888" w:right="798" w:bottom="514" w:left="819" w:header="0" w:footer="3" w:gutter="0"/>
          <w:cols w:space="720"/>
          <w:noEndnote/>
          <w:titlePg/>
          <w:docGrid w:linePitch="360"/>
          <w15:footnoteColumns w:val="1"/>
        </w:sectPr>
      </w:pPr>
      <w:r>
        <w:rPr>
          <w:rFonts w:ascii="Arial" w:eastAsia="Arial" w:hAnsi="Arial" w:cs="Arial"/>
          <w:b/>
          <w:bCs/>
          <w:i/>
          <w:iCs/>
          <w:sz w:val="15"/>
          <w:szCs w:val="15"/>
        </w:rPr>
        <w:t>Contactos infectados en el círculo familiar de neonatos.</w:t>
      </w:r>
      <w:r>
        <w:t xml:space="preserve"> Se han descrito casos de transmisión intrafamiliar de HSV a neonatos, pero es rara. Habrá que orientar a los integrantes de la familia que tienen lesiones herpéticas de la piel (herpes labial o </w:t>
      </w:r>
    </w:p>
    <w:p w14:paraId="6CB1F65E" w14:textId="77777777" w:rsidR="00093A32" w:rsidRDefault="00093A32">
      <w:pPr>
        <w:pStyle w:val="BodyText"/>
        <w:spacing w:line="288" w:lineRule="auto"/>
        <w:ind w:firstLine="0"/>
      </w:pPr>
      <w:r>
        <w:t>panadizo herpético) sobre los riesgos que conlleva su trastorno y la necesidad de evitar contacto de tales lesiones con los neonatos, seguir las mismas medidas recomendadas para el personal hospitalario infectado y también no besar ni acariciar con la nariz al menor en tanto tengan lesiones activas de los labios, ni tocar al pequeño durante el tiempo en que tengan el panadizo herpético.</w:t>
      </w:r>
    </w:p>
    <w:p w14:paraId="02456213" w14:textId="77777777" w:rsidR="00093A32" w:rsidRDefault="00093A32">
      <w:pPr>
        <w:pStyle w:val="BodyText"/>
        <w:spacing w:line="283" w:lineRule="auto"/>
        <w:ind w:firstLine="360"/>
      </w:pPr>
      <w:r>
        <w:rPr>
          <w:rFonts w:ascii="Arial" w:eastAsia="Arial" w:hAnsi="Arial" w:cs="Arial"/>
          <w:b/>
          <w:bCs/>
          <w:i/>
          <w:iCs/>
          <w:sz w:val="15"/>
          <w:szCs w:val="15"/>
        </w:rPr>
        <w:t>Atención de personas con dermatitis extensas.</w:t>
      </w:r>
      <w:r>
        <w:t xml:space="preserve"> Las personas con dermatitis están expuestas al peligro de presentar eccema herpético. Si están hospitalizadas se seguirán medidas especiales para evitar la exposición a HSV. No deben ser besadas por personas con herpes labial ni tocadas por otras que tengan panadizos herpéticos.</w:t>
      </w:r>
    </w:p>
    <w:p w14:paraId="3AD01200" w14:textId="77777777" w:rsidR="00093A32" w:rsidRDefault="00093A32">
      <w:pPr>
        <w:pStyle w:val="BodyText"/>
        <w:spacing w:line="283" w:lineRule="auto"/>
        <w:ind w:firstLine="360"/>
      </w:pPr>
      <w:r>
        <w:rPr>
          <w:rFonts w:ascii="Arial" w:eastAsia="Arial" w:hAnsi="Arial" w:cs="Arial"/>
          <w:b/>
          <w:bCs/>
          <w:i/>
          <w:iCs/>
          <w:sz w:val="15"/>
          <w:szCs w:val="15"/>
        </w:rPr>
        <w:t>Atención de niños con infecciones mucocutáneas, atendidos en centros pediátricos o escuelas.</w:t>
      </w:r>
      <w:r>
        <w:t xml:space="preserve"> Las infecciones de la boca por HSV son frecuentes en niños atendidos en centros pediátricos o escuelas. Muchas de las infecciones en cuestión son asintomáticas y la propagación del virus por la saliva se produce incluso sin que haya enfermedad clínica. Habrá que excluir de los centros de atención sólo a los menores con gingivostomatitis por HSV (infección primaria) que no tienen control de las infecciones de su boca. No está indicada la exclusión de niños con herpes labial (infección recurrente) de los centros de atención pediátrica ni de la escuela.</w:t>
      </w:r>
    </w:p>
    <w:p w14:paraId="5B4F4C16" w14:textId="77777777" w:rsidR="00093A32" w:rsidRDefault="00093A32">
      <w:pPr>
        <w:pStyle w:val="BodyText"/>
        <w:ind w:firstLine="360"/>
      </w:pPr>
      <w:r>
        <w:t>Los menores con lesiones al descubierto en las superficies expuestas constituyen poco riesgo posible para los contactos. Si un médico certifica que el niño tiene infección recurrente por HSV, basta cubrir las lesiones activas con ropas, un vendaje o un apósito adecuado cuando el menor acude al centro de atención o a la escuela.</w:t>
      </w:r>
    </w:p>
    <w:p w14:paraId="0C26E0C8" w14:textId="77777777" w:rsidR="00093A32" w:rsidRDefault="00093A32">
      <w:pPr>
        <w:pStyle w:val="BodyText"/>
        <w:spacing w:after="100"/>
        <w:ind w:firstLine="360"/>
      </w:pPr>
      <w:r>
        <w:t>Infecciones por virus de herpes simple en luchadores y jugadores de rugby. La infección por HSV-1 ha sido transmitida en competencias deportivas que imponen gran contacto físico y raspones frecuentes de la piel, como sería la lucha grecorromana (herpes de gladiadores) y el rugby (herpes de los jugadores de rugby). Los competidores a menudo no identifican la posible infección o pueden negarla. El contagio de tales infecciones puede ser frenado o evitado por las medidas siguientes: 1) revisión de luchadores y jugadores de rugby en busca de lesiones vesiculares o ulcerosas en zonas expuestas de su cuerpo y alrededor de la boca o los ojos antes de practicar o competir, tarea que realizará una persona que conozca en detalle el aspecto de las infecciones mucocutáneas (incluidas HSV, herpes zoster o impétigo); 2) exclusión de las competencias o las prácticas, a los deportistas con tales problemas hasta que hayan curado o un médico haga una constancia escrita en que se señale que el cuadro no es infeccioso; y 3) limpiar las esteras en que practican los luchadores con una solución recién preparada de algún desinfectante casero (con un cuarto de taza [100 ml aproximadamente] del producto en 3.75 L de agua) aplicados durante un lapso mínimo de contacto de 15 s, cuando menos, todos los días y de preferencia entre una y otra competencia. A pesar de estas precauciones se puede propagar el virus durante las sesiones de lucha y otros deportes en que hay contacto muy cercano con los participantes, por el contacto con personas asintomáticas infectadas.</w:t>
      </w:r>
    </w:p>
    <w:p w14:paraId="4A8A04A4" w14:textId="77777777" w:rsidR="00093A32" w:rsidRDefault="00093A32">
      <w:pPr>
        <w:pStyle w:val="Bodytext70"/>
        <w:spacing w:after="0"/>
      </w:pPr>
      <w:r>
        <w:t>Histoplasmosis</w:t>
      </w:r>
    </w:p>
    <w:p w14:paraId="2BE0D2F5" w14:textId="77777777" w:rsidR="00093A32" w:rsidRDefault="00093A32">
      <w:pPr>
        <w:pStyle w:val="BodyText"/>
        <w:spacing w:line="266" w:lineRule="auto"/>
        <w:ind w:firstLine="0"/>
      </w:pPr>
      <w:r>
        <w:rPr>
          <w:b/>
          <w:bCs/>
          <w:smallCaps/>
          <w:sz w:val="20"/>
          <w:szCs w:val="20"/>
        </w:rPr>
        <w:t>M</w:t>
      </w:r>
      <w:r>
        <w:rPr>
          <w:b/>
          <w:bCs/>
          <w:smallCaps/>
          <w:sz w:val="16"/>
          <w:szCs w:val="16"/>
        </w:rPr>
        <w:t>anifestaciones clínicas</w:t>
      </w:r>
      <w:r>
        <w:rPr>
          <w:b/>
          <w:bCs/>
          <w:smallCaps/>
          <w:sz w:val="20"/>
          <w:szCs w:val="20"/>
        </w:rPr>
        <w:t xml:space="preserve">: </w:t>
      </w:r>
      <w:r>
        <w:rPr>
          <w:rFonts w:ascii="Times New Roman" w:eastAsia="Times New Roman" w:hAnsi="Times New Roman" w:cs="Times New Roman"/>
          <w:i/>
          <w:iCs/>
          <w:sz w:val="16"/>
          <w:szCs w:val="16"/>
        </w:rPr>
        <w:t>Histoplasma capsulatum</w:t>
      </w:r>
      <w:r>
        <w:t xml:space="preserve"> ocasiona síntomas en menos de 5% de las personas infectadas por él. Las manifestaciones mencionadas se clasifican con base en su sitio (pulmonares, extrapulmonares o diseminadas); duración (agudas o crónicas) y características de la infección (primaria o reactivación). La mayoría de los pacientes sintomáticos tienen histoplasmosis pulmonar aguda, un cuadro similar a influenza con dolor retrosternal no pleurítico, adenopatía hiliar y escasos infiltrados en panadizo herpético) sobre los riesgos que conlleva su trastorno y la necesidad de evitar contacto de tales lesiones con los neonatos, seguir las mismas medidas recomendadas para el personal hospitalario infectado y también no besar ni acariciar con la nariz al menor en tanto tengan lesiones activas de los labios, ni tocar al pequeño durante el tiempo en que tengan el panadizo herpético.</w:t>
      </w:r>
    </w:p>
    <w:p w14:paraId="6B09D080" w14:textId="77777777" w:rsidR="00093A32" w:rsidRDefault="00093A32">
      <w:pPr>
        <w:pStyle w:val="BodyText"/>
        <w:spacing w:line="283" w:lineRule="auto"/>
        <w:ind w:firstLine="360"/>
      </w:pPr>
      <w:r>
        <w:rPr>
          <w:rFonts w:ascii="Arial" w:eastAsia="Arial" w:hAnsi="Arial" w:cs="Arial"/>
          <w:b/>
          <w:bCs/>
          <w:i/>
          <w:iCs/>
          <w:sz w:val="15"/>
          <w:szCs w:val="15"/>
        </w:rPr>
        <w:t>Atención de personas con dermatitis extensas.</w:t>
      </w:r>
      <w:r>
        <w:t xml:space="preserve"> Las personas con dermatitis están expuestas al peligro de presentar eccema herpético. Si están hospitalizadas se seguirán medidas especiales para evitar la exposición a HSV. No deben ser besadas por personas con herpes labial ni tocadas por otras que tengan panadizos herpéticos.</w:t>
      </w:r>
    </w:p>
    <w:p w14:paraId="7290B3FC" w14:textId="77777777" w:rsidR="00093A32" w:rsidRDefault="00093A32">
      <w:pPr>
        <w:pStyle w:val="BodyText"/>
        <w:spacing w:line="283" w:lineRule="auto"/>
        <w:ind w:firstLine="360"/>
      </w:pPr>
      <w:r>
        <w:rPr>
          <w:rFonts w:ascii="Arial" w:eastAsia="Arial" w:hAnsi="Arial" w:cs="Arial"/>
          <w:b/>
          <w:bCs/>
          <w:i/>
          <w:iCs/>
          <w:sz w:val="15"/>
          <w:szCs w:val="15"/>
        </w:rPr>
        <w:t>Atención de niños con infecciones mucocutáneas, atendidos en centros pediátricos o escuelas.</w:t>
      </w:r>
      <w:r>
        <w:t xml:space="preserve"> Las infecciones de la boca por HSV son frecuentes en niños atendidos en centros pediátricos o escuelas. Muchas de las infecciones en cuestión son asintomáticas y la propagación del virus por la saliva se produce incluso sin que haya enfermedad clínica. Habrá que excluir de los centros de atención sólo a los menores con gingivostomatitis por HSV (infección primaria) que no tienen control de las infecciones de su boca. No está indicada la exclusión de niños con herpes labial (infección recurrente) de los centros de atención pediátrica ni de la escuela.</w:t>
      </w:r>
    </w:p>
    <w:p w14:paraId="3455C38F" w14:textId="77777777" w:rsidR="00093A32" w:rsidRDefault="00093A32">
      <w:pPr>
        <w:pStyle w:val="BodyText"/>
        <w:ind w:firstLine="360"/>
      </w:pPr>
      <w:r>
        <w:t>Los menores con lesiones al descubierto en las superficies expuestas constituyen poco riesgo posible para los contactos. Si un médico certifica que el niño tiene infección recurrente por HSV, basta cubrir las lesiones activas con ropas, un vendaje o un apósito adecuado cuando el menor acude al centro de atención o a la escuela.</w:t>
      </w:r>
    </w:p>
    <w:p w14:paraId="593C05E9" w14:textId="77777777" w:rsidR="00093A32" w:rsidRDefault="00093A32">
      <w:pPr>
        <w:pStyle w:val="BodyText"/>
        <w:spacing w:after="100"/>
        <w:ind w:firstLine="360"/>
      </w:pPr>
      <w:r>
        <w:t>Infecciones por virus de herpes simple en luchadores y jugadores de rugby. La infección por HSV-1 ha sido transmitida en competencias deportivas que imponen gran contacto físico y raspones frecuentes de la piel, como sería la lucha grecorromana (herpes de gladiadores) y el rugby (herpes de los jugadores de rugby). Los competidores a menudo no identifican la posible infección o pueden negarla. El contagio de tales infecciones puede ser frenado o evitado por las medidas siguientes: 1) revisión de luchadores y jugadores de rugby en busca de lesiones vesiculares o ulcerosas en zonas expuestas de su cuerpo y alrededor de la boca o los ojos antes de practicar o competir, tarea que realizará una persona que conozca en detalle el aspecto de las infecciones mucocutáneas (incluidas HSV, herpes zoster o impétigo); 2) exclusión de las competencias o las prácticas, a los deportistas con tales problemas hasta que hayan curado o un médico haga una constancia escrita en que se señale que el cuadro no es infeccioso; y 3) limpiar las esteras en que practican los luchadores con una solución recién preparada de algún desinfectante casero (con un cuarto de taza [100 ml aproximadamente] del producto en 3.75 L de agua) aplicados durante un lapso mínimo de contacto de 15 s, cuando menos, todos los días y de preferencia entre una y otra competencia. A pesar de estas precauciones se puede propagar el virus durante las sesiones de lucha y otros deportes en que hay contacto muy cercano con los participantes, por el contacto con personas asintomáticas infectadas.</w:t>
      </w:r>
    </w:p>
    <w:p w14:paraId="6EBBA7FD" w14:textId="77777777" w:rsidR="00093A32" w:rsidRDefault="00093A32">
      <w:pPr>
        <w:pStyle w:val="Bodytext70"/>
        <w:spacing w:after="0"/>
      </w:pPr>
      <w:r>
        <w:t>Histoplasmosis</w:t>
      </w:r>
    </w:p>
    <w:p w14:paraId="302887C7" w14:textId="77777777" w:rsidR="00093A32" w:rsidRDefault="00093A32">
      <w:pPr>
        <w:pStyle w:val="BodyText"/>
        <w:spacing w:line="266" w:lineRule="auto"/>
        <w:ind w:firstLine="0"/>
        <w:sectPr w:rsidR="00093A32" w:rsidSect="00093A32">
          <w:headerReference w:type="even" r:id="rId402"/>
          <w:headerReference w:type="default" r:id="rId403"/>
          <w:footerReference w:type="even" r:id="rId404"/>
          <w:footerReference w:type="default" r:id="rId405"/>
          <w:footnotePr>
            <w:numFmt w:val="chicago"/>
          </w:footnotePr>
          <w:type w:val="continuous"/>
          <w:pgSz w:w="8501" w:h="13022"/>
          <w:pgMar w:top="888" w:right="798" w:bottom="514" w:left="819" w:header="0" w:footer="86" w:gutter="0"/>
          <w:cols w:space="720"/>
          <w:noEndnote/>
          <w:docGrid w:linePitch="360"/>
          <w15:footnoteColumns w:val="1"/>
        </w:sectPr>
      </w:pPr>
      <w:r>
        <w:rPr>
          <w:b/>
          <w:bCs/>
          <w:smallCaps/>
          <w:sz w:val="20"/>
          <w:szCs w:val="20"/>
        </w:rPr>
        <w:t>M</w:t>
      </w:r>
      <w:r>
        <w:rPr>
          <w:b/>
          <w:bCs/>
          <w:smallCaps/>
          <w:sz w:val="16"/>
          <w:szCs w:val="16"/>
        </w:rPr>
        <w:t>anifestaciones clínicas</w:t>
      </w:r>
      <w:r>
        <w:rPr>
          <w:b/>
          <w:bCs/>
          <w:smallCaps/>
          <w:sz w:val="20"/>
          <w:szCs w:val="20"/>
        </w:rPr>
        <w:t xml:space="preserve">: </w:t>
      </w:r>
      <w:r>
        <w:rPr>
          <w:rFonts w:ascii="Times New Roman" w:eastAsia="Times New Roman" w:hAnsi="Times New Roman" w:cs="Times New Roman"/>
          <w:i/>
          <w:iCs/>
          <w:sz w:val="16"/>
          <w:szCs w:val="16"/>
        </w:rPr>
        <w:t>Histoplasma capsulatum</w:t>
      </w:r>
      <w:r>
        <w:t xml:space="preserve"> ocasiona síntomas en menos de 5% de las personas infectadas por él. Las manifestaciones mencionadas se clasifican con base en su sitio (pulmonares, extrapulmonares o diseminadas); duración (agudas o crónicas) y características de la infección (primaria o reactivación). La mayoría de los pacientes sintomáticos tienen histoplasmosis pulmonar aguda, un cuadro similar a influenza con dolor retrosternal no pleurítico, adenopatía hiliar y escasos infiltrados en </w:t>
      </w:r>
    </w:p>
    <w:p w14:paraId="1DEDA24E" w14:textId="77777777" w:rsidR="00093A32" w:rsidRDefault="00093A32">
      <w:pPr>
        <w:pStyle w:val="BodyText"/>
        <w:spacing w:line="266" w:lineRule="auto"/>
        <w:ind w:firstLine="0"/>
      </w:pPr>
      <w:r>
        <w:t>campos pulmonares; los síntomas persisten dos días a dos semanas. La exposición intensa a las esporas puede originar síntomas graves de vías respiratorias e infiltrados nodulares difusos en pulmones, fiebre duradera, fatiga y pérdida ponderal. El eritema nudoso también ataca a adolescentes. Pueden surgir infecciones cutáneas primarias después de traumatismos.</w:t>
      </w:r>
    </w:p>
    <w:p w14:paraId="407848FA" w14:textId="77777777" w:rsidR="00093A32" w:rsidRDefault="00093A32">
      <w:pPr>
        <w:pStyle w:val="BodyText"/>
        <w:ind w:firstLine="360"/>
      </w:pPr>
      <w:r>
        <w:t xml:space="preserve">La histoplasmosis diseminada progresiva (progressive disseminated histoplasmosis, PDH) puede aparecer en pequeños por lo demás sanos, menores de dos años de vida. Entre las manifestaciones iniciales están fiebre duradera, retraso del crecimiento y hepatosplenomegalia; sin tratamiento aparecerán malnutrición, adenopatía difusa, neumonía, úlceras de mucosas, pancitopenia, coagulopatía intravascular diseminada y hemorragia de vías gastrointestinales. A menudo hay ataque del sistema nervioso central. Rara vez surgen las infecciones pulmonar y diseminada crónicas. La histoplasmosis puede reactivarse en individuos con deficiencias en su inmunidad mediada por células, años después de la infección primaria; un síntomas inicial sería la fiebre sin un foco manifiesto. Más adelante aparecen neumonitis difusa, lesiones de la piel, meningitis, linfadenopatía, hepatosplenomegalia, pancitopenia y coagulopatías.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Histoplasma capsulatum</w:t>
      </w:r>
      <w:r>
        <w:t xml:space="preserve"> var </w:t>
      </w:r>
      <w:r>
        <w:rPr>
          <w:rFonts w:ascii="Times New Roman" w:eastAsia="Times New Roman" w:hAnsi="Times New Roman" w:cs="Times New Roman"/>
          <w:i/>
          <w:iCs/>
          <w:sz w:val="16"/>
          <w:szCs w:val="16"/>
        </w:rPr>
        <w:t>capsulatum</w:t>
      </w:r>
      <w:r>
        <w:t xml:space="preserve"> es un hongo dimorfo. Prolifera en la tierra como un moho esporógeno con macroconidios, pero se transforma en levadura a la temperatura corporal.</w:t>
      </w:r>
    </w:p>
    <w:p w14:paraId="619472F7" w14:textId="77777777" w:rsidR="00093A32" w:rsidRDefault="00093A32">
      <w:pPr>
        <w:pStyle w:val="BodyText"/>
        <w:ind w:firstLine="0"/>
      </w:pPr>
      <w:r>
        <w:rPr>
          <w:b/>
          <w:bCs/>
        </w:rPr>
        <w:t>A</w:t>
      </w:r>
      <w:r>
        <w:rPr>
          <w:b/>
          <w:bCs/>
          <w:sz w:val="13"/>
          <w:szCs w:val="13"/>
        </w:rPr>
        <w:t>SPECTOS EPIDEMIOLÓGICOS</w:t>
      </w:r>
      <w:r>
        <w:rPr>
          <w:b/>
          <w:bCs/>
        </w:rPr>
        <w:t xml:space="preserve">: </w:t>
      </w:r>
      <w:r>
        <w:t>El germen causal está distribuido en muchas zonas del mundo y es endémico en las zonas oriental y central de Estados Unidos, particularmente en los valles de los ríos Mississippi, en Ohio y en Missouri. Las infecciones aparecen de manera esporádica y en brotes cuando las condiciones climáticas predisponen a la dispersión de las esporas o en epidemias “en un solo punto” por exposición a actividades de jardinería u horticultura; jugar en graneros, árboles huecos, cuevas o perchas de pájaros; o por excavación, demolición, limpieza o renovación de edificios contaminados. El germen prolifera en tierra húmeda. Su multiplicación es facilitada por los excrementos de murciélagos, aves y pollos. Las esporas son dispersadas por aire seco o cuando las actividades ocupacionales o de recreo perturban o trastocan sitios contaminados. La infección la adquiere el paciente por inhalación de las esporas (conidios). El inóculo inhalado, la virulencia de la cepa y el estado inmunitario del hospedador son los factores que influyen en el grado de enfermedad. La reinfección es posible pero se necesita un inóculo de gran magnitud. No hay transmisión directa, de una persona a otra.</w:t>
      </w:r>
    </w:p>
    <w:p w14:paraId="170B46E6" w14:textId="77777777" w:rsidR="00093A32" w:rsidRDefault="00093A32">
      <w:pPr>
        <w:pStyle w:val="BodyText"/>
        <w:spacing w:line="283" w:lineRule="auto"/>
        <w:ind w:firstLine="360"/>
      </w:pPr>
      <w:r>
        <w:t xml:space="preserve">El </w:t>
      </w:r>
      <w:r>
        <w:rPr>
          <w:b/>
          <w:bCs/>
        </w:rPr>
        <w:t xml:space="preserve">periodo de incubación </w:t>
      </w:r>
      <w:r>
        <w:t xml:space="preserve">es variable, pero va de una a tres semanas. </w:t>
      </w:r>
      <w:r>
        <w:rPr>
          <w:b/>
          <w:bCs/>
        </w:rPr>
        <w:t>M</w:t>
      </w:r>
      <w:r>
        <w:rPr>
          <w:b/>
          <w:bCs/>
          <w:sz w:val="13"/>
          <w:szCs w:val="13"/>
        </w:rPr>
        <w:t>ÉTODOS DIAGNÓSTICOS</w:t>
      </w:r>
      <w:r>
        <w:rPr>
          <w:b/>
          <w:bCs/>
        </w:rPr>
        <w:t xml:space="preserve">: </w:t>
      </w:r>
      <w:r>
        <w:t xml:space="preserve">El cultivo es el método definitivo de diagnóstico. </w:t>
      </w:r>
      <w:r>
        <w:rPr>
          <w:rFonts w:ascii="Times New Roman" w:eastAsia="Times New Roman" w:hAnsi="Times New Roman" w:cs="Times New Roman"/>
          <w:i/>
          <w:iCs/>
          <w:sz w:val="16"/>
          <w:szCs w:val="16"/>
        </w:rPr>
        <w:t>Histoplasma capsulatum</w:t>
      </w:r>
      <w:r>
        <w:t xml:space="preserve"> en médula ósea, sangre, esputo y muestras de tejido prolifera en los medios micológicos corrientes en término de una a seis semanas. En el caso de los cultivos de sangre se prefiere el método de centrifugación-lisis. La sonda de DNA de </w:t>
      </w:r>
      <w:r>
        <w:rPr>
          <w:rFonts w:ascii="Times New Roman" w:eastAsia="Times New Roman" w:hAnsi="Times New Roman" w:cs="Times New Roman"/>
          <w:i/>
          <w:iCs/>
          <w:sz w:val="16"/>
          <w:szCs w:val="16"/>
        </w:rPr>
        <w:t>H. capsulatum</w:t>
      </w:r>
      <w:r>
        <w:t xml:space="preserve"> permite la identificación rápida.</w:t>
      </w:r>
    </w:p>
    <w:p w14:paraId="26AB9EE0" w14:textId="77777777" w:rsidR="00093A32" w:rsidRDefault="00093A32">
      <w:pPr>
        <w:pStyle w:val="BodyText"/>
        <w:ind w:firstLine="360"/>
      </w:pPr>
      <w:r>
        <w:t>La demostración de las típicas formas en levadura intracelulares por estudio con metenamina argéntica de Gomori u otros colorante de tejidos, sangre, médula ósea o muestras de lavado broncoalveolar refuerza netamente el diagnóstico de histoplasmosis cuando son compatibles los datos clínicos, epidemiológicos y de otros estudios de laboratorio.</w:t>
      </w:r>
    </w:p>
    <w:p w14:paraId="20FACF7E" w14:textId="77777777" w:rsidR="00093A32" w:rsidRDefault="00093A32">
      <w:pPr>
        <w:pStyle w:val="BodyText"/>
        <w:ind w:firstLine="360"/>
      </w:pPr>
      <w:r>
        <w:t xml:space="preserve">Un método rápido y específico de diagnóstico es detectar el antígeno polisacárido de </w:t>
      </w:r>
      <w:r>
        <w:rPr>
          <w:rFonts w:ascii="Times New Roman" w:eastAsia="Times New Roman" w:hAnsi="Times New Roman" w:cs="Times New Roman"/>
          <w:i/>
          <w:iCs/>
          <w:sz w:val="16"/>
          <w:szCs w:val="16"/>
        </w:rPr>
        <w:t>H. capsulatum (H. capsulatum polysaccharide antigen</w:t>
      </w:r>
      <w:r>
        <w:rPr>
          <w:i/>
          <w:iCs/>
        </w:rPr>
        <w:t>,</w:t>
      </w:r>
      <w:r>
        <w:t xml:space="preserve"> HPA) en suero, orina o líquido de lavado broncoalveolar, por técnicas de radioinmunoensayo o inmunoanálisis enzimàtico. Es más sensible en el caso de infecciones diseminadas progresivas; la negatividad de dicho estudio no descarta la infección. Si la prueba es positiva inicialmente, puede recurrirse al método del antígeno para vigilar la respuesta al tratamiento y para identificar la recidiva en pacientes infectados por virus de inmunodeficiencia humana (VIH). Surgen reacciones cruzadas en personas con blastomicosis, coccidiodomicosis, paracoccidiodomicosis e infección por </w:t>
      </w:r>
      <w:r>
        <w:rPr>
          <w:rFonts w:ascii="Times New Roman" w:eastAsia="Times New Roman" w:hAnsi="Times New Roman" w:cs="Times New Roman"/>
          <w:i/>
          <w:iCs/>
          <w:sz w:val="16"/>
          <w:szCs w:val="16"/>
        </w:rPr>
        <w:t>Pénicillium marneffei</w:t>
      </w:r>
      <w:r>
        <w:rPr>
          <w:i/>
          <w:iCs/>
        </w:rPr>
        <w:t>;</w:t>
      </w:r>
      <w:r>
        <w:t xml:space="preserve"> los datos clínicos y epidemiológicos circunstanciales ayudan a la diferenciación de las infecciones mencionadas. La prueba HPA tiene escasa sensibilidad para el diagnóstico de histoplasmosis pulmonar aguda en personas inmunodeficientes.</w:t>
      </w:r>
    </w:p>
    <w:p w14:paraId="50F6DFA0" w14:textId="77777777" w:rsidR="00093A32" w:rsidRDefault="00093A32">
      <w:pPr>
        <w:pStyle w:val="BodyText"/>
        <w:spacing w:line="276" w:lineRule="auto"/>
        <w:ind w:firstLine="360"/>
      </w:pPr>
      <w:r>
        <w:t xml:space="preserve">Entre los métodos serológicos para detectar anticuerpos y fijadores de complemento contra </w:t>
      </w:r>
      <w:r>
        <w:rPr>
          <w:rFonts w:ascii="Times New Roman" w:eastAsia="Times New Roman" w:hAnsi="Times New Roman" w:cs="Times New Roman"/>
          <w:i/>
          <w:iCs/>
          <w:sz w:val="16"/>
          <w:szCs w:val="16"/>
        </w:rPr>
        <w:t>H. capsulatum</w:t>
      </w:r>
      <w:r>
        <w:t xml:space="preserve"> están el uso de antígenos de la fase de micelio (histoplasmina) y la de levadura. El incremento cuádruple de los títulos de la fase de levadura o un solo título de 1:32 o más es prueba presuncional de infección activa. Surgen a veces anticuerpos “cruzados” por infecciones por </w:t>
      </w:r>
      <w:r>
        <w:rPr>
          <w:rFonts w:ascii="Times New Roman" w:eastAsia="Times New Roman" w:hAnsi="Times New Roman" w:cs="Times New Roman"/>
          <w:i/>
          <w:iCs/>
          <w:sz w:val="16"/>
          <w:szCs w:val="16"/>
        </w:rPr>
        <w:t>Blastomyces dermatitidis</w:t>
      </w:r>
      <w:r>
        <w:t xml:space="preserve"> y </w:t>
      </w:r>
      <w:r>
        <w:rPr>
          <w:rFonts w:ascii="Times New Roman" w:eastAsia="Times New Roman" w:hAnsi="Times New Roman" w:cs="Times New Roman"/>
          <w:i/>
          <w:iCs/>
          <w:sz w:val="16"/>
          <w:szCs w:val="16"/>
        </w:rPr>
        <w:t>Coccidioides immitis.</w:t>
      </w:r>
      <w:r>
        <w:t xml:space="preserve"> En la prueba de inmunodifusión, la presencia de bandas H, a pesar de que son raras, sugieren fuertemente una infección aguda. El método de inmunodifusión es más específico que el de fijación de complemento, pero este último es más sensible.</w:t>
      </w:r>
    </w:p>
    <w:p w14:paraId="29EDE893" w14:textId="77777777" w:rsidR="00093A32" w:rsidRDefault="00093A32">
      <w:pPr>
        <w:pStyle w:val="BodyText"/>
        <w:ind w:firstLine="360"/>
      </w:pPr>
      <w:r>
        <w:t>La prueba cutánea con histoplasmina no es útil para fines diagnósticos y no se le practica en Estados Unidos.</w:t>
      </w:r>
    </w:p>
    <w:p w14:paraId="27001503" w14:textId="77777777" w:rsidR="00093A32" w:rsidRDefault="00093A32">
      <w:pPr>
        <w:pStyle w:val="BodyText"/>
        <w:ind w:firstLine="0"/>
      </w:pPr>
      <w:r>
        <w:rPr>
          <w:b/>
          <w:bCs/>
          <w:smallCaps/>
          <w:sz w:val="20"/>
          <w:szCs w:val="20"/>
        </w:rPr>
        <w:t>T</w:t>
      </w:r>
      <w:r>
        <w:rPr>
          <w:b/>
          <w:bCs/>
          <w:smallCaps/>
          <w:sz w:val="16"/>
          <w:szCs w:val="16"/>
        </w:rPr>
        <w:t>ratamiento</w:t>
      </w:r>
      <w:r>
        <w:rPr>
          <w:b/>
          <w:bCs/>
          <w:smallCaps/>
          <w:sz w:val="20"/>
          <w:szCs w:val="20"/>
        </w:rPr>
        <w:t>:</w:t>
      </w:r>
      <w:r>
        <w:t xml:space="preserve"> Los niños inmunocompetentes con histoplasmosis pulmonar primaria no complicada rara vez necesitan antimicóticos. Las indicaciones para usarlos incluyen PDH en lactantes e infección aguda en pacientes inmunodeficientes. Otras manifestaciones de la histoplasmosis en niños inmunocompetentes en que habría que pensar en la terapia con antimicóticos incluirían neumopatías con síntomas que persisten más de cuatro semanas, un cuadro grave con exposiciones intensas y adenitis granulomatosa que obstruye estructuras de gran importancia (como bronquios o vasos sanguíneos).</w:t>
      </w:r>
    </w:p>
    <w:p w14:paraId="4932E41D" w14:textId="77777777" w:rsidR="00093A32" w:rsidRDefault="00093A32">
      <w:pPr>
        <w:pStyle w:val="BodyText"/>
        <w:ind w:firstLine="360"/>
      </w:pPr>
      <w:r>
        <w:t>Se recomienda la administración de anfotericina B contra la enfermedad diseminada y otras infecciones graves (véase “Fármacos contra micosis invasoras y otras de gravedad en niños”, sección 4); casi todos los expertos piensan que la mejoría clínica surge con mayor rapidez con dicho antibiótico que con los azoles. En otras circunstancias en que está justificado el uso de antimicóticos han sido también eficaces itraconazol y fluconazol. No se ha definido la inocuidad y la eficacia del primero en los niños, pero en los adultos se le prefiere en vez del fluconazol y tiene efectos tóxicos insignificantes. Itraconazol también ha sido eficaz en el tratamiento de la histoplasmosis diseminada leve en personas infectadas por virus de inmunodeficiencia humana.</w:t>
      </w:r>
    </w:p>
    <w:p w14:paraId="40660613" w14:textId="77777777" w:rsidR="00093A32" w:rsidRDefault="00093A32">
      <w:pPr>
        <w:pStyle w:val="BodyText"/>
        <w:ind w:firstLine="360"/>
      </w:pPr>
      <w:r>
        <w:t>La duración del tratamiento con anfotericina B contra PDH va de cuatro a seis semanas. Son escasos los datos en niños, pero algunos expertos recomiendan limitar la administración de dicho fármaco, a dos a tres semanas, si se obtiene mejoría clínica sustancial, y después tres a seis semanas con itraconazol. Las infecciones leves en personas infectadas con VIH se pueden tratar con itraconazol durante tres meses. Los sujetos con infección por VIH y PDH necesitan recibir toda la vida los fármacos supresores como el itraconazol, para evitar recidivas; si el sujeto no tolera el itraconazol puede usarse fluconazol.</w:t>
      </w:r>
    </w:p>
    <w:p w14:paraId="2503E311" w14:textId="77777777" w:rsidR="00093A32" w:rsidRDefault="00093A32">
      <w:pPr>
        <w:pStyle w:val="BodyText"/>
        <w:ind w:firstLine="360"/>
        <w:sectPr w:rsidR="00093A32" w:rsidSect="00093A32">
          <w:headerReference w:type="even" r:id="rId406"/>
          <w:headerReference w:type="default" r:id="rId407"/>
          <w:footerReference w:type="even" r:id="rId408"/>
          <w:footerReference w:type="default" r:id="rId409"/>
          <w:headerReference w:type="first" r:id="rId410"/>
          <w:footerReference w:type="first" r:id="rId411"/>
          <w:footnotePr>
            <w:numFmt w:val="chicago"/>
          </w:footnotePr>
          <w:pgSz w:w="8501" w:h="13022"/>
          <w:pgMar w:top="888" w:right="798" w:bottom="514" w:left="819" w:header="0" w:footer="3" w:gutter="0"/>
          <w:cols w:space="720"/>
          <w:noEndnote/>
          <w:titlePg/>
          <w:docGrid w:linePitch="360"/>
          <w15:footnoteColumns w:val="1"/>
        </w:sectPr>
      </w:pPr>
      <w:r>
        <w:t>Entidades como eritema nudoso, síndromes artríticos y pericarditis no justifican el uso de antimicóticos. La pericarditis se trata con indometacina. La fibrosis densa de estructuras mediastínicas sin un componente inflamatorio granulomatoso coexistente no mejora con los antimicóticos.</w:t>
      </w:r>
    </w:p>
    <w:p w14:paraId="212AC6B0"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con las precauciones estándar.</w:t>
      </w:r>
    </w:p>
    <w:p w14:paraId="01151AAB"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En los brotes está indicado investigar el origen común de la infección. Hay que evitar la exposición a la tierra y al polvo de zonas con acumulaciones notables de excrementos de aves y murciélagos, en particular personas inmunodeficientes; si tal exposición es inevitable, se le puede controlar con el empleo de mascarillas, guantes y ropas desechables. Se cuenta con directrices para evitar la histoplasmosis, creadas para profesionales sanitarios y de seguridad, consultores de ambiente y personas que supervisan a trabajadores que participan en actividades en que hay trastocamiento de materiales contaminados. Se puede obtener más información sobre tales directrices en el National Institute for Occupational Safety and Health (NIOSH; publicación No. 97-146), Publications Dissemination, 4676 Columbia Parkway, Cincinnati, OH 45226-1998; teléfono 800/356-4674; the National Center for Infectious Diseases, teléfono 404/639-3158; y la página Web NIOSH (</w:t>
      </w:r>
      <w:hyperlink r:id="rId412" w:history="1">
        <w:r>
          <w:t>www.cdc.gov/niosh/97-146.html</w:t>
        </w:r>
      </w:hyperlink>
      <w:r>
        <w:t>).</w:t>
      </w:r>
    </w:p>
    <w:p w14:paraId="21ACC599" w14:textId="77777777" w:rsidR="00093A32" w:rsidRDefault="00093A32">
      <w:pPr>
        <w:pStyle w:val="BodyText"/>
        <w:spacing w:line="257" w:lineRule="auto"/>
        <w:ind w:firstLine="0"/>
      </w:pPr>
      <w:r>
        <w:rPr>
          <w:rFonts w:ascii="Arial" w:eastAsia="Arial" w:hAnsi="Arial" w:cs="Arial"/>
          <w:b/>
          <w:bCs/>
          <w:w w:val="70"/>
          <w:sz w:val="32"/>
          <w:szCs w:val="32"/>
        </w:rPr>
        <w:t>Humana, infección por virus de inmunodeficiencia (VIH)</w:t>
      </w:r>
      <w:r>
        <w:rPr>
          <w:rFonts w:ascii="Arial" w:eastAsia="Arial" w:hAnsi="Arial" w:cs="Arial"/>
          <w:b/>
          <w:bCs/>
          <w:w w:val="70"/>
          <w:sz w:val="32"/>
          <w:szCs w:val="32"/>
        </w:rPr>
        <w:footnoteReference w:id="26"/>
      </w:r>
      <w:r>
        <w:rPr>
          <w:rFonts w:ascii="Arial" w:eastAsia="Arial" w:hAnsi="Arial" w:cs="Arial"/>
          <w:b/>
          <w:bCs/>
          <w:w w:val="70"/>
          <w:sz w:val="32"/>
          <w:szCs w:val="32"/>
        </w:rPr>
        <w:t xml:space="preserve"> </w:t>
      </w:r>
      <w:r>
        <w:rPr>
          <w:rFonts w:ascii="Arial" w:eastAsia="Arial" w:hAnsi="Arial" w:cs="Arial"/>
          <w:b/>
          <w:bCs/>
          <w:w w:val="70"/>
          <w:sz w:val="32"/>
          <w:szCs w:val="32"/>
        </w:rPr>
        <w:footnoteReference w:id="27"/>
      </w:r>
      <w:r>
        <w:rPr>
          <w:rFonts w:ascii="Arial" w:eastAsia="Arial" w:hAnsi="Arial" w:cs="Arial"/>
          <w:b/>
          <w:bCs/>
          <w:w w:val="70"/>
          <w:sz w:val="32"/>
          <w:szCs w:val="32"/>
        </w:rPr>
        <w:t xml:space="preserve"> </w:t>
      </w: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infección por el virus de inmunodeficiencia humana en niños y adolescentes origina cuadros muy heterogéneos de enfermedad y sigue una evolución clínica variable. El extremo del espectro clínico es el síndrome de inmunodeficiencia adquirida (SIDA). Las definiciones actuales para vigilancia, emitidas por los </w:t>
      </w:r>
      <w:r>
        <w:rPr>
          <w:rFonts w:ascii="Times New Roman" w:eastAsia="Times New Roman" w:hAnsi="Times New Roman" w:cs="Times New Roman"/>
          <w:i/>
          <w:iCs/>
          <w:sz w:val="16"/>
          <w:szCs w:val="16"/>
        </w:rPr>
        <w:t>Centers for Disease Control and Prevention</w:t>
      </w:r>
      <w:r>
        <w:t xml:space="preserve"> (CDC) con respecto al SIDA en adultos y adolescentes se incluyen en el cuadro 3-31, y las categorías clínicas y el sistema de clasificación pediátrica de los CDC para niños menores de 13 años hijos de madres infectadas por el virus o que se sabe están infectados con dicha partícula se incluyen en los cuadros 3-32 y 3-33?</w:t>
      </w:r>
      <w:r>
        <w:rPr>
          <w:rFonts w:ascii="Times New Roman" w:eastAsia="Times New Roman" w:hAnsi="Times New Roman" w:cs="Times New Roman"/>
          <w:sz w:val="11"/>
          <w:szCs w:val="11"/>
        </w:rPr>
        <w:t xml:space="preserve">* </w:t>
      </w:r>
      <w:r>
        <w:t xml:space="preserve">La clasificación pediátrica que se estableció para vigilancia de la infección por VIH destaca la importancia del número de linfocitos T CD4+ como un indicador inmunológico indirecto y un marcador del pronóstico, pero no utiliza datos del número de virus (carga vírica) como se cuantifican con la reacción en cadena de polimerasa </w:t>
      </w:r>
      <w:r>
        <w:rPr>
          <w:i/>
          <w:iCs/>
        </w:rPr>
        <w:t>(</w:t>
      </w:r>
      <w:r>
        <w:rPr>
          <w:rFonts w:ascii="Times New Roman" w:eastAsia="Times New Roman" w:hAnsi="Times New Roman" w:cs="Times New Roman"/>
          <w:i/>
          <w:iCs/>
          <w:sz w:val="16"/>
          <w:szCs w:val="16"/>
        </w:rPr>
        <w:t>polymerase chain reaction</w:t>
      </w:r>
      <w:r>
        <w:rPr>
          <w:i/>
          <w:iCs/>
        </w:rPr>
        <w:t>,</w:t>
      </w:r>
      <w:r>
        <w:t xml:space="preserve"> PCR) del ácido ribonucleico (RNA).</w:t>
      </w:r>
    </w:p>
    <w:p w14:paraId="7C255040" w14:textId="77777777" w:rsidR="00093A32" w:rsidRDefault="00093A32">
      <w:pPr>
        <w:pStyle w:val="BodyText"/>
        <w:spacing w:after="40"/>
        <w:ind w:firstLine="360"/>
      </w:pPr>
      <w:r>
        <w:t>Las manifestaciones de la infección por VIH en niños incluyen linfadenopatía generalizada, hepatomegalia, esplenomegalia, retraso del crecimiento, candidiasis de la boca, diarrea recurrente, parotiditis, miocardiopatía, hepatitis, nefropatía, enfermedad del sistema nervioso central (SNC) (que incluye retraso de su desarrollo), neumonía intersticial linfoide, infecciones invasoras recurrentes por bacterias, infecciones por oportunistas</w:t>
      </w:r>
      <w:r>
        <w:rPr>
          <w:vertAlign w:val="superscript"/>
        </w:rPr>
        <w:t>5</w:t>
      </w:r>
      <w:r>
        <w:t xml:space="preserve"> y neoplasias malignas específicas.</w:t>
      </w:r>
    </w:p>
    <w:p w14:paraId="3E84B281" w14:textId="77777777" w:rsidR="00093A32" w:rsidRDefault="00093A32">
      <w:pPr>
        <w:pStyle w:val="BodyText"/>
        <w:ind w:firstLine="0"/>
      </w:pPr>
      <w:r>
        <w:rPr>
          <w:b/>
          <w:bCs/>
        </w:rPr>
        <w:t>T</w:t>
      </w:r>
      <w:r>
        <w:rPr>
          <w:b/>
          <w:bCs/>
          <w:sz w:val="13"/>
          <w:szCs w:val="13"/>
        </w:rPr>
        <w:t>RATAMIENTO</w:t>
      </w:r>
      <w:r>
        <w:rPr>
          <w:b/>
          <w:bCs/>
        </w:rPr>
        <w:t xml:space="preserve">: </w:t>
      </w:r>
      <w:r>
        <w:t>Los fármacos recomendados para combatir la tularemia son los sulfatos de estreptomicina, gentamicina o amikacina. El tratamiento por lo común dura 10 días. Se necesita un ciclo más largo si la enfermedad es más intensa. Otros medicamentos incluyen imipenem-cilastatina, doxiciclina (que no debe administrarse a niños menores de ocho años, salvo que los beneficios de hacerlo sean mayores que los riesgos [véase “Antimicrobianos y fármacos similares”, sección 4]); ciprofloxacina (que no ha sido aprobada para usar en pacientes menores de 18 años), y cloranfenicol. Los fármacos mencionados originan una respuesta clínica rápida, pero se ha informado de recidivas de la enfermedad después de administrar tetraciclinas.</w:t>
      </w:r>
    </w:p>
    <w:p w14:paraId="03C0DBDA"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18BEFDA2"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214F59B" w14:textId="77777777" w:rsidR="00093A32" w:rsidRDefault="00093A32">
      <w:pPr>
        <w:pStyle w:val="BodyText"/>
        <w:numPr>
          <w:ilvl w:val="0"/>
          <w:numId w:val="74"/>
        </w:numPr>
        <w:tabs>
          <w:tab w:val="left" w:pos="341"/>
        </w:tabs>
        <w:ind w:left="360" w:hanging="360"/>
      </w:pPr>
      <w:bookmarkStart w:id="210" w:name="bookmark816"/>
      <w:bookmarkEnd w:id="210"/>
      <w:r>
        <w:t>Las personas deben proteger su cuerpo contra picaduras de artrópodos, con ropas protectoras, revisión frecuente y eliminación de garrapatas de la piel y el cuero cabelludo y uso de repelentes de insectos (véase “Prevención de infecciones transmitidas por garrapatas”, sección 2).</w:t>
      </w:r>
    </w:p>
    <w:p w14:paraId="291F3FA2" w14:textId="77777777" w:rsidR="00093A32" w:rsidRDefault="00093A32">
      <w:pPr>
        <w:pStyle w:val="BodyText"/>
        <w:numPr>
          <w:ilvl w:val="0"/>
          <w:numId w:val="74"/>
        </w:numPr>
        <w:tabs>
          <w:tab w:val="left" w:pos="341"/>
        </w:tabs>
        <w:ind w:firstLine="0"/>
      </w:pPr>
      <w:bookmarkStart w:id="211" w:name="bookmark817"/>
      <w:bookmarkEnd w:id="211"/>
      <w:r>
        <w:t>Se orientará a los niños para que no manipulen animales enfermos o muertos.</w:t>
      </w:r>
    </w:p>
    <w:p w14:paraId="2ED8FB4D" w14:textId="77777777" w:rsidR="00093A32" w:rsidRDefault="00093A32">
      <w:pPr>
        <w:pStyle w:val="BodyText"/>
        <w:numPr>
          <w:ilvl w:val="0"/>
          <w:numId w:val="74"/>
        </w:numPr>
        <w:tabs>
          <w:tab w:val="left" w:pos="341"/>
        </w:tabs>
        <w:ind w:left="360" w:hanging="360"/>
      </w:pPr>
      <w:bookmarkStart w:id="212" w:name="bookmark818"/>
      <w:bookmarkEnd w:id="212"/>
      <w:r>
        <w:t>Los cazadores, tramperos y preparadores de alimentos deben utilizar guantes de caucho cuando manejen los conejos salvajes abiertos en canal u otros animales que pudieran estar infectados.</w:t>
      </w:r>
    </w:p>
    <w:p w14:paraId="552D7D75" w14:textId="77777777" w:rsidR="00093A32" w:rsidRDefault="00093A32">
      <w:pPr>
        <w:pStyle w:val="BodyText"/>
        <w:numPr>
          <w:ilvl w:val="0"/>
          <w:numId w:val="74"/>
        </w:numPr>
        <w:tabs>
          <w:tab w:val="left" w:pos="341"/>
        </w:tabs>
        <w:ind w:firstLine="0"/>
      </w:pPr>
      <w:bookmarkStart w:id="213" w:name="bookmark819"/>
      <w:bookmarkEnd w:id="213"/>
      <w:r>
        <w:t>Es importante cocinar perfectamente la carne de animales de caza.</w:t>
      </w:r>
    </w:p>
    <w:p w14:paraId="4D32CC17" w14:textId="77777777" w:rsidR="00093A32" w:rsidRDefault="00093A32">
      <w:pPr>
        <w:pStyle w:val="BodyText"/>
        <w:numPr>
          <w:ilvl w:val="0"/>
          <w:numId w:val="74"/>
        </w:numPr>
        <w:tabs>
          <w:tab w:val="left" w:pos="341"/>
        </w:tabs>
        <w:ind w:left="360" w:hanging="360"/>
      </w:pPr>
      <w:bookmarkStart w:id="214" w:name="bookmark820"/>
      <w:bookmarkEnd w:id="214"/>
      <w:r>
        <w:t>Las personas que trabajan con cultivos o material infectante en el laboratorio usarán mascarillas y guantes de caucho, y las labores se realizarán en un gabinete de seguridad biológica.</w:t>
      </w:r>
    </w:p>
    <w:p w14:paraId="30CC7F59" w14:textId="77777777" w:rsidR="00093A32" w:rsidRDefault="00093A32">
      <w:pPr>
        <w:pStyle w:val="BodyText"/>
        <w:numPr>
          <w:ilvl w:val="0"/>
          <w:numId w:val="74"/>
        </w:numPr>
        <w:tabs>
          <w:tab w:val="left" w:pos="341"/>
        </w:tabs>
        <w:spacing w:after="100"/>
        <w:ind w:firstLine="0"/>
      </w:pPr>
      <w:bookmarkStart w:id="215" w:name="bookmark821"/>
      <w:bookmarkEnd w:id="215"/>
      <w:r>
        <w:t>Para manejar materiales clínicos se seguirán las precauciones estándar.</w:t>
      </w:r>
    </w:p>
    <w:p w14:paraId="303E4FE0" w14:textId="77777777" w:rsidR="00093A32" w:rsidRDefault="00093A32">
      <w:pPr>
        <w:pStyle w:val="Bodytext70"/>
        <w:spacing w:after="0"/>
      </w:pPr>
      <w:r>
        <w:t>Uncinariasis (anquilostomiasis)</w:t>
      </w:r>
    </w:p>
    <w:p w14:paraId="618B1658" w14:textId="77777777" w:rsidR="00093A32" w:rsidRDefault="00093A32">
      <w:pPr>
        <w:pStyle w:val="Bodytext80"/>
        <w:rPr>
          <w:sz w:val="15"/>
          <w:szCs w:val="15"/>
        </w:rPr>
      </w:pPr>
      <w:r>
        <w:rPr>
          <w:b/>
          <w:bCs/>
          <w:i/>
          <w:iCs/>
          <w:sz w:val="15"/>
          <w:szCs w:val="15"/>
        </w:rPr>
        <w:t>(Ancylostoma duodenale</w:t>
      </w:r>
      <w:r>
        <w:rPr>
          <w:b/>
          <w:bCs/>
          <w:w w:val="70"/>
          <w:sz w:val="20"/>
          <w:szCs w:val="20"/>
        </w:rPr>
        <w:t xml:space="preserve"> y </w:t>
      </w:r>
      <w:r>
        <w:rPr>
          <w:b/>
          <w:bCs/>
          <w:i/>
          <w:iCs/>
          <w:sz w:val="15"/>
          <w:szCs w:val="15"/>
        </w:rPr>
        <w:t>Necator americanos)</w:t>
      </w:r>
    </w:p>
    <w:p w14:paraId="2FE5233C"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Las personas con infestación por los dos agentes patógenos mencionados muy a menudo están asintomáticas; sin embargo, la infestación crónica por ellos es una causa común de anemia microcítica hipocrómica en personas que viven en países tropicales en desarrollo, y la infestación intensa origina hipoproteinemia con edema. Después de contacto con tierra contaminada, la penetración inicial de la piel de las larvas por lo común incluye los pies y origina una sensación punzante o ardorosa seguida de prurito y una zona papulovesicular que puede persistir una a dos semanas. Pocas veces hay neumonitis causada por las larvas migrantes y suele ser leve, excepto en infestaciones intensas. La enfermedad después de ingerir larvas infectantes de </w:t>
      </w:r>
      <w:r>
        <w:rPr>
          <w:rFonts w:ascii="Times New Roman" w:eastAsia="Times New Roman" w:hAnsi="Times New Roman" w:cs="Times New Roman"/>
          <w:i/>
          <w:iCs/>
          <w:sz w:val="16"/>
          <w:szCs w:val="16"/>
        </w:rPr>
        <w:t>Ancylostoma duodenale</w:t>
      </w:r>
      <w:r>
        <w:t xml:space="preserve"> se manifiesta por prurito faríngeo, ronquera, náuseas y vómito poco después de ingerir alimentos. Cuatro a seis semanas después de la exposición surgen dolor abdominal cólico, náuseas, diarrea, o ambas, y notable eosinofilia. </w:t>
      </w:r>
      <w:r>
        <w:rPr>
          <w:b/>
          <w:bCs/>
        </w:rPr>
        <w:t>C</w:t>
      </w:r>
      <w:r>
        <w:rPr>
          <w:b/>
          <w:bCs/>
          <w:sz w:val="13"/>
          <w:szCs w:val="13"/>
        </w:rPr>
        <w:t>AUSAS</w:t>
      </w:r>
      <w:r>
        <w:rPr>
          <w:b/>
          <w:bCs/>
        </w:rPr>
        <w:t xml:space="preserve">: </w:t>
      </w:r>
      <w:r>
        <w:t xml:space="preserve">La infestación suele ser causada por </w:t>
      </w:r>
      <w:r>
        <w:rPr>
          <w:rFonts w:ascii="Times New Roman" w:eastAsia="Times New Roman" w:hAnsi="Times New Roman" w:cs="Times New Roman"/>
          <w:i/>
          <w:iCs/>
          <w:sz w:val="16"/>
          <w:szCs w:val="16"/>
        </w:rPr>
        <w:t>A. duodenale</w:t>
      </w:r>
      <w:r>
        <w:t xml:space="preserve"> o </w:t>
      </w:r>
      <w:r>
        <w:rPr>
          <w:rFonts w:ascii="Times New Roman" w:eastAsia="Times New Roman" w:hAnsi="Times New Roman" w:cs="Times New Roman"/>
          <w:i/>
          <w:iCs/>
          <w:sz w:val="16"/>
          <w:szCs w:val="16"/>
        </w:rPr>
        <w:t>Necator americanus</w:t>
      </w:r>
      <w:r>
        <w:rPr>
          <w:i/>
          <w:iCs/>
        </w:rPr>
        <w:t>,</w:t>
      </w:r>
      <w:r>
        <w:t xml:space="preserve"> dos vermes redondos (nemátodos) con ciclos vitales similares.</w:t>
      </w:r>
    </w:p>
    <w:p w14:paraId="0485728B" w14:textId="77777777" w:rsidR="00093A32" w:rsidRDefault="00093A32">
      <w:pPr>
        <w:pStyle w:val="BodyText"/>
        <w:ind w:firstLine="0"/>
        <w:sectPr w:rsidR="00093A32" w:rsidSect="00093A32">
          <w:headerReference w:type="even" r:id="rId413"/>
          <w:headerReference w:type="default" r:id="rId414"/>
          <w:footerReference w:type="even" r:id="rId415"/>
          <w:footerReference w:type="default" r:id="rId416"/>
          <w:headerReference w:type="first" r:id="rId417"/>
          <w:footerReference w:type="first" r:id="rId418"/>
          <w:footnotePr>
            <w:numFmt w:val="chicago"/>
          </w:footnotePr>
          <w:pgSz w:w="8501" w:h="13022"/>
          <w:pgMar w:top="888" w:right="798" w:bottom="514" w:left="819" w:header="0" w:footer="3" w:gutter="0"/>
          <w:cols w:space="720"/>
          <w:noEndnote/>
          <w:titlePg/>
          <w:docGrid w:linePitch="360"/>
          <w15:footnoteColumns w:val="1"/>
        </w:sectPr>
      </w:pPr>
      <w:r>
        <w:rPr>
          <w:b/>
          <w:bCs/>
        </w:rPr>
        <w:t>A</w:t>
      </w:r>
      <w:r>
        <w:rPr>
          <w:b/>
          <w:bCs/>
          <w:sz w:val="13"/>
          <w:szCs w:val="13"/>
        </w:rPr>
        <w:t>SPECTOS EPIDEMIOLÓGICOS</w:t>
      </w:r>
      <w:r>
        <w:rPr>
          <w:b/>
          <w:bCs/>
        </w:rPr>
        <w:t xml:space="preserve">: </w:t>
      </w:r>
      <w:r>
        <w:t xml:space="preserve">Los seres humanos son el reservorio principal. Los vermes redondos en cuestión abundan en zonas rurales, tropicales y subtropicales en que es frecuente la contaminación de la tierra con excremento de seres humanos. Ambas especies de gusanos muestran igual prevalencia en muchas zonas, pero A. duodenale es la especie predominante en Europa, la región mediterránea, norte de Asia y la costa occidental de América del Sur. Necator americanus predomina en el hemisferio </w:t>
      </w:r>
    </w:p>
    <w:p w14:paraId="0E87E563" w14:textId="77777777" w:rsidR="00093A32" w:rsidRDefault="00093A32">
      <w:pPr>
        <w:pStyle w:val="BodyText"/>
        <w:ind w:firstLine="0"/>
      </w:pPr>
      <w:r>
        <w:t>occidental, países subsaharianos, sureste asiático y varias islas del Pacífico. Las larvas y los huevos sobreviven en tierra floja, arenosa, húmeda y sombreada, con bastante aire y caliente (temperatura óptima, 23 a 33</w:t>
      </w:r>
      <w:r>
        <w:rPr>
          <w:rFonts w:ascii="Times New Roman" w:eastAsia="Times New Roman" w:hAnsi="Times New Roman" w:cs="Times New Roman"/>
          <w:sz w:val="11"/>
          <w:szCs w:val="11"/>
        </w:rPr>
        <w:t>°</w:t>
      </w:r>
      <w:r>
        <w:t xml:space="preserve">C). En un lapso de uno a dos días, de los huevecillos en los excrementos salen larvas rabdoideas que se desarrollan hasta la forma de larvas filariformes infectantes en la tierra en término de cinco a siete días y así persisten semanas a meses. La infestación percutánea se produce después de la exposición del sujeto a las larvas infectantes. La transmisión de </w:t>
      </w:r>
      <w:r>
        <w:rPr>
          <w:rFonts w:ascii="Times New Roman" w:eastAsia="Times New Roman" w:hAnsi="Times New Roman" w:cs="Times New Roman"/>
          <w:i/>
          <w:iCs/>
          <w:sz w:val="16"/>
          <w:szCs w:val="16"/>
        </w:rPr>
        <w:t xml:space="preserve">Ancylostoma duodenale </w:t>
      </w:r>
      <w:r>
        <w:t>puede surgir por ingestión y quizá por la leche materna. Los sujetos infectados no tratados pueden tener los vermes durante cinco a 15 años, pero en término de uno a dos años por lo regular disminuye el número de ellos a 70%, como mínimo.</w:t>
      </w:r>
    </w:p>
    <w:p w14:paraId="0E77C4DC" w14:textId="77777777" w:rsidR="00093A32" w:rsidRDefault="00093A32">
      <w:pPr>
        <w:pStyle w:val="BodyText"/>
        <w:ind w:firstLine="360"/>
      </w:pPr>
      <w:r>
        <w:t>El lapso que media desde la exposición hasta la aparición de síntomas no cutáneos es de cuatro a 12 semanas.</w:t>
      </w:r>
    </w:p>
    <w:p w14:paraId="23C7E0C0" w14:textId="77777777" w:rsidR="00093A32" w:rsidRDefault="00093A32">
      <w:pPr>
        <w:pStyle w:val="BodyText"/>
        <w:ind w:firstLine="0"/>
      </w:pPr>
      <w:r>
        <w:rPr>
          <w:b/>
          <w:bCs/>
        </w:rPr>
        <w:t>M</w:t>
      </w:r>
      <w:r>
        <w:rPr>
          <w:b/>
          <w:bCs/>
          <w:sz w:val="13"/>
          <w:szCs w:val="13"/>
        </w:rPr>
        <w:t>ÉTODOS DIAGNÓSTICOS</w:t>
      </w:r>
      <w:r>
        <w:rPr>
          <w:b/>
          <w:bCs/>
        </w:rPr>
        <w:t xml:space="preserve">: </w:t>
      </w:r>
      <w:r>
        <w:t>La demostración microscópica de los huevecillos de los vermes en los excrementos tiene valor diagnóstico. Rara vez se identifican los vermes adultos o las larvas. Se necesitan ocho a 12 semanas después de la infestación para que los huevecillos aparezcan en los excrementos. El frotis directo de excrementos mezclados con solución salina o yoduro de potasio saturado con yodo es adecuado para el diagnóstico de la infestación intensa con los vermes; en casos de infestación de poca monta se necesitan técnicas de concentración. En algunos laboratorios estatales o de especialización se practican técnicas de cuantificación (como las de frotis directo de Kato-Katz, de Beaver o el recuento de huevecillos de Stoll) para valorar la importancia clínica de la infestación y la respuesta al tratamiento.</w:t>
      </w:r>
    </w:p>
    <w:p w14:paraId="4605DB66" w14:textId="77777777" w:rsidR="00093A32" w:rsidRDefault="00093A32">
      <w:pPr>
        <w:pStyle w:val="BodyText"/>
        <w:ind w:firstLine="0"/>
      </w:pPr>
      <w:r>
        <w:rPr>
          <w:b/>
          <w:bCs/>
        </w:rPr>
        <w:t>T</w:t>
      </w:r>
      <w:r>
        <w:rPr>
          <w:b/>
          <w:bCs/>
          <w:sz w:val="13"/>
          <w:szCs w:val="13"/>
        </w:rPr>
        <w:t>RATAMIENTO</w:t>
      </w:r>
      <w:r>
        <w:rPr>
          <w:b/>
          <w:bCs/>
        </w:rPr>
        <w:t xml:space="preserve">: </w:t>
      </w:r>
      <w:r>
        <w:t>Fármacos eficaces son albendazol, mebendazol y pamoato de pirantel (véase “Fármacos antiparasitarios”, sección 4). En niños menores de dos años de edad en los que es escasa la experiencia con tales medicamentos, la Organización Mundial de la Salud (OMS) recomienda administrar la mitad de la dosis del adulto (de albendazol o mebendazol) en infestaciones intensas. La dosis del pirantel depende del peso. En la infestación intensa por vermes redondos durante el embarazo, la OMS recomienda la desparasitación en el segundo o tercer trimestre. Puede administrarse para ello albendazol, mebendazol o pirantel. Dos semanas después del tratamiento se repetirá el examen coproparasitoscópico con una técnica de concentración, y si los resultados son positivos se recomienda tratar de nuevo al paciente. En caso de haber anemia es importante la suplementación nutricional que incluya hierro. Los niños muy graves pueden necesitar transfusiones de sangre.</w:t>
      </w:r>
    </w:p>
    <w:p w14:paraId="69BEB3FD"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Se recomienda seguir sólo las precauciones estándar porque no hay transmisión directa de una persona a otra.</w:t>
      </w:r>
    </w:p>
    <w:p w14:paraId="540BEC3E" w14:textId="77777777" w:rsidR="00093A32" w:rsidRDefault="00093A32">
      <w:pPr>
        <w:pStyle w:val="BodyText"/>
        <w:spacing w:after="100"/>
        <w:ind w:firstLine="0"/>
      </w:pPr>
      <w:r>
        <w:rPr>
          <w:b/>
          <w:bCs/>
        </w:rPr>
        <w:t>M</w:t>
      </w:r>
      <w:r>
        <w:rPr>
          <w:b/>
          <w:bCs/>
          <w:sz w:val="13"/>
          <w:szCs w:val="13"/>
        </w:rPr>
        <w:t>EDIDAS PREVENTIVAS</w:t>
      </w:r>
      <w:r>
        <w:rPr>
          <w:b/>
          <w:bCs/>
        </w:rPr>
        <w:t xml:space="preserve">: </w:t>
      </w:r>
      <w:r>
        <w:t>Se necesita la eliminación sanitaria de los excrementos para no contaminar la tierra, particularmente en áreas endémicas, aunque tal medida rara vez se practica. El tratamiento de todas las personas infestadas diagnosticadas y la detección de grupos de alto riesgo (niños y trabajadores agrícolas) en áreas endémicas ayudarán a disminuir la contaminación ambiental. También es útil usar calzado. A pesar de la reinfestación relativamente rápida, se ha recomendado la desparasitación periódica orientada más bien a niños de edad escolar para evitar las complicaciones de las infestaciones abundantes con helmintos intestinales.</w:t>
      </w:r>
    </w:p>
    <w:p w14:paraId="6872DF9C" w14:textId="77777777" w:rsidR="00093A32" w:rsidRDefault="00093A32">
      <w:pPr>
        <w:pStyle w:val="Bodytext70"/>
        <w:spacing w:after="0"/>
      </w:pPr>
      <w:r>
        <w:t>Ureaplasma urealyticum, infecciones</w:t>
      </w:r>
    </w:p>
    <w:p w14:paraId="19F962C1"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El síndrome más frecuente que surge con las infecciones por Ureaplasma urealyticum es la uretritis no gonocócica </w:t>
      </w:r>
      <w:r>
        <w:rPr>
          <w:i/>
          <w:iCs/>
        </w:rPr>
        <w:t>(</w:t>
      </w:r>
      <w:r>
        <w:rPr>
          <w:rFonts w:ascii="Times New Roman" w:eastAsia="Times New Roman" w:hAnsi="Times New Roman" w:cs="Times New Roman"/>
          <w:i/>
          <w:iCs/>
          <w:sz w:val="16"/>
          <w:szCs w:val="16"/>
        </w:rPr>
        <w:t>nongonococcal urethritis</w:t>
      </w:r>
      <w:r>
        <w:rPr>
          <w:i/>
          <w:iCs/>
        </w:rPr>
        <w:t>,</w:t>
      </w:r>
    </w:p>
    <w:p w14:paraId="0F4E3BFD" w14:textId="77777777" w:rsidR="00093A32" w:rsidRDefault="00093A32">
      <w:pPr>
        <w:pStyle w:val="BodyText"/>
        <w:ind w:firstLine="360"/>
      </w:pPr>
      <w:r>
        <w:t>En Estados Unidos en el año 2001,</w:t>
      </w:r>
      <w:r>
        <w:footnoteReference w:id="28"/>
      </w:r>
      <w:r>
        <w:t xml:space="preserve"> el </w:t>
      </w:r>
      <w:r>
        <w:rPr>
          <w:rFonts w:ascii="Times New Roman" w:eastAsia="Times New Roman" w:hAnsi="Times New Roman" w:cs="Times New Roman"/>
          <w:i/>
          <w:iCs/>
          <w:sz w:val="16"/>
          <w:szCs w:val="16"/>
        </w:rPr>
        <w:t>Public Health Service</w:t>
      </w:r>
      <w:r>
        <w:t xml:space="preserve"> distribuyó recomendaciones revisadas para profilaxia después de exposiciones; entre ellas estaba un régimen básico de cuatro semanas, con uso de dos fármacos (zidovudina y lamivudina; estavudina y lamivudina, o estavudina y didanosina) en casi todos los casos de exposición al virus, y un régimen ampliado que agregaba un tercer antirretrovírico en situaciones de exposición al virus que conlleva un mayor peligro de contagio. Si se había identificado el virus de la persona que fue punto de origen del contacto, o se sospechaba que era resistente a uno o más de los fármacos incluidos para la profilaxia, se recomendaba escoger fármacos en que hubiera poca posibilidad de resistencia del virus de la persona de “origen”. Los clínicos también recibirán auxilio y orientación si se comunican al </w:t>
      </w:r>
      <w:r>
        <w:rPr>
          <w:rFonts w:ascii="Times New Roman" w:eastAsia="Times New Roman" w:hAnsi="Times New Roman" w:cs="Times New Roman"/>
          <w:i/>
          <w:iCs/>
          <w:sz w:val="16"/>
          <w:szCs w:val="16"/>
        </w:rPr>
        <w:t>National HIV/AIDS Clinicians’ Consulting Center</w:t>
      </w:r>
      <w:r>
        <w:rPr>
          <w:i/>
          <w:iCs/>
        </w:rPr>
        <w:t>,</w:t>
      </w:r>
      <w:r>
        <w:t xml:space="preserve"> 888-448-4911.</w:t>
      </w:r>
    </w:p>
    <w:p w14:paraId="47602364" w14:textId="77777777" w:rsidR="00093A32" w:rsidRDefault="00093A32">
      <w:pPr>
        <w:pStyle w:val="BodyText"/>
        <w:spacing w:after="100"/>
        <w:ind w:firstLine="360"/>
      </w:pPr>
      <w:r>
        <w:rPr>
          <w:rFonts w:ascii="Arial" w:eastAsia="Arial" w:hAnsi="Arial" w:cs="Arial"/>
          <w:b/>
          <w:bCs/>
          <w:i/>
          <w:iCs/>
          <w:sz w:val="15"/>
          <w:szCs w:val="15"/>
        </w:rPr>
        <w:t>Notificación de casos.</w:t>
      </w:r>
      <w:r>
        <w:t xml:space="preserve"> Es necesario notificar al departamento sanitario indicado de todos los estados, los casos que cumplen con los criterios establecidos para SIDA (véanse cuadros 3-32 y 3-33). En muchos estados también habrá que notificar la infección por VIH con la exposición perinatal a dicho virus. La AAP recomienda la notificación sistemática de exposiciones perinatales al virus, infección y presencia del síndrome de inmunodeficiencia adquirida.</w:t>
      </w:r>
    </w:p>
    <w:p w14:paraId="4E3A7BEF" w14:textId="77777777" w:rsidR="00093A32" w:rsidRDefault="00093A32">
      <w:pPr>
        <w:pStyle w:val="BodyText"/>
        <w:spacing w:line="257" w:lineRule="auto"/>
        <w:ind w:firstLine="0"/>
      </w:pPr>
      <w:r>
        <w:rPr>
          <w:rFonts w:ascii="Arial" w:eastAsia="Arial" w:hAnsi="Arial" w:cs="Arial"/>
          <w:b/>
          <w:bCs/>
          <w:w w:val="70"/>
          <w:sz w:val="32"/>
          <w:szCs w:val="32"/>
        </w:rPr>
        <w:t xml:space="preserve">Humano, virus herpético 6 (incluido el de roséola) y 7 </w:t>
      </w:r>
      <w:r>
        <w:rPr>
          <w:b/>
          <w:bCs/>
        </w:rPr>
        <w:t>M</w:t>
      </w:r>
      <w:r>
        <w:rPr>
          <w:b/>
          <w:bCs/>
          <w:sz w:val="13"/>
          <w:szCs w:val="13"/>
        </w:rPr>
        <w:t>ANIFESTACIONES CLÍNICAS</w:t>
      </w:r>
      <w:r>
        <w:rPr>
          <w:b/>
          <w:bCs/>
        </w:rPr>
        <w:t xml:space="preserve">: </w:t>
      </w:r>
      <w:r>
        <w:t>Entre las manifestaciones clínicas de infección primaria por el virus herpético humano (human herpesvirus, HHV)-6 están roséola (exantema súbito, sexta enfermedad) en alrededor de 20% de niños infectados, un cuadro febril indiferenciado sin erupciones ni signos de localización y otras enfermedades febriles agudas a menudo acompañadas de linfadenopatía cervical y retrooccipital, signos de vías gastrointestinales o respiratorias e inflamación de la membrana timpánica. De manera característica, la fiebre es alta (&gt;39.5°C) y persiste tres a siete días. En la roséola, después de la fiebre surgen maculopápulas eritematosas que duran horas a días. En el periodo febril, en 10 a 15% de las infecciones primarias surgen convulsiones. A veces se observa prominencia de la fontanela anterior y encefalopatía. El virus persiste y puede reactivarse. Las circunstancias clínicas y las manifestaciones de reactivación en personas sanas no han sido claras. La enfermedad que surge con la reactivación principalmente en hospedadores inmunosuprimidos, se ha descrito acompañada de manifestaciones como fiebre, hepatitis, supresión de médula ósea, neumonía y encefalitis.</w:t>
      </w:r>
    </w:p>
    <w:p w14:paraId="34B15A0A" w14:textId="77777777" w:rsidR="00093A32" w:rsidRDefault="00093A32">
      <w:pPr>
        <w:pStyle w:val="BodyText"/>
        <w:ind w:firstLine="360"/>
      </w:pPr>
      <w:r>
        <w:t>Está en marcha la identificación de las manifestaciones clínicas variadas de la infección por HHV-7. Muchas de las infecciones primarias por dicho virus (tal vez todas) pueden ser asintomáticas o leves; el cuadro inicial en algunas es la roséola típica y pudieran explicar los casos recurrentes o “de segunda vez” de la roséola. Se ha informado de casos de enfermedades febriles acompañadas de convulsiones. Algunos investigadores sugieren que el vínculo de HHV-7 con tales manifestaciones clínicas es consecuencia de la capacidad del virus de reactivar HHV-6 de su estado de latencia.</w:t>
      </w:r>
    </w:p>
    <w:p w14:paraId="12D7FFC9" w14:textId="77777777" w:rsidR="00093A32" w:rsidRDefault="00093A32">
      <w:pPr>
        <w:pStyle w:val="BodyText"/>
        <w:spacing w:after="40"/>
        <w:ind w:firstLine="0"/>
        <w:sectPr w:rsidR="00093A32" w:rsidSect="00093A32">
          <w:headerReference w:type="even" r:id="rId419"/>
          <w:headerReference w:type="default" r:id="rId420"/>
          <w:footerReference w:type="even" r:id="rId421"/>
          <w:footerReference w:type="default" r:id="rId422"/>
          <w:headerReference w:type="first" r:id="rId423"/>
          <w:footerReference w:type="first" r:id="rId424"/>
          <w:footnotePr>
            <w:numFmt w:val="chicago"/>
          </w:footnotePr>
          <w:pgSz w:w="8501" w:h="13022"/>
          <w:pgMar w:top="888" w:right="798" w:bottom="514" w:left="819" w:header="0" w:footer="3" w:gutter="0"/>
          <w:cols w:space="720"/>
          <w:noEndnote/>
          <w:titlePg/>
          <w:docGrid w:linePitch="360"/>
          <w15:footnoteColumns w:val="1"/>
        </w:sectPr>
      </w:pPr>
      <w:r>
        <w:rPr>
          <w:b/>
          <w:bCs/>
        </w:rPr>
        <w:t>C</w:t>
      </w:r>
      <w:r>
        <w:rPr>
          <w:b/>
          <w:bCs/>
          <w:sz w:val="13"/>
          <w:szCs w:val="13"/>
        </w:rPr>
        <w:t>AUSAS</w:t>
      </w:r>
      <w:r>
        <w:rPr>
          <w:b/>
          <w:bCs/>
        </w:rPr>
        <w:t xml:space="preserve">: </w:t>
      </w:r>
      <w:r>
        <w:t>Los virus herpéticos humanos 6 y 7 son miembros muy similares de la familia Herpesviridae. Las cepas de HHV-6 pertenecen a uno de dos grandes grupos que son las variantes A y B. Casi todas las infecciones primarias en niños son causadas por cepas B variantes.</w:t>
      </w:r>
    </w:p>
    <w:p w14:paraId="037C86CF" w14:textId="77777777" w:rsidR="00093A32" w:rsidRDefault="00093A32">
      <w:pPr>
        <w:pStyle w:val="BodyText"/>
        <w:ind w:firstLine="0"/>
      </w:pPr>
      <w:r>
        <w:rPr>
          <w:b/>
          <w:bCs/>
        </w:rPr>
        <w:t>A</w:t>
      </w:r>
      <w:r>
        <w:rPr>
          <w:b/>
          <w:bCs/>
          <w:sz w:val="13"/>
          <w:szCs w:val="13"/>
        </w:rPr>
        <w:t>SPECTOS EPIDEMIOLÓGICOS</w:t>
      </w:r>
      <w:r>
        <w:rPr>
          <w:b/>
          <w:bCs/>
        </w:rPr>
        <w:t xml:space="preserve">: </w:t>
      </w:r>
      <w:r>
        <w:t>Los seres humanos son los únicos hospedadores naturales conocidos de los virus 6 y 7. La transmisión del virus 6 a un lactante muy a menudo es consecuencia de la dispersión asintomática del virus persistente en secreciones de un miembro de la familia, cuidador u otro contacto cercano. En la fase febril de la infección primaria es posible identificar el virus 6 en linfocitos de sangre periférica, saliva y líquido cefalorraquídeo. Aparecen uniformemente en el suero de productos al momento de nacer, los anticuerpos maternos específicos contra el virus y brindan protección transitoria. Conforme disminuye la concentración de dichos cuerpos en el organismo del niño en el primer año de vida, aumenta rápidamente la frecuencia de infección, que alcanza su máximo entre los seis y los 24 meses de edad. Casi todos los niños son seropositivos a los cuatro años de vida. Las infecciones ocurren durante todo el año y no siguen un perfil estacional. Rara vez vez se identifican casos secundarios, aunque se han notificado brotes ocasionales de roséola.</w:t>
      </w:r>
    </w:p>
    <w:p w14:paraId="5B4C5CEF" w14:textId="77777777" w:rsidR="00093A32" w:rsidRDefault="00093A32">
      <w:pPr>
        <w:pStyle w:val="BodyText"/>
        <w:ind w:firstLine="360"/>
      </w:pPr>
      <w:r>
        <w:t>La infección por virus herpético 7 aparece en etapa un poco más tardía de la vida que el virus 6. En la vida adulta, la seroprevalencia del virus 7 es cercana a 85%. Después de la infección primaria queda una infección persistente y permanente con los dos virus. El virus infeccioso aparece en más de 75% de las muestras de saliva obtenida de adultos sanos. Es posible que la transmisión de los dos virus a niños de corta edad provenga del contacto con secreciones infectadas de vías respiratorias de personas sanas.</w:t>
      </w:r>
    </w:p>
    <w:p w14:paraId="1B961D56" w14:textId="77777777" w:rsidR="00093A32" w:rsidRDefault="00093A32">
      <w:pPr>
        <w:pStyle w:val="BodyText"/>
        <w:ind w:firstLine="360"/>
      </w:pPr>
      <w:r>
        <w:t xml:space="preserve">El </w:t>
      </w:r>
      <w:r>
        <w:rPr>
          <w:b/>
          <w:bCs/>
        </w:rPr>
        <w:t xml:space="preserve">periodo de incubación </w:t>
      </w:r>
      <w:r>
        <w:t>medio de HHV-6 es de nueve a 10 días; se desconoce el periodo de incubación del virus herpético humano 7.</w:t>
      </w:r>
    </w:p>
    <w:p w14:paraId="68F01DEB" w14:textId="77777777" w:rsidR="00093A32" w:rsidRDefault="00093A32">
      <w:pPr>
        <w:pStyle w:val="BodyText"/>
        <w:ind w:firstLine="0"/>
      </w:pPr>
      <w:r>
        <w:rPr>
          <w:b/>
          <w:bCs/>
        </w:rPr>
        <w:t>M</w:t>
      </w:r>
      <w:r>
        <w:rPr>
          <w:b/>
          <w:bCs/>
          <w:sz w:val="13"/>
          <w:szCs w:val="13"/>
        </w:rPr>
        <w:t>ÉTODOS DIAGNÓSTICOS</w:t>
      </w:r>
      <w:r>
        <w:rPr>
          <w:b/>
          <w:bCs/>
        </w:rPr>
        <w:t xml:space="preserve">: </w:t>
      </w:r>
      <w:r>
        <w:t>El diagnóstico definitivo de la infección primaria por HHV-6 obliga a utilizar técnicas de investigación para aislar el virus de una muestra de sangre periférica y también para la demostración de la seroconversión. El solo incremento cuádruple de la concentración de anticuerpos séricos no indica necesariamente una nueva infección, dado que el incremento del título también puede observarse con la reactivación o cuando surgen otras infecciones concomitantemente. Están en fase de creación los métodos comerciales para detectar anticuerpos y antígenos y también la reacción en cadena de polimerasa para detectar DNA del virus herpético 6, pero ninguno de los métodos en cuestión permite diferenciar con certeza entre la infección primaria y la persistencia o la reactivación víricas.</w:t>
      </w:r>
    </w:p>
    <w:p w14:paraId="5EB8AA9E" w14:textId="77777777" w:rsidR="00093A32" w:rsidRDefault="00093A32">
      <w:pPr>
        <w:pStyle w:val="BodyText"/>
        <w:ind w:firstLine="360"/>
      </w:pPr>
      <w:r>
        <w:t>Los métodos para diagnosticar HHV-7 también son exclusivos de laboratorios de investigación; la diferenciación precisa entre la infección primaria y la reactivación es muy difícil. El serodiagnóstico de HHV-7 puede sufrir confusión por la reactividad serológica cruzada con HHV-6 y por la posibilidad de reactivar HHV-6 por acción de HHV-7 y quizá otras infecciones.</w:t>
      </w:r>
    </w:p>
    <w:p w14:paraId="6D765EF7" w14:textId="77777777" w:rsidR="00093A32" w:rsidRDefault="00093A32">
      <w:pPr>
        <w:pStyle w:val="BodyText"/>
        <w:ind w:firstLine="0"/>
      </w:pPr>
      <w:r>
        <w:rPr>
          <w:b/>
          <w:bCs/>
        </w:rPr>
        <w:t>T</w:t>
      </w:r>
      <w:r>
        <w:rPr>
          <w:b/>
          <w:bCs/>
          <w:sz w:val="13"/>
          <w:szCs w:val="13"/>
        </w:rPr>
        <w:t>RATAMIENTO</w:t>
      </w:r>
      <w:r>
        <w:rPr>
          <w:b/>
          <w:bCs/>
        </w:rPr>
        <w:t xml:space="preserve">: </w:t>
      </w:r>
      <w:r>
        <w:t xml:space="preserve">De sostén. Algunos expertos recomiendan administrar ganciclovir en personas inmunodeficientes con enfermedad grave por virus herpético humano 6. </w:t>
      </w:r>
      <w:r>
        <w:rPr>
          <w:b/>
          <w:bCs/>
        </w:rPr>
        <w:t>A</w:t>
      </w:r>
      <w:r>
        <w:rPr>
          <w:b/>
          <w:bCs/>
          <w:sz w:val="13"/>
          <w:szCs w:val="13"/>
        </w:rPr>
        <w:t>ISLAMIENTO DEL PACIENTE HOSPITALIZADO</w:t>
      </w:r>
      <w:r>
        <w:rPr>
          <w:b/>
          <w:bCs/>
        </w:rPr>
        <w:t xml:space="preserve">: </w:t>
      </w:r>
      <w:r>
        <w:t>Se recomienda cumplir las precauciones estándar.</w:t>
      </w:r>
    </w:p>
    <w:p w14:paraId="71261553"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5D0D0B0F" w14:textId="77777777" w:rsidR="00093A32" w:rsidRDefault="00093A32">
      <w:pPr>
        <w:pStyle w:val="Bodytext70"/>
        <w:spacing w:after="0"/>
      </w:pPr>
      <w:r>
        <w:t>Humano, virus herpético 8</w:t>
      </w:r>
    </w:p>
    <w:p w14:paraId="586E2CAB"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Se desconocen las consecuencias clínicas que tiene en los niños uno de los miembros recientemente identificados de la familia de virus herpéticos, que es el virus herpético humano </w:t>
      </w:r>
      <w:r>
        <w:rPr>
          <w:i/>
          <w:iCs/>
        </w:rPr>
        <w:t>(</w:t>
      </w:r>
      <w:r>
        <w:rPr>
          <w:rFonts w:ascii="Times New Roman" w:eastAsia="Times New Roman" w:hAnsi="Times New Roman" w:cs="Times New Roman"/>
          <w:i/>
          <w:iCs/>
          <w:sz w:val="16"/>
          <w:szCs w:val="16"/>
        </w:rPr>
        <w:t>human herpesvirus</w:t>
      </w:r>
      <w:r>
        <w:rPr>
          <w:i/>
          <w:iCs/>
        </w:rPr>
        <w:t>,</w:t>
      </w:r>
      <w:r>
        <w:t xml:space="preserve"> HHV)-8. En los adultos se le ha vinculado como una de las causas del sarcoma de Kaposi pues se han detectado en todas las formas de esta neoplasia en todas las zonas del mundo secuencias de DNA del</w:t>
      </w:r>
    </w:p>
    <w:p w14:paraId="15B47D62" w14:textId="77777777" w:rsidR="00093A32" w:rsidRDefault="00093A32">
      <w:pPr>
        <w:pStyle w:val="BodyText"/>
        <w:ind w:firstLine="0"/>
      </w:pPr>
      <w:r>
        <w:rPr>
          <w:b/>
          <w:bCs/>
        </w:rPr>
        <w:t>A</w:t>
      </w:r>
      <w:r>
        <w:rPr>
          <w:b/>
          <w:bCs/>
          <w:sz w:val="13"/>
          <w:szCs w:val="13"/>
        </w:rPr>
        <w:t>SPECTOS EPIDEMIOLÓGICOS</w:t>
      </w:r>
      <w:r>
        <w:rPr>
          <w:b/>
          <w:bCs/>
        </w:rPr>
        <w:t xml:space="preserve">: </w:t>
      </w:r>
      <w:r>
        <w:t>Los seres humanos son los únicos hospedadores naturales conocidos de los virus 6 y 7. La transmisión del virus 6 a un lactante muy a menudo es consecuencia de la dispersión asintomática del virus persistente en secreciones de un miembro de la familia, cuidador u otro contacto cercano. En la fase febril de la infección primaria es posible identificar el virus 6 en linfocitos de sangre periférica, saliva y líquido cefalorraquídeo. Aparecen uniformemente en el suero de productos al momento de nacer, los anticuerpos maternos específicos contra el virus y brindan protección transitoria. Conforme disminuye la concentración de dichos cuerpos en el organismo del niño en el primer año de vida, aumenta rápidamente la frecuencia de infección, que alcanza su máximo entre los seis y los 24 meses de edad. Casi todos los niños son seropositivos a los cuatro años de vida. Las infecciones ocurren durante todo el año y no siguen un perfil estacional. Rara vez vez se identifican casos secundarios, aunque se han notificado brotes ocasionales de roséola.</w:t>
      </w:r>
    </w:p>
    <w:p w14:paraId="483AC33C" w14:textId="77777777" w:rsidR="00093A32" w:rsidRDefault="00093A32">
      <w:pPr>
        <w:pStyle w:val="BodyText"/>
        <w:ind w:firstLine="360"/>
      </w:pPr>
      <w:r>
        <w:t>La infección por virus herpético 7 aparece en etapa un poco más tardía de la vida que el virus 6. En la vida adulta, la seroprevalencia del virus 7 es cercana a 85%. Después de la infección primaria queda una infección persistente y permanente con los dos virus. El virus infeccioso aparece en más de 75% de las muestras de saliva obtenida de adultos sanos. Es posible que la transmisión de los dos virus a niños de corta edad provenga del contacto con secreciones infectadas de vías respiratorias de personas sanas.</w:t>
      </w:r>
    </w:p>
    <w:p w14:paraId="1160BC33" w14:textId="77777777" w:rsidR="00093A32" w:rsidRDefault="00093A32">
      <w:pPr>
        <w:pStyle w:val="BodyText"/>
        <w:ind w:firstLine="360"/>
      </w:pPr>
      <w:r>
        <w:t xml:space="preserve">El </w:t>
      </w:r>
      <w:r>
        <w:rPr>
          <w:b/>
          <w:bCs/>
        </w:rPr>
        <w:t xml:space="preserve">periodo de incubación </w:t>
      </w:r>
      <w:r>
        <w:t>medio de HHV-6 es de nueve a 10 días; se desconoce el periodo de incubación del virus herpético humano 7.</w:t>
      </w:r>
    </w:p>
    <w:p w14:paraId="4720BD7B" w14:textId="77777777" w:rsidR="00093A32" w:rsidRDefault="00093A32">
      <w:pPr>
        <w:pStyle w:val="BodyText"/>
        <w:ind w:firstLine="0"/>
      </w:pPr>
      <w:r>
        <w:rPr>
          <w:b/>
          <w:bCs/>
        </w:rPr>
        <w:t>M</w:t>
      </w:r>
      <w:r>
        <w:rPr>
          <w:b/>
          <w:bCs/>
          <w:sz w:val="13"/>
          <w:szCs w:val="13"/>
        </w:rPr>
        <w:t>ÉTODOS DIAGNÓSTICOS</w:t>
      </w:r>
      <w:r>
        <w:rPr>
          <w:b/>
          <w:bCs/>
        </w:rPr>
        <w:t xml:space="preserve">: </w:t>
      </w:r>
      <w:r>
        <w:t>El diagnóstico definitivo de la infección primaria por HHV-6 obliga a utilizar técnicas de investigación para aislar el virus de una muestra de sangre periférica y también para la demostración de la seroconversión. El solo incremento cuádruple de la concentración de anticuerpos séricos no indica necesariamente una nueva infección, dado que el incremento del título también puede observarse con la reactivación o cuando surgen otras infecciones concomitantemente. Están en fase de creación los métodos comerciales para detectar anticuerpos y antígenos y también la reacción en cadena de polimerasa para detectar DNA del virus herpético 6, pero ninguno de los métodos en cuestión permite diferenciar con certeza entre la infección primaria y la persistencia o la reactivación víricas.</w:t>
      </w:r>
    </w:p>
    <w:p w14:paraId="4E11E010" w14:textId="77777777" w:rsidR="00093A32" w:rsidRDefault="00093A32">
      <w:pPr>
        <w:pStyle w:val="BodyText"/>
        <w:ind w:firstLine="360"/>
      </w:pPr>
      <w:r>
        <w:t>Los métodos para diagnosticar HHV-7 también son exclusivos de laboratorios de investigación; la diferenciación precisa entre la infección primaria y la reactivación es muy difícil. El serodiagnóstico de HHV-7 puede sufrir confusión por la reactividad serológica cruzada con HHV-6 y por la posibilidad de reactivar HHV-6 por acción de HHV-7 y quizá otras infecciones.</w:t>
      </w:r>
    </w:p>
    <w:p w14:paraId="1ECDB17D" w14:textId="77777777" w:rsidR="00093A32" w:rsidRDefault="00093A32">
      <w:pPr>
        <w:pStyle w:val="BodyText"/>
        <w:ind w:firstLine="0"/>
      </w:pPr>
      <w:r>
        <w:rPr>
          <w:b/>
          <w:bCs/>
        </w:rPr>
        <w:t>T</w:t>
      </w:r>
      <w:r>
        <w:rPr>
          <w:b/>
          <w:bCs/>
          <w:sz w:val="13"/>
          <w:szCs w:val="13"/>
        </w:rPr>
        <w:t>RATAMIENTO</w:t>
      </w:r>
      <w:r>
        <w:rPr>
          <w:b/>
          <w:bCs/>
        </w:rPr>
        <w:t xml:space="preserve">: </w:t>
      </w:r>
      <w:r>
        <w:t xml:space="preserve">De sostén. Algunos expertos recomiendan administrar ganciclovir en personas inmunodeficientes con enfermedad grave por virus herpético humano 6. </w:t>
      </w:r>
      <w:r>
        <w:rPr>
          <w:b/>
          <w:bCs/>
        </w:rPr>
        <w:t>A</w:t>
      </w:r>
      <w:r>
        <w:rPr>
          <w:b/>
          <w:bCs/>
          <w:sz w:val="13"/>
          <w:szCs w:val="13"/>
        </w:rPr>
        <w:t>ISLAMIENTO DEL PACIENTE HOSPITALIZADO</w:t>
      </w:r>
      <w:r>
        <w:rPr>
          <w:b/>
          <w:bCs/>
        </w:rPr>
        <w:t xml:space="preserve">: </w:t>
      </w:r>
      <w:r>
        <w:t>Se recomienda cumplir las precauciones estándar.</w:t>
      </w:r>
    </w:p>
    <w:p w14:paraId="541EBC8F"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3A34A3F9" w14:textId="77777777" w:rsidR="00093A32" w:rsidRDefault="00093A32">
      <w:pPr>
        <w:pStyle w:val="Bodytext70"/>
        <w:spacing w:after="0"/>
      </w:pPr>
      <w:r>
        <w:t>Humano, virus herpético 8</w:t>
      </w:r>
    </w:p>
    <w:p w14:paraId="10836220" w14:textId="77777777" w:rsidR="00093A32" w:rsidRDefault="00093A32">
      <w:pPr>
        <w:pStyle w:val="BodyText"/>
        <w:ind w:firstLine="0"/>
        <w:sectPr w:rsidR="00093A32" w:rsidSect="00093A32">
          <w:headerReference w:type="even" r:id="rId425"/>
          <w:headerReference w:type="default" r:id="rId426"/>
          <w:footerReference w:type="even" r:id="rId427"/>
          <w:footerReference w:type="default" r:id="rId428"/>
          <w:footnotePr>
            <w:numFmt w:val="chicago"/>
          </w:footnotePr>
          <w:type w:val="continuous"/>
          <w:pgSz w:w="8501" w:h="13022"/>
          <w:pgMar w:top="888" w:right="798" w:bottom="514" w:left="819" w:header="0" w:footer="86" w:gutter="0"/>
          <w:cols w:space="720"/>
          <w:noEndnote/>
          <w:docGrid w:linePitch="360"/>
          <w15:footnoteColumns w:val="1"/>
        </w:sectPr>
      </w:pPr>
      <w:r>
        <w:rPr>
          <w:b/>
          <w:bCs/>
        </w:rPr>
        <w:t>M</w:t>
      </w:r>
      <w:r>
        <w:rPr>
          <w:b/>
          <w:bCs/>
          <w:sz w:val="13"/>
          <w:szCs w:val="13"/>
        </w:rPr>
        <w:t>ANIFESTACIONES CLÍNICAS</w:t>
      </w:r>
      <w:r>
        <w:rPr>
          <w:b/>
          <w:bCs/>
        </w:rPr>
        <w:t xml:space="preserve">: </w:t>
      </w:r>
      <w:r>
        <w:t xml:space="preserve">Se desconocen las consecuencias clínicas que tiene en los niños uno de los miembros recientemente identificados de la familia de virus herpéticos, que es el virus herpético humano </w:t>
      </w:r>
      <w:r>
        <w:rPr>
          <w:i/>
          <w:iCs/>
        </w:rPr>
        <w:t>(</w:t>
      </w:r>
      <w:r>
        <w:rPr>
          <w:rFonts w:ascii="Times New Roman" w:eastAsia="Times New Roman" w:hAnsi="Times New Roman" w:cs="Times New Roman"/>
          <w:i/>
          <w:iCs/>
          <w:sz w:val="16"/>
          <w:szCs w:val="16"/>
        </w:rPr>
        <w:t>human herpesvirus</w:t>
      </w:r>
      <w:r>
        <w:rPr>
          <w:i/>
          <w:iCs/>
        </w:rPr>
        <w:t>,</w:t>
      </w:r>
      <w:r>
        <w:t xml:space="preserve"> HHV)-8. En los adultos se le ha vinculado como una de las causas del sarcoma de Kaposi pues se han detectado en todas las formas de esta neoplasia en todas las zonas del mundo secuencias de DNA del </w:t>
      </w:r>
    </w:p>
    <w:p w14:paraId="1B5810DC" w14:textId="77777777" w:rsidR="00093A32" w:rsidRDefault="00093A32">
      <w:pPr>
        <w:pStyle w:val="BodyText"/>
        <w:ind w:firstLine="0"/>
      </w:pPr>
      <w:r>
        <w:t xml:space="preserve">virus en cuestión en sujetos con infección por el virus de inmunodeficiencia humana (VIH) o sin ella, con linfomas primarios y derrame en la cavidad abdominal; con el síndrome linfoproliferativo (aunque con menor frecuencia que el virus de Epstein-Barr </w:t>
      </w:r>
      <w:r>
        <w:rPr>
          <w:i/>
          <w:iCs/>
        </w:rPr>
        <w:t>[</w:t>
      </w:r>
      <w:r>
        <w:rPr>
          <w:rFonts w:ascii="Times New Roman" w:eastAsia="Times New Roman" w:hAnsi="Times New Roman" w:cs="Times New Roman"/>
          <w:i/>
          <w:iCs/>
          <w:sz w:val="16"/>
          <w:szCs w:val="16"/>
        </w:rPr>
        <w:t>Epstein-Barr virus</w:t>
      </w:r>
      <w:r>
        <w:rPr>
          <w:i/>
          <w:iCs/>
        </w:rPr>
        <w:t>,</w:t>
      </w:r>
      <w:r>
        <w:t xml:space="preserve"> EBV]) y con la enfermedad multicéntrica de Castleman. Son escasas las pruebas de infección por HHV-8 en niños, y no se han detectado “vínculos” o asociaciones clínicas.</w:t>
      </w:r>
    </w:p>
    <w:p w14:paraId="1C8B9A58" w14:textId="77777777" w:rsidR="00093A32" w:rsidRDefault="00093A32">
      <w:pPr>
        <w:pStyle w:val="BodyText"/>
        <w:ind w:firstLine="0"/>
      </w:pPr>
      <w:r>
        <w:rPr>
          <w:b/>
          <w:bCs/>
        </w:rPr>
        <w:t>C</w:t>
      </w:r>
      <w:r>
        <w:rPr>
          <w:b/>
          <w:bCs/>
          <w:sz w:val="13"/>
          <w:szCs w:val="13"/>
        </w:rPr>
        <w:t>AUSAS</w:t>
      </w:r>
      <w:r>
        <w:rPr>
          <w:b/>
          <w:bCs/>
        </w:rPr>
        <w:t xml:space="preserve">: </w:t>
      </w:r>
      <w:r>
        <w:t>El virus herpético humano 8 es miembro de la familia Herpesviridae, que es la subfamilia gammaherpesvirus muy similar al herpesvirus saimiri de monos y al virus de Epstein-Barr.</w:t>
      </w:r>
    </w:p>
    <w:p w14:paraId="32ACF451" w14:textId="77777777" w:rsidR="00093A32" w:rsidRDefault="00093A32">
      <w:pPr>
        <w:pStyle w:val="BodyText"/>
        <w:ind w:firstLine="0"/>
      </w:pPr>
      <w:r>
        <w:rPr>
          <w:b/>
          <w:bCs/>
        </w:rPr>
        <w:t>A</w:t>
      </w:r>
      <w:r>
        <w:rPr>
          <w:b/>
          <w:bCs/>
          <w:sz w:val="13"/>
          <w:szCs w:val="13"/>
        </w:rPr>
        <w:t>SPECTOS EPIDEMIOLÓGICOS</w:t>
      </w:r>
      <w:r>
        <w:rPr>
          <w:b/>
          <w:bCs/>
        </w:rPr>
        <w:t xml:space="preserve">: </w:t>
      </w:r>
      <w:r>
        <w:t>Son pocos los conocimientos sobre los aspectos epidemiológicos y la transmisión del virus en cuestión. Sin embargo, se ha dicho que permanece latente en los leucocitos mononucleares en la sangre periférica y en el tejido linfoide de personas inmunodeficientes y algunos sujetos sanos, lo que sugiere que podría transmitirse por medio de la sangre o de secreciones. En Estados Unidos, en individuos con VIH, la infección por HHV-8 al parecer no surge sino después de la adolescencia.</w:t>
      </w:r>
    </w:p>
    <w:p w14:paraId="302592CE" w14:textId="77777777" w:rsidR="00093A32" w:rsidRDefault="00093A32">
      <w:pPr>
        <w:pStyle w:val="BodyText"/>
        <w:ind w:firstLine="360"/>
      </w:pPr>
      <w:r>
        <w:t xml:space="preserve">Se desconoce el </w:t>
      </w:r>
      <w:r>
        <w:rPr>
          <w:b/>
          <w:bCs/>
        </w:rPr>
        <w:t xml:space="preserve">periodo de incubación </w:t>
      </w:r>
      <w:r>
        <w:t>del virus herpético humano 8.</w:t>
      </w:r>
    </w:p>
    <w:p w14:paraId="2C7DB856" w14:textId="77777777" w:rsidR="00093A32" w:rsidRDefault="00093A32">
      <w:pPr>
        <w:pStyle w:val="BodyText"/>
        <w:ind w:firstLine="0"/>
      </w:pPr>
      <w:r>
        <w:rPr>
          <w:b/>
          <w:bCs/>
        </w:rPr>
        <w:t>M</w:t>
      </w:r>
      <w:r>
        <w:rPr>
          <w:b/>
          <w:bCs/>
          <w:sz w:val="13"/>
          <w:szCs w:val="13"/>
        </w:rPr>
        <w:t>ÉTODOS DIAGNÓSTICOS</w:t>
      </w:r>
      <w:r>
        <w:rPr>
          <w:b/>
          <w:bCs/>
        </w:rPr>
        <w:t xml:space="preserve">: </w:t>
      </w:r>
      <w:r>
        <w:t>Los estudios diagnósticos para detectar las infecciones por el virus se circunscriben a laboratorios de investigación; existe el problema de hacer una diferenciación fiable de la infección primaria y de la latente.</w:t>
      </w:r>
    </w:p>
    <w:p w14:paraId="6E158A5D" w14:textId="77777777" w:rsidR="00093A32" w:rsidRDefault="00093A32">
      <w:pPr>
        <w:pStyle w:val="BodyText"/>
        <w:ind w:firstLine="0"/>
      </w:pPr>
      <w:r>
        <w:rPr>
          <w:b/>
          <w:bCs/>
        </w:rPr>
        <w:t>T</w:t>
      </w:r>
      <w:r>
        <w:rPr>
          <w:b/>
          <w:bCs/>
          <w:sz w:val="13"/>
          <w:szCs w:val="13"/>
        </w:rPr>
        <w:t>RATAMIENTO</w:t>
      </w:r>
      <w:r>
        <w:rPr>
          <w:b/>
          <w:bCs/>
        </w:rPr>
        <w:t xml:space="preserve">: </w:t>
      </w:r>
      <w:r>
        <w:t>No se cuenta con ningún tratamiento efectivo.</w:t>
      </w:r>
    </w:p>
    <w:p w14:paraId="4B6A0ACB"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3E2CF513"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5DC29FE2" w14:textId="77777777" w:rsidR="00093A32" w:rsidRDefault="00093A32">
      <w:pPr>
        <w:pStyle w:val="Bodytext70"/>
        <w:spacing w:after="220"/>
      </w:pPr>
      <w:r>
        <w:t>Influenza</w:t>
      </w:r>
    </w:p>
    <w:p w14:paraId="0E7C93F8" w14:textId="77777777" w:rsidR="00093A32" w:rsidRDefault="00093A32">
      <w:pPr>
        <w:pStyle w:val="BodyText"/>
        <w:ind w:firstLine="0"/>
      </w:pPr>
      <w:r>
        <w:rPr>
          <w:b/>
          <w:bCs/>
        </w:rPr>
        <w:t>M</w:t>
      </w:r>
      <w:r>
        <w:rPr>
          <w:b/>
          <w:bCs/>
          <w:sz w:val="13"/>
          <w:szCs w:val="13"/>
        </w:rPr>
        <w:t>ANIFESTACIONES CLÍNICAS</w:t>
      </w:r>
      <w:r>
        <w:rPr>
          <w:b/>
          <w:bCs/>
        </w:rPr>
        <w:t xml:space="preserve">: </w:t>
      </w:r>
      <w:r>
        <w:t>De manera clásica la influenza se caracteriza por fiebre de comienzo repentino a menudo con escalofríos o contracciones musculares, cefaleas, malestar general, mialgias difusas y tos no productiva. Más adelante, los signos de vías respiratorias como faringitis, congestión nasal, rinitis y tos, se tornan intensos. Se observan a veces hiperemia de conjuntivas, dolor abdominal, náuseas y vómito. En algunos niños la influenza se manifiesta en la forma de infección de vías respiratorias altas o un cuadro febril con pocos signos de vías respiratorias. En lactantes de corta edad la influenza puede producir un cuadro similar a sepsis, y a veces causa laringotraqueítis (crup), bronquiolitis o pulmonía. La miositis aguda, caracterizada por adolorimiento de las pantorrillas y rechazo de la ambulación, surge a veces después de varios días del cuadro de influenza, particularmente en la infección por tipo B. El síndrome de Reye se ha vinculado con infección por influenza, más bien la de tipo B. La enfermedad puede alterar el metabolismo de algunos medicamentos, en particular la teofilina, y a veces ocasiona la aparición de efectos tóxicos por concentraciones séricas altas.</w:t>
      </w:r>
    </w:p>
    <w:p w14:paraId="5C455607" w14:textId="77777777" w:rsidR="00093A32" w:rsidRDefault="00093A32">
      <w:pPr>
        <w:pStyle w:val="BodyText"/>
        <w:spacing w:after="180"/>
        <w:ind w:firstLine="0"/>
        <w:sectPr w:rsidR="00093A32" w:rsidSect="00093A32">
          <w:headerReference w:type="even" r:id="rId429"/>
          <w:headerReference w:type="default" r:id="rId430"/>
          <w:footerReference w:type="even" r:id="rId431"/>
          <w:footerReference w:type="default" r:id="rId432"/>
          <w:footnotePr>
            <w:numFmt w:val="chicago"/>
          </w:footnotePr>
          <w:type w:val="continuous"/>
          <w:pgSz w:w="8501" w:h="13022"/>
          <w:pgMar w:top="888" w:right="798" w:bottom="514" w:left="819" w:header="0" w:footer="86" w:gutter="0"/>
          <w:cols w:space="720"/>
          <w:noEndnote/>
          <w:docGrid w:linePitch="360"/>
          <w15:footnoteColumns w:val="1"/>
        </w:sectPr>
      </w:pPr>
      <w:r>
        <w:rPr>
          <w:b/>
          <w:bCs/>
        </w:rPr>
        <w:t>C</w:t>
      </w:r>
      <w:r>
        <w:rPr>
          <w:b/>
          <w:bCs/>
          <w:sz w:val="13"/>
          <w:szCs w:val="13"/>
        </w:rPr>
        <w:t>AUSAS</w:t>
      </w:r>
      <w:r>
        <w:rPr>
          <w:b/>
          <w:bCs/>
        </w:rPr>
        <w:t xml:space="preserve">: </w:t>
      </w:r>
      <w:r>
        <w:t>Los virus de influenza son ortomixovirus de tres tipos antigénicos (A, B y C). El cuadro epidémico es causado por los tipos A y B. Los virus de tipo A se subclasifican con base en dos antígenos de superficie que son hemaglutinina (HA) y neuraminidasa (NA). Se ha sabido que los virus que poseen tres subtipos de hemaglutinina (H1, H2 y H3) inmunológicamente diferentes y dos subtipos de neuraminidasa (N1 y N2) originan epidemias globales en seres humanos. Entre los determinantes importantes de inmunidad están los anticuerpos específicos contra varios de los antígenos comentados,</w:t>
      </w:r>
    </w:p>
    <w:p w14:paraId="6B022893"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con las precauciones estándar.</w:t>
      </w:r>
    </w:p>
    <w:p w14:paraId="4CDB8E08" w14:textId="77777777" w:rsidR="00093A32" w:rsidRDefault="00093A3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En los brotes está indicado investigar el origen común de la infección. Hay que evitar la exposición a la tierra y al polvo de zonas con acumulaciones notables de excrementos de aves y murciélagos, en particular personas inmunodeficientes; si tal exposición es inevitable, se le puede controlar con el empleo de mascarillas, guantes y ropas desechables. Se cuenta con directrices para evitar la histoplasmosis, creadas para profesionales sanitarios y de seguridad, consultores de ambiente y personas que supervisan a trabajadores que participan en actividades en que hay trastocamiento de materiales contaminados. Se puede obtener más información sobre tales directrices en el National Institute for Occupational Safety and Health (NIOSH; publicación No. 97-146), Publications Dissemination, 4676 Columbia Parkway, Cincinnati, OH 45226-1998; teléfono 800/356-4674; the National Center for Infectious Diseases, teléfono 404/639-3158; y la página Web NIOSH (</w:t>
      </w:r>
      <w:hyperlink r:id="rId433" w:history="1">
        <w:r>
          <w:t>www.cdc.gov/niosh/97-146.html</w:t>
        </w:r>
      </w:hyperlink>
      <w:r>
        <w:t>).</w:t>
      </w:r>
    </w:p>
    <w:p w14:paraId="1DE4A1D9" w14:textId="77777777" w:rsidR="00093A32" w:rsidRDefault="00093A32">
      <w:pPr>
        <w:pStyle w:val="BodyText"/>
        <w:spacing w:line="257" w:lineRule="auto"/>
        <w:ind w:firstLine="0"/>
      </w:pPr>
      <w:r>
        <w:rPr>
          <w:rFonts w:ascii="Arial" w:eastAsia="Arial" w:hAnsi="Arial" w:cs="Arial"/>
          <w:b/>
          <w:bCs/>
          <w:w w:val="70"/>
          <w:sz w:val="32"/>
          <w:szCs w:val="32"/>
        </w:rPr>
        <w:t>Humana, infección por virus de inmunodeficiencia (VIH)</w:t>
      </w:r>
      <w:r>
        <w:rPr>
          <w:rFonts w:ascii="Arial" w:eastAsia="Arial" w:hAnsi="Arial" w:cs="Arial"/>
          <w:b/>
          <w:bCs/>
          <w:w w:val="70"/>
          <w:sz w:val="32"/>
          <w:szCs w:val="32"/>
        </w:rPr>
        <w:footnoteReference w:id="29"/>
      </w:r>
      <w:r>
        <w:rPr>
          <w:rFonts w:ascii="Arial" w:eastAsia="Arial" w:hAnsi="Arial" w:cs="Arial"/>
          <w:b/>
          <w:bCs/>
          <w:w w:val="70"/>
          <w:sz w:val="32"/>
          <w:szCs w:val="32"/>
        </w:rPr>
        <w:t xml:space="preserve"> </w:t>
      </w:r>
      <w:r>
        <w:rPr>
          <w:rFonts w:ascii="Arial" w:eastAsia="Arial" w:hAnsi="Arial" w:cs="Arial"/>
          <w:b/>
          <w:bCs/>
          <w:w w:val="70"/>
          <w:sz w:val="32"/>
          <w:szCs w:val="32"/>
        </w:rPr>
        <w:footnoteReference w:id="30"/>
      </w:r>
      <w:r>
        <w:rPr>
          <w:rFonts w:ascii="Arial" w:eastAsia="Arial" w:hAnsi="Arial" w:cs="Arial"/>
          <w:b/>
          <w:bCs/>
          <w:w w:val="70"/>
          <w:sz w:val="32"/>
          <w:szCs w:val="32"/>
        </w:rPr>
        <w:t xml:space="preserve"> </w:t>
      </w: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infección por el virus de inmunodeficiencia humana en niños y adolescentes origina cuadros muy heterogéneos de enfermedad y sigue una evolución clínica variable. El extremo del espectro clínico es el síndrome de inmunodeficiencia adquirida (SIDA). Las definiciones actuales para vigilancia, emitidas por los </w:t>
      </w:r>
      <w:r>
        <w:rPr>
          <w:rFonts w:ascii="Times New Roman" w:eastAsia="Times New Roman" w:hAnsi="Times New Roman" w:cs="Times New Roman"/>
          <w:i/>
          <w:iCs/>
          <w:sz w:val="16"/>
          <w:szCs w:val="16"/>
        </w:rPr>
        <w:t>Centers for Disease Control and Prevention</w:t>
      </w:r>
      <w:r>
        <w:t xml:space="preserve"> (CDC) con respecto al SIDA en adultos y adolescentes se incluyen en el cuadro 3-31, y las categorías clínicas y el sistema de clasificación pediátrica de los CDC para niños menores de 13 años hijos de madres infectadas por el virus o que se sabe están infectados con dicha partícula se incluyen en los cuadros 3-32 y 3-33?</w:t>
      </w:r>
      <w:r>
        <w:rPr>
          <w:rFonts w:ascii="Times New Roman" w:eastAsia="Times New Roman" w:hAnsi="Times New Roman" w:cs="Times New Roman"/>
          <w:sz w:val="11"/>
          <w:szCs w:val="11"/>
        </w:rPr>
        <w:t xml:space="preserve">* </w:t>
      </w:r>
      <w:r>
        <w:t xml:space="preserve">La clasificación pediátrica que se estableció para vigilancia de la infección por VIH destaca la importancia del número de linfocitos T CD4+ como un indicador inmunológico indirecto y un marcador del pronóstico, pero no utiliza datos del número de virus (carga vírica) como se cuantifican con la reacción en cadena de polimerasa </w:t>
      </w:r>
      <w:r>
        <w:rPr>
          <w:i/>
          <w:iCs/>
        </w:rPr>
        <w:t>(</w:t>
      </w:r>
      <w:r>
        <w:rPr>
          <w:rFonts w:ascii="Times New Roman" w:eastAsia="Times New Roman" w:hAnsi="Times New Roman" w:cs="Times New Roman"/>
          <w:i/>
          <w:iCs/>
          <w:sz w:val="16"/>
          <w:szCs w:val="16"/>
        </w:rPr>
        <w:t>polymerase chain reaction</w:t>
      </w:r>
      <w:r>
        <w:rPr>
          <w:i/>
          <w:iCs/>
        </w:rPr>
        <w:t>,</w:t>
      </w:r>
      <w:r>
        <w:t xml:space="preserve"> PCR) del ácido ribonucleico (RNA).</w:t>
      </w:r>
    </w:p>
    <w:p w14:paraId="6721CC9C" w14:textId="77777777" w:rsidR="00093A32" w:rsidRDefault="00093A32">
      <w:pPr>
        <w:pStyle w:val="BodyText"/>
        <w:spacing w:after="40"/>
        <w:ind w:firstLine="360"/>
      </w:pPr>
      <w:r>
        <w:t>Las manifestaciones de la infección por VIH en niños incluyen linfadenopatía generalizada, hepatomegalia, esplenomegalia, retraso del crecimiento, candidiasis de la boca, diarrea recurrente, parotiditis, miocardiopatía, hepatitis, nefropatía, enfermedad del sistema nervioso central (SNC) (que incluye retraso de su desarrollo), neumonía intersticial linfoide, infecciones invasoras recurrentes por bacterias, infecciones por oportunistas</w:t>
      </w:r>
      <w:r>
        <w:rPr>
          <w:vertAlign w:val="superscript"/>
        </w:rPr>
        <w:t>5</w:t>
      </w:r>
      <w:r>
        <w:t xml:space="preserve"> y neoplasias malignas específicas.</w:t>
      </w:r>
    </w:p>
    <w:p w14:paraId="16B36127" w14:textId="77777777" w:rsidR="00093A32" w:rsidRDefault="00093A32">
      <w:pPr>
        <w:pStyle w:val="Heading31"/>
        <w:keepNext/>
        <w:keepLines/>
        <w:pBdr>
          <w:bottom w:val="single" w:sz="4" w:space="0" w:color="auto"/>
        </w:pBdr>
        <w:spacing w:after="400" w:line="211" w:lineRule="auto"/>
        <w:jc w:val="center"/>
      </w:pPr>
      <w:bookmarkStart w:id="216" w:name="bookmark822"/>
      <w:bookmarkStart w:id="217" w:name="bookmark823"/>
      <w:bookmarkStart w:id="218" w:name="bookmark824"/>
      <w:r>
        <w:rPr>
          <w:b w:val="0"/>
          <w:bCs w:val="0"/>
        </w:rPr>
        <w:t xml:space="preserve">Cuadro 3-31. </w:t>
      </w:r>
      <w:r>
        <w:t>Definición revisada de casos (1993) de cuadros definitorios</w:t>
      </w:r>
      <w:r>
        <w:br/>
        <w:t>de SIDA en adultos y adolescentes de 13 años y mayores</w:t>
      </w:r>
      <w:r>
        <w:rPr>
          <w:vertAlign w:val="superscript"/>
        </w:rPr>
        <w:footnoteReference w:id="31"/>
      </w:r>
      <w:r>
        <w:rPr>
          <w:vertAlign w:val="superscript"/>
        </w:rPr>
        <w:t xml:space="preserve"> </w:t>
      </w:r>
      <w:r>
        <w:rPr>
          <w:vertAlign w:val="superscript"/>
        </w:rPr>
        <w:footnoteReference w:id="32"/>
      </w:r>
      <w:bookmarkEnd w:id="216"/>
      <w:bookmarkEnd w:id="217"/>
      <w:bookmarkEnd w:id="218"/>
    </w:p>
    <w:p w14:paraId="7AA2DEE5" w14:textId="77777777" w:rsidR="00093A32" w:rsidRDefault="00093A32">
      <w:pPr>
        <w:pStyle w:val="Bodytext20"/>
        <w:numPr>
          <w:ilvl w:val="0"/>
          <w:numId w:val="75"/>
        </w:numPr>
        <w:tabs>
          <w:tab w:val="left" w:pos="281"/>
        </w:tabs>
      </w:pPr>
      <w:bookmarkStart w:id="219" w:name="bookmark825"/>
      <w:bookmarkEnd w:id="219"/>
      <w:r>
        <w:t>Candidiasis de bronquios, tráquea o pulmones</w:t>
      </w:r>
    </w:p>
    <w:p w14:paraId="554DED34" w14:textId="77777777" w:rsidR="00093A32" w:rsidRDefault="00093A32">
      <w:pPr>
        <w:pStyle w:val="Bodytext20"/>
        <w:numPr>
          <w:ilvl w:val="0"/>
          <w:numId w:val="75"/>
        </w:numPr>
        <w:tabs>
          <w:tab w:val="left" w:pos="281"/>
        </w:tabs>
      </w:pPr>
      <w:bookmarkStart w:id="220" w:name="bookmark826"/>
      <w:bookmarkEnd w:id="220"/>
      <w:r>
        <w:t>Candidiasis esofágica</w:t>
      </w:r>
    </w:p>
    <w:p w14:paraId="2991C107" w14:textId="77777777" w:rsidR="00093A32" w:rsidRDefault="00093A32">
      <w:pPr>
        <w:pStyle w:val="Bodytext20"/>
        <w:numPr>
          <w:ilvl w:val="0"/>
          <w:numId w:val="75"/>
        </w:numPr>
        <w:tabs>
          <w:tab w:val="left" w:pos="281"/>
        </w:tabs>
      </w:pPr>
      <w:bookmarkStart w:id="221" w:name="bookmark827"/>
      <w:bookmarkEnd w:id="221"/>
      <w:r>
        <w:t>Cervicouterino invasor, cáncer</w:t>
      </w:r>
    </w:p>
    <w:p w14:paraId="57A6FAEA" w14:textId="77777777" w:rsidR="00093A32" w:rsidRDefault="00093A32">
      <w:pPr>
        <w:pStyle w:val="Bodytext20"/>
        <w:numPr>
          <w:ilvl w:val="0"/>
          <w:numId w:val="75"/>
        </w:numPr>
        <w:tabs>
          <w:tab w:val="left" w:pos="281"/>
        </w:tabs>
      </w:pPr>
      <w:bookmarkStart w:id="222" w:name="bookmark828"/>
      <w:bookmarkEnd w:id="222"/>
      <w:r>
        <w:t>Citomegálico, enfermedad por virus (ataque diferente del de hígado, bazo o ganglios)</w:t>
      </w:r>
    </w:p>
    <w:p w14:paraId="3BF4C6E3" w14:textId="77777777" w:rsidR="00093A32" w:rsidRDefault="00093A32">
      <w:pPr>
        <w:pStyle w:val="Bodytext20"/>
        <w:numPr>
          <w:ilvl w:val="0"/>
          <w:numId w:val="75"/>
        </w:numPr>
        <w:tabs>
          <w:tab w:val="left" w:pos="281"/>
        </w:tabs>
      </w:pPr>
      <w:bookmarkStart w:id="223" w:name="bookmark829"/>
      <w:bookmarkEnd w:id="223"/>
      <w:r>
        <w:t>Citomegálico, retinitis por virus (con pérdida de la visión)</w:t>
      </w:r>
    </w:p>
    <w:p w14:paraId="387ED12D" w14:textId="77777777" w:rsidR="00093A32" w:rsidRDefault="00093A32">
      <w:pPr>
        <w:pStyle w:val="Bodytext20"/>
        <w:numPr>
          <w:ilvl w:val="0"/>
          <w:numId w:val="75"/>
        </w:numPr>
        <w:tabs>
          <w:tab w:val="left" w:pos="281"/>
        </w:tabs>
      </w:pPr>
      <w:bookmarkStart w:id="224" w:name="bookmark830"/>
      <w:bookmarkEnd w:id="224"/>
      <w:r>
        <w:t>Coccidioidomicosis diseminada o extrapulmonar</w:t>
      </w:r>
    </w:p>
    <w:p w14:paraId="742B7599" w14:textId="77777777" w:rsidR="00093A32" w:rsidRDefault="00093A32">
      <w:pPr>
        <w:pStyle w:val="Bodytext20"/>
        <w:numPr>
          <w:ilvl w:val="0"/>
          <w:numId w:val="75"/>
        </w:numPr>
        <w:tabs>
          <w:tab w:val="left" w:pos="281"/>
        </w:tabs>
      </w:pPr>
      <w:bookmarkStart w:id="225" w:name="bookmark831"/>
      <w:bookmarkEnd w:id="225"/>
      <w:r>
        <w:t>Consunción, síndrome de, atribuible a VIH</w:t>
      </w:r>
    </w:p>
    <w:p w14:paraId="424B6F02" w14:textId="77777777" w:rsidR="00093A32" w:rsidRDefault="00093A32">
      <w:pPr>
        <w:pStyle w:val="Bodytext20"/>
        <w:numPr>
          <w:ilvl w:val="0"/>
          <w:numId w:val="75"/>
        </w:numPr>
        <w:tabs>
          <w:tab w:val="left" w:pos="281"/>
        </w:tabs>
      </w:pPr>
      <w:bookmarkStart w:id="226" w:name="bookmark832"/>
      <w:bookmarkEnd w:id="226"/>
      <w:r>
        <w:t>Criptococosis extrapulmonar</w:t>
      </w:r>
    </w:p>
    <w:p w14:paraId="62EE8674" w14:textId="77777777" w:rsidR="00093A32" w:rsidRDefault="00093A32">
      <w:pPr>
        <w:pStyle w:val="Bodytext20"/>
        <w:numPr>
          <w:ilvl w:val="0"/>
          <w:numId w:val="75"/>
        </w:numPr>
        <w:tabs>
          <w:tab w:val="left" w:pos="281"/>
        </w:tabs>
      </w:pPr>
      <w:bookmarkStart w:id="227" w:name="bookmark833"/>
      <w:bookmarkEnd w:id="227"/>
      <w:r>
        <w:t>Criptosporidiosis intestinal crónica (más de un mes de duración)</w:t>
      </w:r>
    </w:p>
    <w:p w14:paraId="73A8EB1A" w14:textId="77777777" w:rsidR="00093A32" w:rsidRDefault="00093A32">
      <w:pPr>
        <w:pStyle w:val="Bodytext20"/>
        <w:numPr>
          <w:ilvl w:val="0"/>
          <w:numId w:val="75"/>
        </w:numPr>
        <w:tabs>
          <w:tab w:val="left" w:pos="281"/>
        </w:tabs>
      </w:pPr>
      <w:bookmarkStart w:id="228" w:name="bookmark834"/>
      <w:bookmarkEnd w:id="228"/>
      <w:r>
        <w:t>Encefalopatía por VIH</w:t>
      </w:r>
    </w:p>
    <w:p w14:paraId="325031EB" w14:textId="77777777" w:rsidR="00093A32" w:rsidRDefault="00093A32">
      <w:pPr>
        <w:pStyle w:val="Bodytext20"/>
        <w:numPr>
          <w:ilvl w:val="0"/>
          <w:numId w:val="75"/>
        </w:numPr>
        <w:tabs>
          <w:tab w:val="left" w:pos="281"/>
        </w:tabs>
        <w:ind w:left="360" w:hanging="360"/>
      </w:pPr>
      <w:bookmarkStart w:id="229" w:name="bookmark835"/>
      <w:bookmarkEnd w:id="229"/>
      <w:r>
        <w:t>Herpes simple: úlceras crónicas (más de un mes de duración) o bronquitis, neumonitis o esofagitis</w:t>
      </w:r>
    </w:p>
    <w:p w14:paraId="4997C662" w14:textId="77777777" w:rsidR="00093A32" w:rsidRDefault="00093A32">
      <w:pPr>
        <w:pStyle w:val="Bodytext20"/>
        <w:numPr>
          <w:ilvl w:val="0"/>
          <w:numId w:val="75"/>
        </w:numPr>
        <w:tabs>
          <w:tab w:val="left" w:pos="281"/>
        </w:tabs>
      </w:pPr>
      <w:bookmarkStart w:id="230" w:name="bookmark836"/>
      <w:bookmarkEnd w:id="230"/>
      <w:r>
        <w:t>Histoplasmosis, diseminada o extrapulmonar</w:t>
      </w:r>
    </w:p>
    <w:p w14:paraId="5EA2786A" w14:textId="77777777" w:rsidR="00093A32" w:rsidRDefault="00093A32">
      <w:pPr>
        <w:pStyle w:val="Bodytext20"/>
        <w:numPr>
          <w:ilvl w:val="0"/>
          <w:numId w:val="75"/>
        </w:numPr>
        <w:tabs>
          <w:tab w:val="left" w:pos="281"/>
        </w:tabs>
      </w:pPr>
      <w:bookmarkStart w:id="231" w:name="bookmark837"/>
      <w:bookmarkEnd w:id="231"/>
      <w:r>
        <w:t>Isosporiasis intestinal crónica (más de un mes de duración)</w:t>
      </w:r>
    </w:p>
    <w:p w14:paraId="19F25A0B" w14:textId="77777777" w:rsidR="00093A32" w:rsidRDefault="00093A32">
      <w:pPr>
        <w:pStyle w:val="Bodytext20"/>
        <w:numPr>
          <w:ilvl w:val="0"/>
          <w:numId w:val="75"/>
        </w:numPr>
        <w:tabs>
          <w:tab w:val="left" w:pos="281"/>
        </w:tabs>
      </w:pPr>
      <w:bookmarkStart w:id="232" w:name="bookmark838"/>
      <w:bookmarkEnd w:id="232"/>
      <w:r>
        <w:t>Kaposi, sarcoma de</w:t>
      </w:r>
    </w:p>
    <w:p w14:paraId="0175222E" w14:textId="77777777" w:rsidR="00093A32" w:rsidRDefault="00093A32">
      <w:pPr>
        <w:pStyle w:val="Bodytext20"/>
        <w:numPr>
          <w:ilvl w:val="0"/>
          <w:numId w:val="75"/>
        </w:numPr>
        <w:tabs>
          <w:tab w:val="left" w:pos="281"/>
          <w:tab w:val="right" w:pos="2702"/>
        </w:tabs>
      </w:pPr>
      <w:bookmarkStart w:id="233" w:name="bookmark839"/>
      <w:bookmarkEnd w:id="233"/>
      <w:r>
        <w:t>Linfoma de Burkitt</w:t>
      </w:r>
      <w:r>
        <w:tab/>
        <w:t>(o equivalente)</w:t>
      </w:r>
    </w:p>
    <w:p w14:paraId="05ACEB72" w14:textId="77777777" w:rsidR="00093A32" w:rsidRDefault="00093A32">
      <w:pPr>
        <w:pStyle w:val="Bodytext20"/>
        <w:numPr>
          <w:ilvl w:val="0"/>
          <w:numId w:val="75"/>
        </w:numPr>
        <w:tabs>
          <w:tab w:val="left" w:pos="281"/>
        </w:tabs>
      </w:pPr>
      <w:bookmarkStart w:id="234" w:name="bookmark840"/>
      <w:bookmarkEnd w:id="234"/>
      <w:r>
        <w:t>Linfoma inmunoblástico (o equivalente)</w:t>
      </w:r>
    </w:p>
    <w:p w14:paraId="55D138C0" w14:textId="77777777" w:rsidR="00093A32" w:rsidRDefault="00093A32">
      <w:pPr>
        <w:pStyle w:val="Bodytext20"/>
        <w:numPr>
          <w:ilvl w:val="0"/>
          <w:numId w:val="75"/>
        </w:numPr>
        <w:tabs>
          <w:tab w:val="left" w:pos="281"/>
          <w:tab w:val="right" w:pos="2482"/>
        </w:tabs>
      </w:pPr>
      <w:bookmarkStart w:id="235" w:name="bookmark841"/>
      <w:bookmarkEnd w:id="235"/>
      <w:r>
        <w:t>Linfoma primario o</w:t>
      </w:r>
      <w:r>
        <w:tab/>
        <w:t>de encéfalo</w:t>
      </w:r>
    </w:p>
    <w:p w14:paraId="567AF5E6" w14:textId="77777777" w:rsidR="00093A32" w:rsidRDefault="00093A32">
      <w:pPr>
        <w:pStyle w:val="Bodytext20"/>
        <w:numPr>
          <w:ilvl w:val="0"/>
          <w:numId w:val="75"/>
        </w:numPr>
        <w:tabs>
          <w:tab w:val="left" w:pos="281"/>
        </w:tabs>
        <w:ind w:left="360" w:hanging="360"/>
      </w:pPr>
      <w:bookmarkStart w:id="236" w:name="bookmark842"/>
      <w:bookmarkEnd w:id="236"/>
      <w:r>
        <w:rPr>
          <w:i/>
          <w:iCs/>
        </w:rPr>
        <w:t>Mycobacterium avium,</w:t>
      </w:r>
      <w:r>
        <w:t xml:space="preserve"> ataque del complejo de, o </w:t>
      </w:r>
      <w:r>
        <w:rPr>
          <w:i/>
          <w:iCs/>
        </w:rPr>
        <w:t>Mycobacterium kansasii,</w:t>
      </w:r>
      <w:r>
        <w:t xml:space="preserve"> diseminado o extrapulmonar</w:t>
      </w:r>
    </w:p>
    <w:p w14:paraId="46385278" w14:textId="77777777" w:rsidR="00093A32" w:rsidRDefault="00093A32">
      <w:pPr>
        <w:pStyle w:val="Bodytext20"/>
        <w:numPr>
          <w:ilvl w:val="0"/>
          <w:numId w:val="75"/>
        </w:numPr>
        <w:tabs>
          <w:tab w:val="left" w:pos="281"/>
        </w:tabs>
      </w:pPr>
      <w:bookmarkStart w:id="237" w:name="bookmark843"/>
      <w:bookmarkEnd w:id="237"/>
      <w:r>
        <w:rPr>
          <w:i/>
          <w:iCs/>
        </w:rPr>
        <w:t>Mycobacterium tuberculosis,</w:t>
      </w:r>
      <w:r>
        <w:t xml:space="preserve"> ataque de, en cualquier sitio, pulmonar o extrapulmonar</w:t>
      </w:r>
    </w:p>
    <w:p w14:paraId="79C09E3B" w14:textId="77777777" w:rsidR="00093A32" w:rsidRDefault="00093A32">
      <w:pPr>
        <w:pStyle w:val="Bodytext20"/>
        <w:numPr>
          <w:ilvl w:val="0"/>
          <w:numId w:val="75"/>
        </w:numPr>
        <w:tabs>
          <w:tab w:val="left" w:pos="281"/>
        </w:tabs>
        <w:ind w:left="360" w:hanging="360"/>
      </w:pPr>
      <w:bookmarkStart w:id="238" w:name="bookmark844"/>
      <w:bookmarkEnd w:id="238"/>
      <w:r>
        <w:rPr>
          <w:i/>
          <w:iCs/>
        </w:rPr>
        <w:t>Mycobacterium,</w:t>
      </w:r>
      <w:r>
        <w:t xml:space="preserve"> otras especies o especies no identificadas, ataque diseminado o extrapulmonar</w:t>
      </w:r>
    </w:p>
    <w:p w14:paraId="6D833910" w14:textId="77777777" w:rsidR="00093A32" w:rsidRDefault="00093A32">
      <w:pPr>
        <w:pStyle w:val="Bodytext20"/>
        <w:numPr>
          <w:ilvl w:val="0"/>
          <w:numId w:val="75"/>
        </w:numPr>
        <w:tabs>
          <w:tab w:val="left" w:pos="281"/>
        </w:tabs>
      </w:pPr>
      <w:bookmarkStart w:id="239" w:name="bookmark845"/>
      <w:bookmarkEnd w:id="239"/>
      <w:r>
        <w:t>Neumonía recurrente</w:t>
      </w:r>
    </w:p>
    <w:p w14:paraId="5E310FED" w14:textId="77777777" w:rsidR="00093A32" w:rsidRDefault="00093A32">
      <w:pPr>
        <w:pStyle w:val="Bodytext20"/>
        <w:numPr>
          <w:ilvl w:val="0"/>
          <w:numId w:val="75"/>
        </w:numPr>
        <w:tabs>
          <w:tab w:val="left" w:pos="281"/>
        </w:tabs>
      </w:pPr>
      <w:bookmarkStart w:id="240" w:name="bookmark846"/>
      <w:bookmarkEnd w:id="240"/>
      <w:r>
        <w:rPr>
          <w:i/>
          <w:iCs/>
        </w:rPr>
        <w:t>Pneumocystis,</w:t>
      </w:r>
      <w:r>
        <w:t xml:space="preserve"> neumonía por</w:t>
      </w:r>
    </w:p>
    <w:p w14:paraId="1B3CCD58" w14:textId="77777777" w:rsidR="00093A32" w:rsidRDefault="00093A32">
      <w:pPr>
        <w:pStyle w:val="Bodytext20"/>
        <w:numPr>
          <w:ilvl w:val="0"/>
          <w:numId w:val="75"/>
        </w:numPr>
        <w:tabs>
          <w:tab w:val="left" w:pos="281"/>
        </w:tabs>
      </w:pPr>
      <w:bookmarkStart w:id="241" w:name="bookmark847"/>
      <w:bookmarkEnd w:id="241"/>
      <w:r>
        <w:t>Progresiva, leucoencefalopatía multifocal</w:t>
      </w:r>
    </w:p>
    <w:p w14:paraId="069E5F12" w14:textId="77777777" w:rsidR="00093A32" w:rsidRDefault="00093A32">
      <w:pPr>
        <w:pStyle w:val="Bodytext20"/>
        <w:numPr>
          <w:ilvl w:val="0"/>
          <w:numId w:val="75"/>
        </w:numPr>
        <w:tabs>
          <w:tab w:val="left" w:pos="281"/>
        </w:tabs>
        <w:ind w:left="360" w:hanging="360"/>
      </w:pPr>
      <w:bookmarkStart w:id="242" w:name="bookmark848"/>
      <w:bookmarkEnd w:id="242"/>
      <w:r>
        <w:t xml:space="preserve">Recuento de linfocitos T CD4+ menor de 200 células/pl (0.20 </w:t>
      </w:r>
      <w:r>
        <w:rPr>
          <w:rFonts w:ascii="Garamond" w:eastAsia="Garamond" w:hAnsi="Garamond" w:cs="Garamond"/>
          <w:sz w:val="19"/>
          <w:szCs w:val="19"/>
        </w:rPr>
        <w:t xml:space="preserve">x </w:t>
      </w:r>
      <w:r>
        <w:t>10</w:t>
      </w:r>
      <w:r>
        <w:rPr>
          <w:rFonts w:ascii="Garamond" w:eastAsia="Garamond" w:hAnsi="Garamond" w:cs="Garamond"/>
          <w:sz w:val="19"/>
          <w:szCs w:val="19"/>
        </w:rPr>
        <w:t>9</w:t>
      </w:r>
      <w:r>
        <w:t>/L) o porcentajes de células CD4+ menores de 15%</w:t>
      </w:r>
    </w:p>
    <w:p w14:paraId="04B1EE90" w14:textId="77777777" w:rsidR="00093A32" w:rsidRDefault="00093A32">
      <w:pPr>
        <w:pStyle w:val="Bodytext20"/>
        <w:numPr>
          <w:ilvl w:val="0"/>
          <w:numId w:val="75"/>
        </w:numPr>
        <w:tabs>
          <w:tab w:val="left" w:pos="281"/>
        </w:tabs>
      </w:pPr>
      <w:bookmarkStart w:id="243" w:name="bookmark849"/>
      <w:bookmarkEnd w:id="243"/>
      <w:r>
        <w:rPr>
          <w:i/>
          <w:iCs/>
        </w:rPr>
        <w:t>Salmonella</w:t>
      </w:r>
      <w:r>
        <w:rPr>
          <w:i/>
          <w:iCs/>
          <w:sz w:val="15"/>
          <w:szCs w:val="15"/>
        </w:rPr>
        <w:t>,</w:t>
      </w:r>
      <w:r>
        <w:t xml:space="preserve"> septicemia recurrente por</w:t>
      </w:r>
    </w:p>
    <w:p w14:paraId="3919C68E" w14:textId="77777777" w:rsidR="00093A32" w:rsidRDefault="00093A32">
      <w:pPr>
        <w:pStyle w:val="Bodytext20"/>
        <w:numPr>
          <w:ilvl w:val="0"/>
          <w:numId w:val="75"/>
        </w:numPr>
        <w:pBdr>
          <w:bottom w:val="single" w:sz="4" w:space="0" w:color="auto"/>
        </w:pBdr>
        <w:tabs>
          <w:tab w:val="left" w:pos="281"/>
        </w:tabs>
      </w:pPr>
      <w:bookmarkStart w:id="244" w:name="bookmark850"/>
      <w:bookmarkEnd w:id="244"/>
      <w:r>
        <w:t>Toxoplasmosis encefálica</w:t>
      </w:r>
    </w:p>
    <w:p w14:paraId="2CE310ED" w14:textId="77777777" w:rsidR="00093A32" w:rsidRDefault="00093A32">
      <w:pPr>
        <w:pStyle w:val="BodyText"/>
        <w:ind w:firstLine="0"/>
        <w:rPr>
          <w:sz w:val="16"/>
          <w:szCs w:val="16"/>
        </w:rPr>
      </w:pPr>
      <w:r>
        <w:t xml:space="preserve">infección por complejo de </w:t>
      </w:r>
      <w:r>
        <w:rPr>
          <w:rFonts w:ascii="Times New Roman" w:eastAsia="Times New Roman" w:hAnsi="Times New Roman" w:cs="Times New Roman"/>
          <w:i/>
          <w:iCs/>
          <w:sz w:val="16"/>
          <w:szCs w:val="16"/>
        </w:rPr>
        <w:t>Mycobacterium avium (Mycobacterium avium complex,</w:t>
      </w:r>
      <w:r>
        <w:t xml:space="preserve"> MAC) y enteritis crónica ocasionada por especies de </w:t>
      </w:r>
      <w:r>
        <w:rPr>
          <w:rFonts w:ascii="Times New Roman" w:eastAsia="Times New Roman" w:hAnsi="Times New Roman" w:cs="Times New Roman"/>
          <w:i/>
          <w:iCs/>
          <w:sz w:val="16"/>
          <w:szCs w:val="16"/>
        </w:rPr>
        <w:t>Cryptosporidium, Isospora</w:t>
      </w:r>
      <w:r>
        <w:t xml:space="preserve"> u otros agentes. Rara vez surgen en niños infecciones diseminadas o el ataque del SNC por criptococos o </w:t>
      </w:r>
      <w:r>
        <w:rPr>
          <w:rFonts w:ascii="Times New Roman" w:eastAsia="Times New Roman" w:hAnsi="Times New Roman" w:cs="Times New Roman"/>
          <w:i/>
          <w:iCs/>
          <w:sz w:val="16"/>
          <w:szCs w:val="16"/>
        </w:rPr>
        <w:t>Toxoplasma gondii.</w:t>
      </w:r>
    </w:p>
    <w:p w14:paraId="1E0D17AF" w14:textId="77777777" w:rsidR="00093A32" w:rsidRDefault="00093A32">
      <w:pPr>
        <w:pStyle w:val="BodyText"/>
        <w:ind w:firstLine="360"/>
      </w:pPr>
      <w:r>
        <w:t>En los niños con infección por VIH rara vez surgen neoplasias malignas, pero se han observado con mayor frecuencia en esa población de enfermos, que en niños inmunocompetentes, leiomiosarcomas y algunos linfomas, incluidos los que afectan el sistema nervioso central y el linfoma de células B de tipo Burkitt (no-Hodgkin). El sarcoma de Kaposi es raro en los niños en Estados Unidos, pero afecta más a menudo a los menores infectados por VIH en zonas altamente endémicas del planeta.</w:t>
      </w:r>
    </w:p>
    <w:p w14:paraId="77526844" w14:textId="77777777" w:rsidR="00093A32" w:rsidRDefault="00093A32">
      <w:pPr>
        <w:pStyle w:val="BodyText"/>
        <w:ind w:firstLine="360"/>
      </w:pPr>
      <w:r>
        <w:t>La aparición de infecciones por oportunistas y en particular PCP, el ataque progresivo del sistema nervioso y la consunción profunda conllevan un mal pronóstico. El pronóstico de supervivencia también es insatisfactorio en lactantes infectados en la etapa perinatal, si el número de virus rebasa las 300 000 copias/ml y el número de linfocitos T CD4+ disminuye, así como si los síntomas surgen en el primer año de vida. El pronóstico y los índices de supervivencia mejoran si se administran más tempranamente las combinaciones de potentes antirretrovíricos. Se han reunido datos sobre la supervivencia a largo plazo de niños que han recibido tal combinación de dichos fármacos. Según señalamientos, la mediana de supervivencia hasta los nueve años, se calculó antes de que se contara con antirretrovíricos más potentes en combinación.</w:t>
      </w:r>
    </w:p>
    <w:p w14:paraId="2F76F4C9" w14:textId="77777777" w:rsidR="00093A32" w:rsidRDefault="00093A32">
      <w:pPr>
        <w:pStyle w:val="BodyText"/>
        <w:ind w:firstLine="0"/>
      </w:pPr>
      <w:r>
        <w:rPr>
          <w:b/>
          <w:bCs/>
        </w:rPr>
        <w:t>C</w:t>
      </w:r>
      <w:r>
        <w:rPr>
          <w:b/>
          <w:bCs/>
          <w:sz w:val="13"/>
          <w:szCs w:val="13"/>
        </w:rPr>
        <w:t>AUSAS</w:t>
      </w:r>
      <w:r>
        <w:rPr>
          <w:b/>
          <w:bCs/>
        </w:rPr>
        <w:t xml:space="preserve">: </w:t>
      </w:r>
      <w:r>
        <w:t>La infección es causada por retrovirus de RNA humanos, del tipo 1 de VIH (VIH-1) y con menor frecuencia del tipo 2 (VIH-2), un virus similar que es raro en Estados Unidos pero es más frecuente en el África Occidental.</w:t>
      </w:r>
    </w:p>
    <w:p w14:paraId="01999512" w14:textId="77777777" w:rsidR="00093A32" w:rsidRDefault="00093A32">
      <w:pPr>
        <w:pStyle w:val="BodyText"/>
        <w:ind w:firstLine="0"/>
      </w:pPr>
      <w:r>
        <w:rPr>
          <w:b/>
          <w:bCs/>
        </w:rPr>
        <w:t>A</w:t>
      </w:r>
      <w:r>
        <w:rPr>
          <w:b/>
          <w:bCs/>
          <w:sz w:val="13"/>
          <w:szCs w:val="13"/>
        </w:rPr>
        <w:t>SPECTOS EPIDEMIOLÓGICOS</w:t>
      </w:r>
      <w:r>
        <w:rPr>
          <w:b/>
          <w:bCs/>
        </w:rPr>
        <w:t xml:space="preserve">: </w:t>
      </w:r>
      <w:r>
        <w:t>Los únicos reservorios identificados de VIH son los seres humanos, aunque se han identificado en chimpancés y monos virus similares, tal vez antecesores genéticos. Los retrovirus se integran del genoma de la célula por ellos infectada en la forma de provirus; el genoma vírico es copiado durante la réplica de la célula, por lo que el virus persiste permanentemente en los enfermos infectados. Los datos demuestran la presencia de virus latente en las células mononucleares de sangre periférica, incluso cuando la carga de RNA vírico está por debajo del límite de detección en la sangre. Se ha aislado el virus de inmunodeficiencia en la sangre (incluidos linfocitos, macrófagos y plasma), y otros líquidos corporales, como el cefalorraquídeo, el pleural, la leche materna, semen, secreciones cervicouterinas, saliva, orina y lágrimas. Desde el punto de vista epidemiológico se ha dicho que en la transmisión de la infección interviene sólo la sangre, el semen, las secreciones cervicouterinas y la leche materna.</w:t>
      </w:r>
    </w:p>
    <w:p w14:paraId="7BF8830A" w14:textId="77777777" w:rsidR="00093A32" w:rsidRDefault="00093A32">
      <w:pPr>
        <w:pStyle w:val="BodyText"/>
        <w:ind w:firstLine="360"/>
      </w:pPr>
      <w:r>
        <w:t>Los mecanismos definidos de transmisión del virus en Estados Unidos son:</w:t>
      </w:r>
    </w:p>
    <w:p w14:paraId="07C81CFC" w14:textId="77777777" w:rsidR="00093A32" w:rsidRDefault="00093A32">
      <w:pPr>
        <w:pStyle w:val="BodyText"/>
        <w:ind w:firstLine="0"/>
        <w:sectPr w:rsidR="00093A32" w:rsidSect="00093A32">
          <w:headerReference w:type="even" r:id="rId434"/>
          <w:headerReference w:type="default" r:id="rId435"/>
          <w:footerReference w:type="even" r:id="rId436"/>
          <w:footerReference w:type="default" r:id="rId437"/>
          <w:footnotePr>
            <w:numFmt w:val="chicago"/>
          </w:footnotePr>
          <w:pgSz w:w="8501" w:h="13022"/>
          <w:pgMar w:top="888" w:right="798" w:bottom="514" w:left="819" w:header="0" w:footer="3" w:gutter="0"/>
          <w:pgNumType w:start="423"/>
          <w:cols w:space="720"/>
          <w:noEndnote/>
          <w:docGrid w:linePitch="360"/>
          <w15:footnoteColumns w:val="1"/>
        </w:sectPr>
      </w:pPr>
      <w:r>
        <w:t>1) contacto sexual (vaginal, anal u oral); 2) exposición percutánea (por agujas u otros instrumentos punzantes) o de mucosas a sangre contaminada u otros líquidos corporales que tienen un número importante de virus de inmunodeficiencia; 3) transmisión de madre a hijo antes de la fecha del parto o en un momento cercano y 4) amamantamiento. Gracias a la exclusión de donantes infectados, a la inactivación de los virus por el tratamiento de concentrados de factores de coagulación y la disponibilidad de factores de coagulación preparados por bioingeniería (véase “Aspectos de seguridad en el uso de sangre y hemoderivados: disminución del riesgo de infecciones transmitidas en transfusiones”, sección 2), la sangre de transfusión, los hemoderivados o los concentrados de los factores comentados han constituido una</w:t>
      </w:r>
    </w:p>
    <w:p w14:paraId="230CA26D" w14:textId="77777777" w:rsidR="00093A32" w:rsidRDefault="00093A32">
      <w:pPr>
        <w:spacing w:line="1" w:lineRule="exact"/>
      </w:pPr>
      <w:r>
        <w:rPr>
          <w:noProof/>
        </w:rPr>
        <mc:AlternateContent>
          <mc:Choice Requires="wps">
            <w:drawing>
              <wp:anchor distT="0" distB="177800" distL="114300" distR="114300" simplePos="0" relativeHeight="251666432" behindDoc="0" locked="0" layoutInCell="1" allowOverlap="1" wp14:anchorId="4BCF1FAC" wp14:editId="63FEDBE7">
                <wp:simplePos x="0" y="0"/>
                <wp:positionH relativeFrom="page">
                  <wp:posOffset>1572260</wp:posOffset>
                </wp:positionH>
                <wp:positionV relativeFrom="paragraph">
                  <wp:posOffset>12700</wp:posOffset>
                </wp:positionV>
                <wp:extent cx="4953000" cy="353695"/>
                <wp:effectExtent l="0" t="0" r="0" b="0"/>
                <wp:wrapTopAndBottom/>
                <wp:docPr id="1108" name="Shape 1108"/>
                <wp:cNvGraphicFramePr/>
                <a:graphic xmlns:a="http://schemas.openxmlformats.org/drawingml/2006/main">
                  <a:graphicData uri="http://schemas.microsoft.com/office/word/2010/wordprocessingShape">
                    <wps:wsp>
                      <wps:cNvSpPr txBox="1"/>
                      <wps:spPr>
                        <a:xfrm>
                          <a:off x="0" y="0"/>
                          <a:ext cx="4953000" cy="353695"/>
                        </a:xfrm>
                        <a:prstGeom prst="rect">
                          <a:avLst/>
                        </a:prstGeom>
                        <a:noFill/>
                      </wps:spPr>
                      <wps:txbx>
                        <w:txbxContent>
                          <w:p w14:paraId="3951A2F2" w14:textId="77777777" w:rsidR="00093A32" w:rsidRDefault="00093A32">
                            <w:pPr>
                              <w:pStyle w:val="Heading31"/>
                              <w:keepNext/>
                              <w:keepLines/>
                              <w:pBdr>
                                <w:bottom w:val="single" w:sz="4" w:space="0" w:color="auto"/>
                              </w:pBdr>
                              <w:spacing w:line="211" w:lineRule="auto"/>
                              <w:jc w:val="center"/>
                            </w:pPr>
                            <w:bookmarkStart w:id="245" w:name="bookmark851"/>
                            <w:bookmarkStart w:id="246" w:name="bookmark852"/>
                            <w:bookmarkStart w:id="247" w:name="bookmark853"/>
                            <w:r>
                              <w:rPr>
                                <w:b w:val="0"/>
                                <w:bCs w:val="0"/>
                              </w:rPr>
                              <w:t xml:space="preserve">Cuadro 3-32. </w:t>
                            </w:r>
                            <w:r>
                              <w:t>Categorías clínicas de niños menores de 13 años con infección por virus</w:t>
                            </w:r>
                            <w:r>
                              <w:br/>
                              <w:t>de inmunodeficiencia humana (VIH)</w:t>
                            </w:r>
                            <w:r>
                              <w:rPr>
                                <w:vertAlign w:val="superscript"/>
                              </w:rPr>
                              <w:t>1</w:t>
                            </w:r>
                            <w:bookmarkEnd w:id="245"/>
                            <w:bookmarkEnd w:id="246"/>
                            <w:bookmarkEnd w:id="247"/>
                          </w:p>
                        </w:txbxContent>
                      </wps:txbx>
                      <wps:bodyPr lIns="0" tIns="0" rIns="0" bIns="0"/>
                    </wps:wsp>
                  </a:graphicData>
                </a:graphic>
              </wp:anchor>
            </w:drawing>
          </mc:Choice>
          <mc:Fallback>
            <w:pict>
              <v:shape w14:anchorId="4BCF1FAC" id="Shape 1108" o:spid="_x0000_s1033" type="#_x0000_t202" style="position:absolute;margin-left:123.8pt;margin-top:1pt;width:390pt;height:27.85pt;z-index:251666432;visibility:visible;mso-wrap-style:square;mso-wrap-distance-left:9pt;mso-wrap-distance-top:0;mso-wrap-distance-right:9pt;mso-wrap-distance-bottom:1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" filled="f" stroked="f">
                <v:textbox inset="0,0,0,0">
                  <w:txbxContent>
                    <w:p w14:paraId="3951A2F2" w14:textId="77777777" w:rsidR="00093A32" w:rsidRDefault="00093A32">
                      <w:pPr>
                        <w:pStyle w:val="Heading31"/>
                        <w:keepNext/>
                        <w:keepLines/>
                        <w:pBdr>
                          <w:bottom w:val="single" w:sz="4" w:space="0" w:color="auto"/>
                        </w:pBdr>
                        <w:spacing w:line="211" w:lineRule="auto"/>
                        <w:jc w:val="center"/>
                      </w:pPr>
                      <w:bookmarkStart w:id="248" w:name="bookmark851"/>
                      <w:bookmarkStart w:id="249" w:name="bookmark852"/>
                      <w:bookmarkStart w:id="250" w:name="bookmark853"/>
                      <w:r>
                        <w:rPr>
                          <w:b w:val="0"/>
                          <w:bCs w:val="0"/>
                        </w:rPr>
                        <w:t xml:space="preserve">Cuadro 3-32. </w:t>
                      </w:r>
                      <w:r>
                        <w:t>Categorías clínicas de niños menores de 13 años con infección por virus</w:t>
                      </w:r>
                      <w:r>
                        <w:br/>
                        <w:t>de inmunodeficiencia humana (VIH)</w:t>
                      </w:r>
                      <w:r>
                        <w:rPr>
                          <w:vertAlign w:val="superscript"/>
                        </w:rPr>
                        <w:t>1</w:t>
                      </w:r>
                      <w:bookmarkEnd w:id="248"/>
                      <w:bookmarkEnd w:id="249"/>
                      <w:bookmarkEnd w:id="250"/>
                    </w:p>
                  </w:txbxContent>
                </v:textbox>
                <w10:wrap type="topAndBottom" anchorx="page"/>
              </v:shape>
            </w:pict>
          </mc:Fallback>
        </mc:AlternateContent>
      </w:r>
      <w:r>
        <w:rPr>
          <w:noProof/>
        </w:rPr>
        <mc:AlternateContent>
          <mc:Choice Requires="wps">
            <w:drawing>
              <wp:anchor distT="0" distB="0" distL="114300" distR="114300" simplePos="0" relativeHeight="251667456" behindDoc="0" locked="0" layoutInCell="1" allowOverlap="1" wp14:anchorId="434725A1" wp14:editId="1B7B5CDE">
                <wp:simplePos x="0" y="0"/>
                <wp:positionH relativeFrom="page">
                  <wp:posOffset>7866380</wp:posOffset>
                </wp:positionH>
                <wp:positionV relativeFrom="paragraph">
                  <wp:posOffset>18415</wp:posOffset>
                </wp:positionV>
                <wp:extent cx="137160" cy="3581400"/>
                <wp:effectExtent l="0" t="0" r="0" b="0"/>
                <wp:wrapSquare wrapText="bothSides"/>
                <wp:docPr id="1110" name="Shape 1110"/>
                <wp:cNvGraphicFramePr/>
                <a:graphic xmlns:a="http://schemas.openxmlformats.org/drawingml/2006/main">
                  <a:graphicData uri="http://schemas.microsoft.com/office/word/2010/wordprocessingShape">
                    <wps:wsp>
                      <wps:cNvSpPr txBox="1"/>
                      <wps:spPr>
                        <a:xfrm>
                          <a:off x="0" y="0"/>
                          <a:ext cx="137160" cy="3581400"/>
                        </a:xfrm>
                        <a:prstGeom prst="rect">
                          <a:avLst/>
                        </a:prstGeom>
                        <a:noFill/>
                      </wps:spPr>
                      <wps:txbx>
                        <w:txbxContent>
                          <w:p w14:paraId="68946935" w14:textId="77777777" w:rsidR="00093A32" w:rsidRDefault="00093A32">
                            <w:pPr>
                              <w:pStyle w:val="Bodytext80"/>
                              <w:tabs>
                                <w:tab w:val="left" w:leader="underscore" w:pos="1234"/>
                              </w:tabs>
                            </w:pPr>
                            <w:r>
                              <w:rPr>
                                <w:sz w:val="16"/>
                                <w:szCs w:val="16"/>
                                <w:u w:val="single"/>
                              </w:rPr>
                              <w:t>426</w:t>
                            </w:r>
                            <w:r>
                              <w:rPr>
                                <w:sz w:val="16"/>
                                <w:szCs w:val="16"/>
                              </w:rPr>
                              <w:tab/>
                            </w:r>
                            <w:r>
                              <w:rPr>
                                <w:u w:val="single"/>
                              </w:rPr>
                              <w:t>HUMANA, INFECCIÓN POR VIRUS DE INMUNODEFICIENCIA (VIH)</w:t>
                            </w:r>
                          </w:p>
                        </w:txbxContent>
                      </wps:txbx>
                      <wps:bodyPr vert="vert" lIns="0" tIns="0" rIns="0" bIns="0" upright="1"/>
                    </wps:wsp>
                  </a:graphicData>
                </a:graphic>
              </wp:anchor>
            </w:drawing>
          </mc:Choice>
          <mc:Fallback>
            <w:pict>
              <v:shape w14:anchorId="434725A1" id="Shape 1110" o:spid="_x0000_s1034" type="#_x0000_t202" style="position:absolute;margin-left:619.4pt;margin-top:1.45pt;width:10.8pt;height:282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" filled="f" stroked="f">
                <v:textbox style="layout-flow:vertical" inset="0,0,0,0">
                  <w:txbxContent>
                    <w:p w14:paraId="68946935" w14:textId="77777777" w:rsidR="00093A32" w:rsidRDefault="00093A32">
                      <w:pPr>
                        <w:pStyle w:val="Bodytext80"/>
                        <w:tabs>
                          <w:tab w:val="left" w:leader="underscore" w:pos="1234"/>
                        </w:tabs>
                      </w:pPr>
                      <w:r>
                        <w:rPr>
                          <w:sz w:val="16"/>
                          <w:szCs w:val="16"/>
                          <w:u w:val="single"/>
                        </w:rPr>
                        <w:t>426</w:t>
                      </w:r>
                      <w:r>
                        <w:rPr>
                          <w:sz w:val="16"/>
                          <w:szCs w:val="16"/>
                        </w:rPr>
                        <w:tab/>
                      </w:r>
                      <w:r>
                        <w:rPr>
                          <w:u w:val="single"/>
                        </w:rPr>
                        <w:t>HUMANA, INFECCIÓN POR VIRUS DE INMUNODEFICIENCIA (VIH)</w:t>
                      </w:r>
                    </w:p>
                  </w:txbxContent>
                </v:textbox>
                <w10:wrap type="square" anchorx="page"/>
              </v:shape>
            </w:pict>
          </mc:Fallback>
        </mc:AlternateContent>
      </w:r>
    </w:p>
    <w:p w14:paraId="36BFEFE3" w14:textId="77777777" w:rsidR="00093A32" w:rsidRDefault="00093A32">
      <w:pPr>
        <w:pStyle w:val="Bodytext20"/>
      </w:pPr>
      <w:r>
        <w:rPr>
          <w:b/>
          <w:bCs/>
        </w:rPr>
        <w:t>Categoría N: No sintomático</w:t>
      </w:r>
    </w:p>
    <w:p w14:paraId="7C62AB75" w14:textId="77777777" w:rsidR="00093A32" w:rsidRDefault="00093A32">
      <w:pPr>
        <w:pStyle w:val="Bodytext20"/>
      </w:pPr>
      <w:r>
        <w:t>Niños sin signos ni síntomas que en opinión de expertos son resultado de infección por VIH o que tienen sólo uno de los cuadros incluidos en la categoría A.</w:t>
      </w:r>
    </w:p>
    <w:p w14:paraId="70589918" w14:textId="77777777" w:rsidR="00093A32" w:rsidRDefault="00093A32">
      <w:pPr>
        <w:pStyle w:val="Bodytext20"/>
      </w:pPr>
      <w:r>
        <w:rPr>
          <w:b/>
          <w:bCs/>
        </w:rPr>
        <w:t>Categoría A: Levemente sintomáticos</w:t>
      </w:r>
    </w:p>
    <w:p w14:paraId="11F615A6" w14:textId="77777777" w:rsidR="00093A32" w:rsidRDefault="00093A32">
      <w:pPr>
        <w:pStyle w:val="Bodytext20"/>
      </w:pPr>
      <w:r>
        <w:t>Niños con dos o más de los cuadros incluidos pero ninguna de las situaciones señaladas en las categorías B y C.</w:t>
      </w:r>
    </w:p>
    <w:p w14:paraId="28A93262" w14:textId="77777777" w:rsidR="00093A32" w:rsidRDefault="00093A32">
      <w:pPr>
        <w:pStyle w:val="Bodytext20"/>
        <w:numPr>
          <w:ilvl w:val="0"/>
          <w:numId w:val="75"/>
        </w:numPr>
        <w:tabs>
          <w:tab w:val="left" w:pos="248"/>
        </w:tabs>
      </w:pPr>
      <w:bookmarkStart w:id="251" w:name="bookmark854"/>
      <w:bookmarkEnd w:id="251"/>
      <w:r>
        <w:t>Linfadenopatía (diámetro de 0.5 cm o mayor en más de dos sitios;</w:t>
      </w:r>
    </w:p>
    <w:p w14:paraId="7DFEB277" w14:textId="77777777" w:rsidR="00093A32" w:rsidRDefault="00093A32">
      <w:pPr>
        <w:pStyle w:val="Bodytext20"/>
        <w:ind w:firstLine="340"/>
      </w:pPr>
      <w:r>
        <w:t>bilateral en un sitio)</w:t>
      </w:r>
    </w:p>
    <w:p w14:paraId="2F116968" w14:textId="77777777" w:rsidR="00093A32" w:rsidRDefault="00093A32">
      <w:pPr>
        <w:pStyle w:val="Bodytext20"/>
        <w:numPr>
          <w:ilvl w:val="0"/>
          <w:numId w:val="75"/>
        </w:numPr>
        <w:tabs>
          <w:tab w:val="left" w:pos="248"/>
        </w:tabs>
      </w:pPr>
      <w:bookmarkStart w:id="252" w:name="bookmark855"/>
      <w:bookmarkEnd w:id="252"/>
      <w:r>
        <w:t>Hepatomegalia</w:t>
      </w:r>
    </w:p>
    <w:p w14:paraId="4A057D18" w14:textId="77777777" w:rsidR="00093A32" w:rsidRDefault="00093A32">
      <w:pPr>
        <w:pStyle w:val="Bodytext20"/>
        <w:numPr>
          <w:ilvl w:val="0"/>
          <w:numId w:val="75"/>
        </w:numPr>
        <w:tabs>
          <w:tab w:val="left" w:pos="248"/>
        </w:tabs>
      </w:pPr>
      <w:bookmarkStart w:id="253" w:name="bookmark856"/>
      <w:bookmarkEnd w:id="253"/>
      <w:r>
        <w:t>Esplenomegalia</w:t>
      </w:r>
    </w:p>
    <w:p w14:paraId="4F9CD20B" w14:textId="77777777" w:rsidR="00093A32" w:rsidRDefault="00093A32">
      <w:pPr>
        <w:pStyle w:val="Bodytext20"/>
        <w:numPr>
          <w:ilvl w:val="0"/>
          <w:numId w:val="75"/>
        </w:numPr>
        <w:tabs>
          <w:tab w:val="left" w:pos="248"/>
        </w:tabs>
      </w:pPr>
      <w:bookmarkStart w:id="254" w:name="bookmark857"/>
      <w:bookmarkEnd w:id="254"/>
      <w:r>
        <w:t>Dermatitis</w:t>
      </w:r>
    </w:p>
    <w:p w14:paraId="4E32BF0B" w14:textId="77777777" w:rsidR="00093A32" w:rsidRDefault="00093A32">
      <w:pPr>
        <w:pStyle w:val="Bodytext20"/>
        <w:numPr>
          <w:ilvl w:val="0"/>
          <w:numId w:val="75"/>
        </w:numPr>
        <w:tabs>
          <w:tab w:val="left" w:pos="248"/>
        </w:tabs>
      </w:pPr>
      <w:bookmarkStart w:id="255" w:name="bookmark858"/>
      <w:bookmarkEnd w:id="255"/>
      <w:r>
        <w:t>Parotiditis</w:t>
      </w:r>
    </w:p>
    <w:p w14:paraId="0BD7FB0A" w14:textId="77777777" w:rsidR="00093A32" w:rsidRDefault="00093A32">
      <w:pPr>
        <w:pStyle w:val="Bodytext20"/>
        <w:numPr>
          <w:ilvl w:val="0"/>
          <w:numId w:val="75"/>
        </w:numPr>
        <w:tabs>
          <w:tab w:val="left" w:pos="248"/>
        </w:tabs>
      </w:pPr>
      <w:bookmarkStart w:id="256" w:name="bookmark859"/>
      <w:bookmarkEnd w:id="256"/>
      <w:r>
        <w:t>Infección recurrente o persistente de vías respiratorias altas,</w:t>
      </w:r>
    </w:p>
    <w:p w14:paraId="77C673A4" w14:textId="77777777" w:rsidR="00093A32" w:rsidRDefault="00093A32">
      <w:pPr>
        <w:pStyle w:val="Bodytext20"/>
        <w:ind w:firstLine="340"/>
      </w:pPr>
      <w:r>
        <w:t>sinusitis u otitis media</w:t>
      </w:r>
    </w:p>
    <w:p w14:paraId="134F3F96" w14:textId="77777777" w:rsidR="00093A32" w:rsidRDefault="00093A32">
      <w:pPr>
        <w:pStyle w:val="Bodytext20"/>
      </w:pPr>
      <w:r>
        <w:rPr>
          <w:b/>
          <w:bCs/>
        </w:rPr>
        <w:t>Categoría B: Moderadamente sintomático</w:t>
      </w:r>
    </w:p>
    <w:p w14:paraId="62470B46" w14:textId="77777777" w:rsidR="00093A32" w:rsidRDefault="00093A32">
      <w:pPr>
        <w:pStyle w:val="Bodytext20"/>
        <w:ind w:left="240" w:hanging="240"/>
      </w:pPr>
      <w:r>
        <w:t>Niños con cuadros sintomáticos diferentes de los incluidos en las categorías A o C atribuibles a la infección por virus de inmunodeficiencia humana.</w:t>
      </w:r>
    </w:p>
    <w:p w14:paraId="5A885598" w14:textId="77777777" w:rsidR="00093A32" w:rsidRDefault="00093A32">
      <w:pPr>
        <w:pStyle w:val="Bodytext20"/>
        <w:numPr>
          <w:ilvl w:val="0"/>
          <w:numId w:val="75"/>
        </w:numPr>
        <w:tabs>
          <w:tab w:val="left" w:pos="248"/>
        </w:tabs>
      </w:pPr>
      <w:bookmarkStart w:id="257" w:name="bookmark860"/>
      <w:bookmarkEnd w:id="257"/>
      <w:r>
        <w:t>Anemia (hemoglobina, &lt;8 g/100 ml [&lt;80 g/L]); neutropenia (recuento</w:t>
      </w:r>
    </w:p>
    <w:p w14:paraId="3B4887E7" w14:textId="77777777" w:rsidR="00093A32" w:rsidRDefault="00093A32">
      <w:pPr>
        <w:pStyle w:val="Bodytext20"/>
        <w:ind w:left="340"/>
      </w:pPr>
      <w:r>
        <w:t xml:space="preserve">leucocítico, &lt;1 000/pl [&lt;1.0 </w:t>
      </w:r>
      <w:r>
        <w:rPr>
          <w:rFonts w:ascii="Garamond" w:eastAsia="Garamond" w:hAnsi="Garamond" w:cs="Garamond"/>
          <w:sz w:val="19"/>
          <w:szCs w:val="19"/>
        </w:rPr>
        <w:t xml:space="preserve">x </w:t>
      </w:r>
      <w:r>
        <w:t xml:space="preserve">10 </w:t>
      </w:r>
      <w:r>
        <w:rPr>
          <w:sz w:val="10"/>
          <w:szCs w:val="10"/>
        </w:rPr>
        <w:t>9</w:t>
      </w:r>
      <w:r>
        <w:t xml:space="preserve">/L]), trombocitopenia o ambos trastornos (número de plaquetas, &lt;100 </w:t>
      </w:r>
      <w:r>
        <w:rPr>
          <w:rFonts w:ascii="Garamond" w:eastAsia="Garamond" w:hAnsi="Garamond" w:cs="Garamond"/>
          <w:sz w:val="19"/>
          <w:szCs w:val="19"/>
        </w:rPr>
        <w:t xml:space="preserve">x </w:t>
      </w:r>
      <w:r>
        <w:t>10</w:t>
      </w:r>
      <w:r>
        <w:rPr>
          <w:vertAlign w:val="superscript"/>
        </w:rPr>
        <w:t>3</w:t>
      </w:r>
      <w:r>
        <w:t xml:space="preserve">/pl [&lt;100 </w:t>
      </w:r>
      <w:r>
        <w:rPr>
          <w:rFonts w:ascii="Garamond" w:eastAsia="Garamond" w:hAnsi="Garamond" w:cs="Garamond"/>
          <w:sz w:val="19"/>
          <w:szCs w:val="19"/>
        </w:rPr>
        <w:t xml:space="preserve">x </w:t>
      </w:r>
      <w:r>
        <w:t>10</w:t>
      </w:r>
      <w:r>
        <w:rPr>
          <w:sz w:val="10"/>
          <w:szCs w:val="10"/>
        </w:rPr>
        <w:t>9</w:t>
      </w:r>
      <w:r>
        <w:t>/L]) que persiste 30 días o más.</w:t>
      </w:r>
    </w:p>
    <w:p w14:paraId="68928108" w14:textId="77777777" w:rsidR="00093A32" w:rsidRDefault="00093A32">
      <w:pPr>
        <w:pStyle w:val="Bodytext20"/>
        <w:numPr>
          <w:ilvl w:val="0"/>
          <w:numId w:val="75"/>
        </w:numPr>
        <w:tabs>
          <w:tab w:val="left" w:pos="248"/>
        </w:tabs>
      </w:pPr>
      <w:bookmarkStart w:id="258" w:name="bookmark861"/>
      <w:bookmarkEnd w:id="258"/>
      <w:r>
        <w:t>Meningitis, neumonía o sepsis bacterianas (episodio aislado)</w:t>
      </w:r>
    </w:p>
    <w:p w14:paraId="576D011F" w14:textId="77777777" w:rsidR="00093A32" w:rsidRDefault="00093A32">
      <w:pPr>
        <w:pStyle w:val="Bodytext20"/>
        <w:numPr>
          <w:ilvl w:val="0"/>
          <w:numId w:val="75"/>
        </w:numPr>
        <w:tabs>
          <w:tab w:val="left" w:pos="248"/>
        </w:tabs>
        <w:ind w:left="240" w:hanging="240"/>
      </w:pPr>
      <w:bookmarkStart w:id="259" w:name="bookmark862"/>
      <w:bookmarkEnd w:id="259"/>
      <w:r>
        <w:t>Candidiasis bucofaríngea (algodoncillo) que persiste (más de dos meses) en niños que tienen más de seis meses de vida</w:t>
      </w:r>
    </w:p>
    <w:p w14:paraId="0BD0EDB6" w14:textId="77777777" w:rsidR="00093A32" w:rsidRDefault="00093A32">
      <w:pPr>
        <w:pStyle w:val="Bodytext20"/>
        <w:numPr>
          <w:ilvl w:val="0"/>
          <w:numId w:val="75"/>
        </w:numPr>
        <w:tabs>
          <w:tab w:val="left" w:pos="248"/>
        </w:tabs>
      </w:pPr>
      <w:bookmarkStart w:id="260" w:name="bookmark863"/>
      <w:bookmarkEnd w:id="260"/>
      <w:r>
        <w:t>Cardiomiopatía</w:t>
      </w:r>
    </w:p>
    <w:p w14:paraId="693C24B9" w14:textId="77777777" w:rsidR="00093A32" w:rsidRDefault="00093A32">
      <w:pPr>
        <w:pStyle w:val="Bodytext20"/>
      </w:pPr>
      <w:r>
        <w:rPr>
          <w:b/>
          <w:bCs/>
        </w:rPr>
        <w:t>Categoría B: Moderadamente sintomático (continuación)</w:t>
      </w:r>
    </w:p>
    <w:p w14:paraId="4359C398" w14:textId="77777777" w:rsidR="00093A32" w:rsidRDefault="00093A32">
      <w:pPr>
        <w:pStyle w:val="Bodytext20"/>
        <w:numPr>
          <w:ilvl w:val="0"/>
          <w:numId w:val="75"/>
        </w:numPr>
        <w:tabs>
          <w:tab w:val="left" w:pos="241"/>
        </w:tabs>
        <w:ind w:left="220" w:hanging="220"/>
      </w:pPr>
      <w:bookmarkStart w:id="261" w:name="bookmark864"/>
      <w:bookmarkEnd w:id="261"/>
      <w:r>
        <w:t>Bronquitis, neumonitis o esofagitis por HSV que comenzó antes del mes de edad</w:t>
      </w:r>
    </w:p>
    <w:p w14:paraId="65B177C2" w14:textId="77777777" w:rsidR="00093A32" w:rsidRDefault="00093A32">
      <w:pPr>
        <w:pStyle w:val="Bodytext20"/>
        <w:numPr>
          <w:ilvl w:val="0"/>
          <w:numId w:val="75"/>
        </w:numPr>
        <w:tabs>
          <w:tab w:val="left" w:pos="241"/>
        </w:tabs>
        <w:ind w:left="220" w:hanging="220"/>
      </w:pPr>
      <w:bookmarkStart w:id="262" w:name="bookmark865"/>
      <w:bookmarkEnd w:id="262"/>
      <w:r>
        <w:t>Herpes zoster que incluyó como mínimo dos episodios diferentes o que abarcó más de un dermatoma</w:t>
      </w:r>
    </w:p>
    <w:p w14:paraId="644C29A3" w14:textId="77777777" w:rsidR="00093A32" w:rsidRDefault="00093A32">
      <w:pPr>
        <w:pStyle w:val="Bodytext20"/>
        <w:numPr>
          <w:ilvl w:val="0"/>
          <w:numId w:val="75"/>
        </w:numPr>
        <w:tabs>
          <w:tab w:val="left" w:pos="241"/>
        </w:tabs>
      </w:pPr>
      <w:bookmarkStart w:id="263" w:name="bookmark866"/>
      <w:bookmarkEnd w:id="263"/>
      <w:r>
        <w:t>Leiomiosarcoma</w:t>
      </w:r>
    </w:p>
    <w:p w14:paraId="58E63C16" w14:textId="77777777" w:rsidR="00093A32" w:rsidRDefault="00093A32">
      <w:pPr>
        <w:pStyle w:val="Bodytext20"/>
        <w:numPr>
          <w:ilvl w:val="0"/>
          <w:numId w:val="75"/>
        </w:numPr>
        <w:tabs>
          <w:tab w:val="left" w:pos="241"/>
        </w:tabs>
        <w:ind w:left="220" w:hanging="220"/>
      </w:pPr>
      <w:bookmarkStart w:id="264" w:name="bookmark867"/>
      <w:bookmarkEnd w:id="264"/>
      <w:r>
        <w:t>Neumonía intersticial linfoide o complejo de hiperplasia linfoide pulmonar</w:t>
      </w:r>
    </w:p>
    <w:p w14:paraId="139C0B16" w14:textId="77777777" w:rsidR="00093A32" w:rsidRDefault="00093A32">
      <w:pPr>
        <w:pStyle w:val="Bodytext20"/>
        <w:numPr>
          <w:ilvl w:val="0"/>
          <w:numId w:val="75"/>
        </w:numPr>
        <w:tabs>
          <w:tab w:val="left" w:pos="241"/>
        </w:tabs>
      </w:pPr>
      <w:bookmarkStart w:id="265" w:name="bookmark868"/>
      <w:bookmarkEnd w:id="265"/>
      <w:r>
        <w:t>Nefropatía</w:t>
      </w:r>
    </w:p>
    <w:p w14:paraId="6461FE77" w14:textId="77777777" w:rsidR="00093A32" w:rsidRDefault="00093A32">
      <w:pPr>
        <w:pStyle w:val="Bodytext20"/>
        <w:numPr>
          <w:ilvl w:val="0"/>
          <w:numId w:val="75"/>
        </w:numPr>
        <w:tabs>
          <w:tab w:val="left" w:pos="241"/>
        </w:tabs>
      </w:pPr>
      <w:bookmarkStart w:id="266" w:name="bookmark869"/>
      <w:bookmarkEnd w:id="266"/>
      <w:r>
        <w:t>Nocardiosis</w:t>
      </w:r>
    </w:p>
    <w:p w14:paraId="1E6C1345" w14:textId="77777777" w:rsidR="00093A32" w:rsidRDefault="00093A32">
      <w:pPr>
        <w:pStyle w:val="Bodytext20"/>
        <w:numPr>
          <w:ilvl w:val="0"/>
          <w:numId w:val="75"/>
        </w:numPr>
        <w:tabs>
          <w:tab w:val="left" w:pos="241"/>
        </w:tabs>
      </w:pPr>
      <w:bookmarkStart w:id="267" w:name="bookmark870"/>
      <w:bookmarkEnd w:id="267"/>
      <w:r>
        <w:t>Fiebre persistente (que duró más de un mes)</w:t>
      </w:r>
    </w:p>
    <w:p w14:paraId="332BF118" w14:textId="77777777" w:rsidR="00093A32" w:rsidRDefault="00093A32">
      <w:pPr>
        <w:pStyle w:val="Bodytext20"/>
        <w:numPr>
          <w:ilvl w:val="0"/>
          <w:numId w:val="75"/>
        </w:numPr>
        <w:tabs>
          <w:tab w:val="left" w:pos="241"/>
        </w:tabs>
      </w:pPr>
      <w:bookmarkStart w:id="268" w:name="bookmark871"/>
      <w:bookmarkEnd w:id="268"/>
      <w:r>
        <w:t>Toxoplasmosis que comenzó antes del mes de vida</w:t>
      </w:r>
    </w:p>
    <w:p w14:paraId="37CCF3F2" w14:textId="77777777" w:rsidR="00093A32" w:rsidRDefault="00093A32">
      <w:pPr>
        <w:pStyle w:val="Bodytext20"/>
        <w:numPr>
          <w:ilvl w:val="0"/>
          <w:numId w:val="75"/>
        </w:numPr>
        <w:tabs>
          <w:tab w:val="left" w:pos="241"/>
        </w:tabs>
        <w:spacing w:after="420"/>
      </w:pPr>
      <w:bookmarkStart w:id="269" w:name="bookmark872"/>
      <w:bookmarkEnd w:id="269"/>
      <w:r>
        <w:t>Varicela diseminada (varicela complicada)</w:t>
      </w:r>
    </w:p>
    <w:p w14:paraId="4CB756AB" w14:textId="77777777" w:rsidR="00093A32" w:rsidRDefault="00093A32">
      <w:pPr>
        <w:pStyle w:val="Bodytext20"/>
        <w:spacing w:line="286" w:lineRule="auto"/>
      </w:pPr>
      <w:r>
        <w:rPr>
          <w:b/>
          <w:bCs/>
        </w:rPr>
        <w:t>Categoría C: Fuertemente sintomática</w:t>
      </w:r>
    </w:p>
    <w:p w14:paraId="3084AA1A" w14:textId="77777777" w:rsidR="00093A32" w:rsidRDefault="00093A32">
      <w:pPr>
        <w:pStyle w:val="Bodytext20"/>
        <w:numPr>
          <w:ilvl w:val="0"/>
          <w:numId w:val="75"/>
        </w:numPr>
        <w:tabs>
          <w:tab w:val="left" w:pos="241"/>
        </w:tabs>
        <w:spacing w:line="286" w:lineRule="auto"/>
        <w:ind w:left="220" w:hanging="220"/>
      </w:pPr>
      <w:bookmarkStart w:id="270" w:name="bookmark873"/>
      <w:bookmarkEnd w:id="270"/>
      <w:r>
        <w:t>Infecciones bacterianas graves, múltiples o recurrentes (cualquier combinación de dos infecciones [mínimo] confirmadas por cultivo en un lapso de 24 meses) de los tipos siguientes: septicemia, neumonía, meningitis, infección de huesos o articulaciones o abscesos de un órgano interno o cavidad corporal (se descartan otitis media, abscesos superficiales de piel o mucosas e infecciones por catéteres a permanencia)</w:t>
      </w:r>
    </w:p>
    <w:p w14:paraId="6C7E61F6" w14:textId="77777777" w:rsidR="00093A32" w:rsidRDefault="00093A32">
      <w:pPr>
        <w:pStyle w:val="Bodytext20"/>
        <w:numPr>
          <w:ilvl w:val="0"/>
          <w:numId w:val="75"/>
        </w:numPr>
        <w:tabs>
          <w:tab w:val="left" w:pos="241"/>
        </w:tabs>
        <w:spacing w:line="286" w:lineRule="auto"/>
      </w:pPr>
      <w:bookmarkStart w:id="271" w:name="bookmark874"/>
      <w:bookmarkEnd w:id="271"/>
      <w:r>
        <w:t>Candidiasis, esofágica o pulmonar (bronquios, tráquea y pulmones)</w:t>
      </w:r>
    </w:p>
    <w:p w14:paraId="47811540" w14:textId="77777777" w:rsidR="00093A32" w:rsidRDefault="00093A32">
      <w:pPr>
        <w:pStyle w:val="Bodytext20"/>
        <w:numPr>
          <w:ilvl w:val="0"/>
          <w:numId w:val="75"/>
        </w:numPr>
        <w:tabs>
          <w:tab w:val="left" w:pos="241"/>
        </w:tabs>
        <w:spacing w:line="286" w:lineRule="auto"/>
        <w:ind w:left="220" w:hanging="220"/>
      </w:pPr>
      <w:bookmarkStart w:id="272" w:name="bookmark875"/>
      <w:bookmarkEnd w:id="272"/>
      <w:r>
        <w:t>Coccidiodomicosis diseminada (en un sitio diferente de pulmones, o ganglios cervicales o hiliares, o además de éstos)</w:t>
      </w:r>
    </w:p>
    <w:p w14:paraId="3E190DE5" w14:textId="77777777" w:rsidR="00093A32" w:rsidRDefault="00093A32">
      <w:pPr>
        <w:pStyle w:val="Bodytext20"/>
        <w:numPr>
          <w:ilvl w:val="0"/>
          <w:numId w:val="75"/>
        </w:numPr>
        <w:tabs>
          <w:tab w:val="left" w:pos="241"/>
        </w:tabs>
        <w:spacing w:line="286" w:lineRule="auto"/>
      </w:pPr>
      <w:bookmarkStart w:id="273" w:name="bookmark876"/>
      <w:bookmarkEnd w:id="273"/>
      <w:r>
        <w:t>Criptococosis extrapulmonar</w:t>
      </w:r>
      <w:r>
        <w:br w:type="page"/>
      </w:r>
    </w:p>
    <w:p w14:paraId="6236D545" w14:textId="77777777" w:rsidR="00093A32" w:rsidRDefault="00093A32">
      <w:pPr>
        <w:pStyle w:val="Bodytext20"/>
        <w:numPr>
          <w:ilvl w:val="0"/>
          <w:numId w:val="75"/>
        </w:numPr>
        <w:tabs>
          <w:tab w:val="left" w:pos="225"/>
        </w:tabs>
      </w:pPr>
      <w:bookmarkStart w:id="274" w:name="bookmark877"/>
      <w:bookmarkEnd w:id="274"/>
      <w:r>
        <w:t>Infección por virus citomegálico que comenzó antes del mes de edad</w:t>
      </w:r>
    </w:p>
    <w:p w14:paraId="6CA0920E" w14:textId="77777777" w:rsidR="00093A32" w:rsidRDefault="00093A32">
      <w:pPr>
        <w:pStyle w:val="Bodytext20"/>
        <w:numPr>
          <w:ilvl w:val="0"/>
          <w:numId w:val="75"/>
        </w:numPr>
        <w:tabs>
          <w:tab w:val="left" w:pos="225"/>
        </w:tabs>
      </w:pPr>
      <w:bookmarkStart w:id="275" w:name="bookmark878"/>
      <w:bookmarkEnd w:id="275"/>
      <w:r>
        <w:t>Diarrea, recurrente o crónica</w:t>
      </w:r>
    </w:p>
    <w:p w14:paraId="671002B1" w14:textId="77777777" w:rsidR="00093A32" w:rsidRDefault="00093A32">
      <w:pPr>
        <w:pStyle w:val="Bodytext20"/>
        <w:numPr>
          <w:ilvl w:val="0"/>
          <w:numId w:val="75"/>
        </w:numPr>
        <w:tabs>
          <w:tab w:val="left" w:pos="225"/>
        </w:tabs>
      </w:pPr>
      <w:bookmarkStart w:id="276" w:name="bookmark879"/>
      <w:bookmarkEnd w:id="276"/>
      <w:r>
        <w:t>Hepatitis</w:t>
      </w:r>
    </w:p>
    <w:p w14:paraId="6C4437CF" w14:textId="77777777" w:rsidR="00093A32" w:rsidRDefault="00093A32">
      <w:pPr>
        <w:pStyle w:val="Bodytext20"/>
        <w:numPr>
          <w:ilvl w:val="0"/>
          <w:numId w:val="75"/>
        </w:numPr>
        <w:tabs>
          <w:tab w:val="left" w:pos="225"/>
        </w:tabs>
        <w:spacing w:after="200"/>
        <w:ind w:left="240" w:hanging="240"/>
      </w:pPr>
      <w:bookmarkStart w:id="277" w:name="bookmark880"/>
      <w:bookmarkEnd w:id="277"/>
      <w:r>
        <w:t>Estomatitis por virus de herpes simple (HSV), recurrente (más de dos episodios en término de un año)</w:t>
      </w:r>
    </w:p>
    <w:p w14:paraId="101DF58A" w14:textId="77777777" w:rsidR="00093A32" w:rsidRDefault="00093A32">
      <w:pPr>
        <w:pStyle w:val="Bodytext20"/>
      </w:pPr>
      <w:r>
        <w:rPr>
          <w:b/>
          <w:bCs/>
        </w:rPr>
        <w:t>Categoría C: Fuertemente sintomática (continuación)</w:t>
      </w:r>
    </w:p>
    <w:p w14:paraId="686173FD" w14:textId="77777777" w:rsidR="00093A32" w:rsidRDefault="00093A32">
      <w:pPr>
        <w:pStyle w:val="Bodytext20"/>
        <w:numPr>
          <w:ilvl w:val="0"/>
          <w:numId w:val="75"/>
        </w:numPr>
        <w:tabs>
          <w:tab w:val="left" w:pos="225"/>
        </w:tabs>
        <w:ind w:left="240" w:hanging="240"/>
      </w:pPr>
      <w:bookmarkStart w:id="278" w:name="bookmark881"/>
      <w:bookmarkEnd w:id="278"/>
      <w:r>
        <w:t>Encefalopatía (presencia de uno de los signos progresivos siguientes [mínimo] durante dos meses [mínimo] sin que exista otra enfermedad, excepto infección por VIH, que pudieran explicar las alteraciones): 1) incapacidad de alcanzar los puntos definitorios del desarrollo o pérdida de los mismos o de la capacidad intelectual, verificados por escala de desarrollo corriente o métodos neuropsicológicos; 2) retraso del crecimiento encefálico o microcefalia adquirida demostrada por mediciones de la circunferencia cefálica o atrofia encefálica demostrada por tomografía computadorizada o resonancia magnética</w:t>
      </w:r>
    </w:p>
    <w:p w14:paraId="7DABAE56" w14:textId="77777777" w:rsidR="00093A32" w:rsidRDefault="00093A32">
      <w:pPr>
        <w:pStyle w:val="Bodytext20"/>
        <w:ind w:left="240"/>
      </w:pPr>
      <w:r>
        <w:t>(resonancia serial necesaria en niños menores de dos años de vida); 3) déficit motores simétricos adquiridos que se manifestaron por dos o más de los siguientes cuadros: paresia, reflejos patológicos, ataxia o perturbaciones de la marcha</w:t>
      </w:r>
    </w:p>
    <w:p w14:paraId="3E4C1BFE" w14:textId="77777777" w:rsidR="00093A32" w:rsidRDefault="00093A32">
      <w:pPr>
        <w:pStyle w:val="Bodytext20"/>
        <w:numPr>
          <w:ilvl w:val="0"/>
          <w:numId w:val="75"/>
        </w:numPr>
        <w:tabs>
          <w:tab w:val="left" w:pos="225"/>
        </w:tabs>
        <w:ind w:left="240" w:hanging="240"/>
      </w:pPr>
      <w:bookmarkStart w:id="279" w:name="bookmark882"/>
      <w:bookmarkEnd w:id="279"/>
      <w:r>
        <w:t>Infección por HSV que originó una úlcera mucocutánea que ha persistido por más de un mes, o bronquitis, neumonitis o esofagitis de cualquier duración que atacó un niño con más de un mes de vida</w:t>
      </w:r>
    </w:p>
    <w:p w14:paraId="08DAB7C4" w14:textId="77777777" w:rsidR="00093A32" w:rsidRDefault="00093A32">
      <w:pPr>
        <w:pStyle w:val="Bodytext20"/>
        <w:numPr>
          <w:ilvl w:val="0"/>
          <w:numId w:val="75"/>
        </w:numPr>
        <w:tabs>
          <w:tab w:val="left" w:pos="225"/>
        </w:tabs>
        <w:ind w:left="240" w:hanging="240"/>
      </w:pPr>
      <w:bookmarkStart w:id="280" w:name="bookmark883"/>
      <w:bookmarkEnd w:id="280"/>
      <w:r>
        <w:t>Histoplasmosis diseminada (en un sitio distinto de pulmones o ganglios linfáticos cervicales o hiliares, o además de ellos)</w:t>
      </w:r>
    </w:p>
    <w:p w14:paraId="49C8A189" w14:textId="77777777" w:rsidR="00093A32" w:rsidRDefault="00093A32">
      <w:pPr>
        <w:pStyle w:val="Bodytext20"/>
        <w:numPr>
          <w:ilvl w:val="0"/>
          <w:numId w:val="75"/>
        </w:numPr>
        <w:tabs>
          <w:tab w:val="left" w:pos="225"/>
        </w:tabs>
      </w:pPr>
      <w:bookmarkStart w:id="281" w:name="bookmark884"/>
      <w:bookmarkEnd w:id="281"/>
      <w:r>
        <w:t>Sarcoma de Kaposi</w:t>
      </w:r>
    </w:p>
    <w:p w14:paraId="30E9DB9D" w14:textId="77777777" w:rsidR="00093A32" w:rsidRDefault="00093A32">
      <w:pPr>
        <w:pStyle w:val="Bodytext20"/>
        <w:numPr>
          <w:ilvl w:val="0"/>
          <w:numId w:val="75"/>
        </w:numPr>
        <w:tabs>
          <w:tab w:val="left" w:pos="225"/>
        </w:tabs>
      </w:pPr>
      <w:bookmarkStart w:id="282" w:name="bookmark885"/>
      <w:bookmarkEnd w:id="282"/>
      <w:r>
        <w:t>Linfoma primario en el encéfalo</w:t>
      </w:r>
    </w:p>
    <w:p w14:paraId="169ADD85" w14:textId="77777777" w:rsidR="00093A32" w:rsidRDefault="00093A32">
      <w:pPr>
        <w:pStyle w:val="Bodytext20"/>
        <w:numPr>
          <w:ilvl w:val="0"/>
          <w:numId w:val="75"/>
        </w:numPr>
        <w:tabs>
          <w:tab w:val="left" w:pos="233"/>
        </w:tabs>
        <w:ind w:left="260" w:hanging="260"/>
      </w:pPr>
      <w:bookmarkStart w:id="283" w:name="bookmark886"/>
      <w:bookmarkEnd w:id="283"/>
      <w:r>
        <w:t>Criptosporidiosis o isosporiasis con diarrea que persistió por más de un mes</w:t>
      </w:r>
    </w:p>
    <w:p w14:paraId="4E30F5BB" w14:textId="77777777" w:rsidR="00093A32" w:rsidRDefault="00093A32">
      <w:pPr>
        <w:pStyle w:val="Bodytext20"/>
        <w:numPr>
          <w:ilvl w:val="0"/>
          <w:numId w:val="75"/>
        </w:numPr>
        <w:tabs>
          <w:tab w:val="left" w:pos="233"/>
        </w:tabs>
        <w:spacing w:after="420"/>
        <w:ind w:left="260" w:hanging="260"/>
      </w:pPr>
      <w:bookmarkStart w:id="284" w:name="bookmark887"/>
      <w:bookmarkEnd w:id="284"/>
      <w:r>
        <w:t>Enfermedad por virus citomegálico cuyos síntomas comenzaron después de un mes de vida (en un sitio fuera de hígado, bazo o ganglios linfáticos)</w:t>
      </w:r>
    </w:p>
    <w:p w14:paraId="474FEC89" w14:textId="77777777" w:rsidR="00093A32" w:rsidRDefault="00093A32">
      <w:pPr>
        <w:pStyle w:val="Bodytext20"/>
        <w:numPr>
          <w:ilvl w:val="0"/>
          <w:numId w:val="75"/>
        </w:numPr>
        <w:tabs>
          <w:tab w:val="left" w:pos="233"/>
        </w:tabs>
        <w:ind w:left="260" w:hanging="260"/>
      </w:pPr>
      <w:bookmarkStart w:id="285" w:name="bookmark888"/>
      <w:bookmarkEnd w:id="285"/>
      <w:r>
        <w:t>Linfoma de células pequeñas no segmentadas (Burkitt) o inmunoblástico; o de células glandes (células B) o un fenotipo inmunológico desconocido.</w:t>
      </w:r>
    </w:p>
    <w:p w14:paraId="6032294C" w14:textId="77777777" w:rsidR="00093A32" w:rsidRDefault="00093A32">
      <w:pPr>
        <w:pStyle w:val="Bodytext20"/>
        <w:numPr>
          <w:ilvl w:val="0"/>
          <w:numId w:val="75"/>
        </w:numPr>
        <w:tabs>
          <w:tab w:val="left" w:pos="233"/>
        </w:tabs>
      </w:pPr>
      <w:bookmarkStart w:id="286" w:name="bookmark889"/>
      <w:bookmarkEnd w:id="286"/>
      <w:r>
        <w:rPr>
          <w:i/>
          <w:iCs/>
        </w:rPr>
        <w:t>Mycobacterium tuberculosis</w:t>
      </w:r>
      <w:r>
        <w:rPr>
          <w:i/>
          <w:iCs/>
          <w:sz w:val="15"/>
          <w:szCs w:val="15"/>
        </w:rPr>
        <w:t>,</w:t>
      </w:r>
      <w:r>
        <w:t xml:space="preserve"> diseminado o extrapulmonar</w:t>
      </w:r>
    </w:p>
    <w:p w14:paraId="7F67272A" w14:textId="77777777" w:rsidR="00093A32" w:rsidRDefault="00093A32">
      <w:pPr>
        <w:pStyle w:val="Bodytext20"/>
        <w:numPr>
          <w:ilvl w:val="0"/>
          <w:numId w:val="75"/>
        </w:numPr>
        <w:tabs>
          <w:tab w:val="left" w:pos="233"/>
        </w:tabs>
        <w:ind w:left="260" w:hanging="260"/>
      </w:pPr>
      <w:bookmarkStart w:id="287" w:name="bookmark890"/>
      <w:bookmarkEnd w:id="287"/>
      <w:r>
        <w:rPr>
          <w:i/>
          <w:iCs/>
        </w:rPr>
        <w:t>Mycobacterium,</w:t>
      </w:r>
      <w:r>
        <w:t xml:space="preserve"> otras especies o especies no identificadas, diseminado (en un sitio diferente de pulmones, piel y ganglios linfáticos cervicales o hiliares, o además de estos últimos)</w:t>
      </w:r>
    </w:p>
    <w:p w14:paraId="33567F4E" w14:textId="77777777" w:rsidR="00093A32" w:rsidRDefault="00093A32">
      <w:pPr>
        <w:pStyle w:val="Bodytext20"/>
        <w:numPr>
          <w:ilvl w:val="0"/>
          <w:numId w:val="75"/>
        </w:numPr>
        <w:tabs>
          <w:tab w:val="left" w:pos="233"/>
        </w:tabs>
      </w:pPr>
      <w:bookmarkStart w:id="288" w:name="bookmark891"/>
      <w:bookmarkEnd w:id="288"/>
      <w:r>
        <w:t xml:space="preserve">Neumonía por </w:t>
      </w:r>
      <w:r>
        <w:rPr>
          <w:i/>
          <w:iCs/>
        </w:rPr>
        <w:t>Pneumocystis</w:t>
      </w:r>
    </w:p>
    <w:p w14:paraId="185E8F5B" w14:textId="77777777" w:rsidR="00093A32" w:rsidRDefault="00093A32">
      <w:pPr>
        <w:pStyle w:val="Bodytext20"/>
        <w:numPr>
          <w:ilvl w:val="0"/>
          <w:numId w:val="75"/>
        </w:numPr>
        <w:tabs>
          <w:tab w:val="left" w:pos="233"/>
        </w:tabs>
      </w:pPr>
      <w:bookmarkStart w:id="289" w:name="bookmark892"/>
      <w:bookmarkEnd w:id="289"/>
      <w:r>
        <w:t>Leucoencefalopatía multifocal progresiva</w:t>
      </w:r>
    </w:p>
    <w:p w14:paraId="7EAE5C7D" w14:textId="77777777" w:rsidR="00093A32" w:rsidRDefault="00093A32">
      <w:pPr>
        <w:pStyle w:val="Bodytext20"/>
        <w:numPr>
          <w:ilvl w:val="0"/>
          <w:numId w:val="75"/>
        </w:numPr>
        <w:tabs>
          <w:tab w:val="left" w:pos="233"/>
        </w:tabs>
      </w:pPr>
      <w:bookmarkStart w:id="290" w:name="bookmark893"/>
      <w:bookmarkEnd w:id="290"/>
      <w:r>
        <w:t xml:space="preserve">Septicemia recurrente por </w:t>
      </w:r>
      <w:r>
        <w:rPr>
          <w:i/>
          <w:iCs/>
        </w:rPr>
        <w:t>Salmonella</w:t>
      </w:r>
      <w:r>
        <w:t xml:space="preserve"> (no tifoídica)</w:t>
      </w:r>
    </w:p>
    <w:p w14:paraId="021F1DBA" w14:textId="77777777" w:rsidR="00093A32" w:rsidRDefault="00093A32">
      <w:pPr>
        <w:pStyle w:val="Bodytext20"/>
        <w:numPr>
          <w:ilvl w:val="0"/>
          <w:numId w:val="75"/>
        </w:numPr>
        <w:tabs>
          <w:tab w:val="left" w:pos="233"/>
        </w:tabs>
      </w:pPr>
      <w:bookmarkStart w:id="291" w:name="bookmark894"/>
      <w:bookmarkEnd w:id="291"/>
      <w:r>
        <w:t>Toxoplasmosis encefálica que comenzó después de un mes de vida</w:t>
      </w:r>
    </w:p>
    <w:p w14:paraId="7EC414D9" w14:textId="77777777" w:rsidR="00093A32" w:rsidRDefault="00093A32">
      <w:pPr>
        <w:pStyle w:val="Bodytext20"/>
        <w:numPr>
          <w:ilvl w:val="0"/>
          <w:numId w:val="75"/>
        </w:numPr>
        <w:tabs>
          <w:tab w:val="left" w:pos="233"/>
        </w:tabs>
        <w:ind w:left="260" w:hanging="260"/>
      </w:pPr>
      <w:bookmarkStart w:id="292" w:name="bookmark895"/>
      <w:bookmarkEnd w:id="292"/>
      <w:r>
        <w:t>Síndrome de consunción sin que existan enfermedades coexistentes salvo la infección por VIH que pudiera explicar los signos siguientes: 1) pérdida ponderal persiste que excede 10% de la pérdida basal; 2) cruce descendente de dos (mínimo) de las siguientes líneas de porcentiles en</w:t>
      </w:r>
    </w:p>
    <w:p w14:paraId="4360D673" w14:textId="77777777" w:rsidR="00093A32" w:rsidRDefault="00093A32">
      <w:pPr>
        <w:pStyle w:val="Bodytext20"/>
        <w:ind w:left="260"/>
        <w:sectPr w:rsidR="00093A32" w:rsidSect="00093A32">
          <w:headerReference w:type="even" r:id="rId438"/>
          <w:headerReference w:type="default" r:id="rId439"/>
          <w:footerReference w:type="even" r:id="rId440"/>
          <w:footerReference w:type="default" r:id="rId441"/>
          <w:footnotePr>
            <w:numFmt w:val="chicago"/>
          </w:footnotePr>
          <w:pgSz w:w="13022" w:h="8501" w:orient="landscape"/>
          <w:pgMar w:top="1128" w:right="1071" w:bottom="1221" w:left="659" w:header="700" w:footer="793" w:gutter="0"/>
          <w:pgNumType w:start="486"/>
          <w:cols w:num="2" w:space="100"/>
          <w:noEndnote/>
          <w:docGrid w:linePitch="360"/>
          <w15:footnoteColumns w:val="1"/>
        </w:sectPr>
      </w:pPr>
      <w:r>
        <w:rPr>
          <w:noProof/>
        </w:rPr>
        <mc:AlternateContent>
          <mc:Choice Requires="wps">
            <w:drawing>
              <wp:anchor distT="38100" distB="419100" distL="114300" distR="114300" simplePos="0" relativeHeight="251668480" behindDoc="0" locked="0" layoutInCell="1" allowOverlap="1" wp14:anchorId="66A68025" wp14:editId="1C8F00EE">
                <wp:simplePos x="0" y="0"/>
                <wp:positionH relativeFrom="page">
                  <wp:posOffset>421640</wp:posOffset>
                </wp:positionH>
                <wp:positionV relativeFrom="margin">
                  <wp:posOffset>3828415</wp:posOffset>
                </wp:positionV>
                <wp:extent cx="7181215" cy="365760"/>
                <wp:effectExtent l="0" t="0" r="0" b="0"/>
                <wp:wrapTopAndBottom/>
                <wp:docPr id="1112" name="Shape 1112"/>
                <wp:cNvGraphicFramePr/>
                <a:graphic xmlns:a="http://schemas.openxmlformats.org/drawingml/2006/main">
                  <a:graphicData uri="http://schemas.microsoft.com/office/word/2010/wordprocessingShape">
                    <wps:wsp>
                      <wps:cNvSpPr txBox="1"/>
                      <wps:spPr>
                        <a:xfrm>
                          <a:off x="0" y="0"/>
                          <a:ext cx="7181215" cy="365760"/>
                        </a:xfrm>
                        <a:prstGeom prst="rect">
                          <a:avLst/>
                        </a:prstGeom>
                        <a:noFill/>
                      </wps:spPr>
                      <wps:txbx>
                        <w:txbxContent>
                          <w:p w14:paraId="106C109F" w14:textId="77777777" w:rsidR="00093A32" w:rsidRDefault="00093A32">
                            <w:pPr>
                              <w:pStyle w:val="Bodytext20"/>
                              <w:spacing w:line="257" w:lineRule="auto"/>
                              <w:ind w:left="180" w:hanging="180"/>
                              <w:rPr>
                                <w:sz w:val="15"/>
                                <w:szCs w:val="15"/>
                              </w:rPr>
                            </w:pPr>
                            <w:r>
                              <w:rPr>
                                <w:sz w:val="8"/>
                                <w:szCs w:val="8"/>
                                <w:vertAlign w:val="superscript"/>
                              </w:rPr>
                              <w:t>1</w:t>
                            </w:r>
                            <w:r>
                              <w:rPr>
                                <w:sz w:val="8"/>
                                <w:szCs w:val="8"/>
                              </w:rPr>
                              <w:t xml:space="preserve"> </w:t>
                            </w:r>
                            <w:r>
                              <w:rPr>
                                <w:sz w:val="15"/>
                                <w:szCs w:val="15"/>
                              </w:rPr>
                              <w:t xml:space="preserve">Con modificación de Centers for Disease Control and Prevention. 1994 revised classification system for human immunodeficiency virus infection in children less than 13 years of age. Official authorized addenda: human immunodeficiency virus infection codes and official guidelines for coding and reporting ICD-9-CM. </w:t>
                            </w:r>
                            <w:r>
                              <w:rPr>
                                <w:i/>
                                <w:iCs/>
                                <w:sz w:val="15"/>
                                <w:szCs w:val="15"/>
                              </w:rPr>
                              <w:t>MMWR Recomm Rep.</w:t>
                            </w:r>
                            <w:r>
                              <w:rPr>
                                <w:sz w:val="15"/>
                                <w:szCs w:val="15"/>
                              </w:rPr>
                              <w:t xml:space="preserve"> 1994;43 (RR-12):1-19.</w:t>
                            </w:r>
                          </w:p>
                        </w:txbxContent>
                      </wps:txbx>
                      <wps:bodyPr lIns="0" tIns="0" rIns="0" bIns="0"/>
                    </wps:wsp>
                  </a:graphicData>
                </a:graphic>
              </wp:anchor>
            </w:drawing>
          </mc:Choice>
          <mc:Fallback>
            <w:pict>
              <v:shape w14:anchorId="66A68025" id="Shape 1112" o:spid="_x0000_s1035" type="#_x0000_t202" style="position:absolute;left:0;text-align:left;margin-left:33.2pt;margin-top:301.45pt;width:565.45pt;height:28.8pt;z-index:251668480;visibility:visible;mso-wrap-style:square;mso-wrap-distance-left:9pt;mso-wrap-distance-top:3pt;mso-wrap-distance-right:9pt;mso-wrap-distance-bottom:3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" filled="f" stroked="f">
                <v:textbox inset="0,0,0,0">
                  <w:txbxContent>
                    <w:p w14:paraId="106C109F" w14:textId="77777777" w:rsidR="00093A32" w:rsidRDefault="00093A32">
                      <w:pPr>
                        <w:pStyle w:val="Bodytext20"/>
                        <w:spacing w:line="257" w:lineRule="auto"/>
                        <w:ind w:left="180" w:hanging="180"/>
                        <w:rPr>
                          <w:sz w:val="15"/>
                          <w:szCs w:val="15"/>
                        </w:rPr>
                      </w:pPr>
                      <w:r>
                        <w:rPr>
                          <w:sz w:val="8"/>
                          <w:szCs w:val="8"/>
                          <w:vertAlign w:val="superscript"/>
                        </w:rPr>
                        <w:t>1</w:t>
                      </w:r>
                      <w:r>
                        <w:rPr>
                          <w:sz w:val="8"/>
                          <w:szCs w:val="8"/>
                        </w:rPr>
                        <w:t xml:space="preserve"> </w:t>
                      </w:r>
                      <w:r>
                        <w:rPr>
                          <w:sz w:val="15"/>
                          <w:szCs w:val="15"/>
                        </w:rPr>
                        <w:t xml:space="preserve">Con modificación de Centers for Disease Control and Prevention. 1994 revised classification system for human immunodeficiency virus infection in children less than 13 years of age. Official authorized addenda: human immunodeficiency virus infection codes and official guidelines for coding and reporting ICD-9-CM. </w:t>
                      </w:r>
                      <w:r>
                        <w:rPr>
                          <w:i/>
                          <w:iCs/>
                          <w:sz w:val="15"/>
                          <w:szCs w:val="15"/>
                        </w:rPr>
                        <w:t>MMWR Recomm Rep.</w:t>
                      </w:r>
                      <w:r>
                        <w:rPr>
                          <w:sz w:val="15"/>
                          <w:szCs w:val="15"/>
                        </w:rPr>
                        <w:t xml:space="preserve"> 1994;43 (RR-12):1-19.</w:t>
                      </w:r>
                    </w:p>
                  </w:txbxContent>
                </v:textbox>
                <w10:wrap type="topAndBottom" anchorx="page" anchory="margin"/>
              </v:shape>
            </w:pict>
          </mc:Fallback>
        </mc:AlternateContent>
      </w:r>
      <w:r>
        <w:rPr>
          <w:noProof/>
        </w:rPr>
        <mc:AlternateContent>
          <mc:Choice Requires="wps">
            <w:drawing>
              <wp:anchor distT="0" distB="0" distL="114300" distR="114300" simplePos="0" relativeHeight="251669504" behindDoc="0" locked="0" layoutInCell="1" allowOverlap="1" wp14:anchorId="35237D1C" wp14:editId="2D835C10">
                <wp:simplePos x="0" y="0"/>
                <wp:positionH relativeFrom="page">
                  <wp:posOffset>7837170</wp:posOffset>
                </wp:positionH>
                <wp:positionV relativeFrom="margin">
                  <wp:posOffset>786130</wp:posOffset>
                </wp:positionV>
                <wp:extent cx="137160" cy="3575050"/>
                <wp:effectExtent l="0" t="0" r="0" b="0"/>
                <wp:wrapSquare wrapText="bothSides"/>
                <wp:docPr id="1114" name="Shape 1114"/>
                <wp:cNvGraphicFramePr/>
                <a:graphic xmlns:a="http://schemas.openxmlformats.org/drawingml/2006/main">
                  <a:graphicData uri="http://schemas.microsoft.com/office/word/2010/wordprocessingShape">
                    <wps:wsp>
                      <wps:cNvSpPr txBox="1"/>
                      <wps:spPr>
                        <a:xfrm>
                          <a:off x="0" y="0"/>
                          <a:ext cx="137160" cy="3575050"/>
                        </a:xfrm>
                        <a:prstGeom prst="rect">
                          <a:avLst/>
                        </a:prstGeom>
                        <a:noFill/>
                      </wps:spPr>
                      <wps:txbx>
                        <w:txbxContent>
                          <w:p w14:paraId="01B9DD91" w14:textId="77777777" w:rsidR="00093A32" w:rsidRDefault="00093A32">
                            <w:pPr>
                              <w:pStyle w:val="Bodytext80"/>
                              <w:tabs>
                                <w:tab w:val="left" w:leader="underscore" w:pos="5318"/>
                              </w:tabs>
                              <w:rPr>
                                <w:sz w:val="16"/>
                                <w:szCs w:val="16"/>
                              </w:rPr>
                            </w:pPr>
                            <w:r>
                              <w:rPr>
                                <w:u w:val="single"/>
                              </w:rPr>
                              <w:t>HUMANA, INFECCIÓN POR VIRUS DE INMUNODEFICIENCIA (VIH)</w:t>
                            </w:r>
                            <w:r>
                              <w:tab/>
                            </w:r>
                            <w:r>
                              <w:rPr>
                                <w:sz w:val="16"/>
                                <w:szCs w:val="16"/>
                                <w:u w:val="single"/>
                              </w:rPr>
                              <w:t>427</w:t>
                            </w:r>
                          </w:p>
                        </w:txbxContent>
                      </wps:txbx>
                      <wps:bodyPr vert="vert" lIns="0" tIns="0" rIns="0" bIns="0" upright="1"/>
                    </wps:wsp>
                  </a:graphicData>
                </a:graphic>
              </wp:anchor>
            </w:drawing>
          </mc:Choice>
          <mc:Fallback>
            <w:pict>
              <v:shape w14:anchorId="35237D1C" id="Shape 1114" o:spid="_x0000_s1036" type="#_x0000_t202" style="position:absolute;left:0;text-align:left;margin-left:617.1pt;margin-top:61.9pt;width:10.8pt;height:281.5pt;z-index:251669504;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" filled="f" stroked="f">
                <v:textbox style="layout-flow:vertical" inset="0,0,0,0">
                  <w:txbxContent>
                    <w:p w14:paraId="01B9DD91" w14:textId="77777777" w:rsidR="00093A32" w:rsidRDefault="00093A32">
                      <w:pPr>
                        <w:pStyle w:val="Bodytext80"/>
                        <w:tabs>
                          <w:tab w:val="left" w:leader="underscore" w:pos="5318"/>
                        </w:tabs>
                        <w:rPr>
                          <w:sz w:val="16"/>
                          <w:szCs w:val="16"/>
                        </w:rPr>
                      </w:pPr>
                      <w:r>
                        <w:rPr>
                          <w:u w:val="single"/>
                        </w:rPr>
                        <w:t>HUMANA, INFECCIÓN POR VIRUS DE INMUNODEFICIENCIA (VIH)</w:t>
                      </w:r>
                      <w:r>
                        <w:tab/>
                      </w:r>
                      <w:r>
                        <w:rPr>
                          <w:sz w:val="16"/>
                          <w:szCs w:val="16"/>
                          <w:u w:val="single"/>
                        </w:rPr>
                        <w:t>427</w:t>
                      </w:r>
                    </w:p>
                  </w:txbxContent>
                </v:textbox>
                <w10:wrap type="square" anchorx="page" anchory="margin"/>
              </v:shape>
            </w:pict>
          </mc:Fallback>
        </mc:AlternateContent>
      </w:r>
      <w:r>
        <w:t>el esquema de peso/edad (como serían porcentiles 95, 75, 50, 25 o 5) en un niño de un año o mayor; O 3) porcentil menor del quinto en el esquema de peso/talla en dos mediciones consecutivas con diferencia de 30 días o más; Y ADEMAS 1) diarrea crónica (es decir, cuando menos dos deposiciones de excrementos laxos por día por más de 30 días); O 2) fiebre corroborada (por más de 30 días, intermitente o constante</w:t>
      </w:r>
    </w:p>
    <w:p w14:paraId="750FCFDE" w14:textId="77777777" w:rsidR="00093A32" w:rsidRDefault="00093A32">
      <w:pPr>
        <w:spacing w:line="1" w:lineRule="exact"/>
      </w:pPr>
      <w:r>
        <w:rPr>
          <w:noProof/>
        </w:rPr>
        <mc:AlternateContent>
          <mc:Choice Requires="wps">
            <w:drawing>
              <wp:anchor distT="0" distB="0" distL="0" distR="0" simplePos="0" relativeHeight="251670528" behindDoc="0" locked="0" layoutInCell="1" allowOverlap="1" wp14:anchorId="236F90D4" wp14:editId="0A13E5A4">
                <wp:simplePos x="0" y="0"/>
                <wp:positionH relativeFrom="page">
                  <wp:posOffset>5325110</wp:posOffset>
                </wp:positionH>
                <wp:positionV relativeFrom="paragraph">
                  <wp:posOffset>207010</wp:posOffset>
                </wp:positionV>
                <wp:extent cx="1377950" cy="194945"/>
                <wp:effectExtent l="0" t="0" r="0" b="0"/>
                <wp:wrapSquare wrapText="bothSides"/>
                <wp:docPr id="1116" name="Shape 1116"/>
                <wp:cNvGraphicFramePr/>
                <a:graphic xmlns:a="http://schemas.openxmlformats.org/drawingml/2006/main">
                  <a:graphicData uri="http://schemas.microsoft.com/office/word/2010/wordprocessingShape">
                    <wps:wsp>
                      <wps:cNvSpPr txBox="1"/>
                      <wps:spPr>
                        <a:xfrm>
                          <a:off x="0" y="0"/>
                          <a:ext cx="1377950" cy="194945"/>
                        </a:xfrm>
                        <a:prstGeom prst="rect">
                          <a:avLst/>
                        </a:prstGeom>
                        <a:noFill/>
                      </wps:spPr>
                      <wps:txbx>
                        <w:txbxContent>
                          <w:p w14:paraId="08E64603" w14:textId="77777777" w:rsidR="00093A32" w:rsidRDefault="00093A32">
                            <w:pPr>
                              <w:pStyle w:val="Other0"/>
                              <w:pBdr>
                                <w:top w:val="single" w:sz="4" w:space="0" w:color="231F20"/>
                                <w:left w:val="single" w:sz="4" w:space="31" w:color="231F20"/>
                                <w:bottom w:val="single" w:sz="4" w:space="0" w:color="231F20"/>
                                <w:right w:val="single" w:sz="4" w:space="31"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Categorías inmunológicas</w:t>
                            </w:r>
                          </w:p>
                        </w:txbxContent>
                      </wps:txbx>
                      <wps:bodyPr wrap="none" lIns="0" tIns="0" rIns="0" bIns="0"/>
                    </wps:wsp>
                  </a:graphicData>
                </a:graphic>
              </wp:anchor>
            </w:drawing>
          </mc:Choice>
          <mc:Fallback>
            <w:pict>
              <v:shape w14:anchorId="236F90D4" id="Shape 1116" o:spid="_x0000_s1037" type="#_x0000_t202" style="position:absolute;margin-left:419.3pt;margin-top:16.3pt;width:108.5pt;height:15.35pt;z-index:25167052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" filled="f" stroked="f">
                <v:textbox inset="0,0,0,0">
                  <w:txbxContent>
                    <w:p w14:paraId="08E64603" w14:textId="77777777" w:rsidR="00093A32" w:rsidRDefault="00093A32">
                      <w:pPr>
                        <w:pStyle w:val="Other0"/>
                        <w:pBdr>
                          <w:top w:val="single" w:sz="4" w:space="0" w:color="231F20"/>
                          <w:left w:val="single" w:sz="4" w:space="31" w:color="231F20"/>
                          <w:bottom w:val="single" w:sz="4" w:space="0" w:color="231F20"/>
                          <w:right w:val="single" w:sz="4" w:space="31"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Categorías inmunológicas</w:t>
                      </w:r>
                    </w:p>
                  </w:txbxContent>
                </v:textbox>
                <w10:wrap type="square" anchorx="page"/>
              </v:shape>
            </w:pict>
          </mc:Fallback>
        </mc:AlternateContent>
      </w:r>
      <w:r>
        <w:rPr>
          <w:noProof/>
        </w:rPr>
        <mc:AlternateContent>
          <mc:Choice Requires="wps">
            <w:drawing>
              <wp:anchor distT="0" distB="0" distL="0" distR="0" simplePos="0" relativeHeight="251671552" behindDoc="0" locked="0" layoutInCell="1" allowOverlap="1" wp14:anchorId="385D8923" wp14:editId="7762E545">
                <wp:simplePos x="0" y="0"/>
                <wp:positionH relativeFrom="page">
                  <wp:posOffset>417830</wp:posOffset>
                </wp:positionH>
                <wp:positionV relativeFrom="paragraph">
                  <wp:posOffset>664210</wp:posOffset>
                </wp:positionV>
                <wp:extent cx="6915785" cy="648970"/>
                <wp:effectExtent l="0" t="0" r="0" b="0"/>
                <wp:wrapTopAndBottom/>
                <wp:docPr id="1118" name="Shape 1118"/>
                <wp:cNvGraphicFramePr/>
                <a:graphic xmlns:a="http://schemas.openxmlformats.org/drawingml/2006/main">
                  <a:graphicData uri="http://schemas.microsoft.com/office/word/2010/wordprocessingShape">
                    <wps:wsp>
                      <wps:cNvSpPr txBox="1"/>
                      <wps:spPr>
                        <a:xfrm>
                          <a:off x="0" y="0"/>
                          <a:ext cx="6915785" cy="6489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69"/>
                              <w:gridCol w:w="1349"/>
                              <w:gridCol w:w="1262"/>
                              <w:gridCol w:w="1315"/>
                              <w:gridCol w:w="2784"/>
                              <w:gridCol w:w="595"/>
                              <w:gridCol w:w="773"/>
                              <w:gridCol w:w="1344"/>
                            </w:tblGrid>
                            <w:tr w:rsidR="00093A32" w14:paraId="709D83DF" w14:textId="77777777">
                              <w:tblPrEx>
                                <w:tblCellMar>
                                  <w:top w:w="0" w:type="dxa"/>
                                  <w:bottom w:w="0" w:type="dxa"/>
                                </w:tblCellMar>
                              </w:tblPrEx>
                              <w:trPr>
                                <w:trHeight w:hRule="exact" w:val="269"/>
                                <w:tblHeader/>
                              </w:trPr>
                              <w:tc>
                                <w:tcPr>
                                  <w:tcW w:w="1469" w:type="dxa"/>
                                  <w:shd w:val="clear" w:color="auto" w:fill="231F20"/>
                                </w:tcPr>
                                <w:p w14:paraId="1878EDD6" w14:textId="77777777" w:rsidR="00093A32" w:rsidRDefault="00093A32">
                                  <w:pPr>
                                    <w:rPr>
                                      <w:sz w:val="10"/>
                                      <w:szCs w:val="10"/>
                                    </w:rPr>
                                  </w:pPr>
                                </w:p>
                              </w:tc>
                              <w:tc>
                                <w:tcPr>
                                  <w:tcW w:w="2611" w:type="dxa"/>
                                  <w:gridSpan w:val="2"/>
                                  <w:shd w:val="clear" w:color="auto" w:fill="231F20"/>
                                  <w:vAlign w:val="bottom"/>
                                </w:tcPr>
                                <w:p w14:paraId="7248F0A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80"/>
                                    <w:rPr>
                                      <w:sz w:val="8"/>
                                      <w:szCs w:val="8"/>
                                    </w:rPr>
                                  </w:pPr>
                                  <w:r>
                                    <w:rPr>
                                      <w:rFonts w:ascii="Arial" w:eastAsia="Arial" w:hAnsi="Arial" w:cs="Arial"/>
                                      <w:b/>
                                      <w:bCs/>
                                      <w:color w:val="FFFFFF"/>
                                      <w:w w:val="70"/>
                                      <w:sz w:val="24"/>
                                      <w:szCs w:val="24"/>
                                    </w:rPr>
                                    <w:t>Clasificaciones clínicas</w:t>
                                  </w:r>
                                  <w:r>
                                    <w:rPr>
                                      <w:rFonts w:ascii="Times New Roman" w:eastAsia="Times New Roman" w:hAnsi="Times New Roman" w:cs="Times New Roman"/>
                                      <w:color w:val="FFFFFF"/>
                                      <w:sz w:val="8"/>
                                      <w:szCs w:val="8"/>
                                      <w:vertAlign w:val="superscript"/>
                                    </w:rPr>
                                    <w:t xml:space="preserve"> </w:t>
                                  </w:r>
                                </w:p>
                              </w:tc>
                              <w:tc>
                                <w:tcPr>
                                  <w:tcW w:w="1315" w:type="dxa"/>
                                  <w:shd w:val="clear" w:color="auto" w:fill="231F20"/>
                                </w:tcPr>
                                <w:p w14:paraId="7344FC33" w14:textId="77777777" w:rsidR="00093A32" w:rsidRDefault="00093A32">
                                  <w:pPr>
                                    <w:rPr>
                                      <w:sz w:val="10"/>
                                      <w:szCs w:val="10"/>
                                    </w:rPr>
                                  </w:pPr>
                                </w:p>
                              </w:tc>
                              <w:tc>
                                <w:tcPr>
                                  <w:tcW w:w="2784" w:type="dxa"/>
                                  <w:tcBorders>
                                    <w:top w:val="single" w:sz="4" w:space="0" w:color="auto"/>
                                  </w:tcBorders>
                                  <w:shd w:val="clear" w:color="auto" w:fill="231F20"/>
                                  <w:vAlign w:val="bottom"/>
                                </w:tcPr>
                                <w:p w14:paraId="388C1FF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020" w:firstLine="0"/>
                                    <w:rPr>
                                      <w:sz w:val="24"/>
                                      <w:szCs w:val="24"/>
                                    </w:rPr>
                                  </w:pPr>
                                  <w:r>
                                    <w:rPr>
                                      <w:rFonts w:ascii="Arial" w:eastAsia="Arial" w:hAnsi="Arial" w:cs="Arial"/>
                                      <w:b/>
                                      <w:bCs/>
                                      <w:color w:val="FFFFFF"/>
                                      <w:w w:val="70"/>
                                      <w:sz w:val="24"/>
                                      <w:szCs w:val="24"/>
                                    </w:rPr>
                                    <w:t>menos de 12 meses</w:t>
                                  </w:r>
                                </w:p>
                              </w:tc>
                              <w:tc>
                                <w:tcPr>
                                  <w:tcW w:w="1368" w:type="dxa"/>
                                  <w:gridSpan w:val="2"/>
                                  <w:tcBorders>
                                    <w:top w:val="single" w:sz="4" w:space="0" w:color="auto"/>
                                  </w:tcBorders>
                                  <w:shd w:val="clear" w:color="auto" w:fill="231F20"/>
                                  <w:vAlign w:val="bottom"/>
                                </w:tcPr>
                                <w:p w14:paraId="72B264A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1 a 5 años</w:t>
                                  </w:r>
                                </w:p>
                              </w:tc>
                              <w:tc>
                                <w:tcPr>
                                  <w:tcW w:w="1344" w:type="dxa"/>
                                  <w:tcBorders>
                                    <w:top w:val="single" w:sz="4" w:space="0" w:color="auto"/>
                                  </w:tcBorders>
                                  <w:shd w:val="clear" w:color="auto" w:fill="231F20"/>
                                  <w:vAlign w:val="bottom"/>
                                </w:tcPr>
                                <w:p w14:paraId="40CC170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24"/>
                                      <w:szCs w:val="24"/>
                                    </w:rPr>
                                  </w:pPr>
                                  <w:r>
                                    <w:rPr>
                                      <w:rFonts w:ascii="Arial" w:eastAsia="Arial" w:hAnsi="Arial" w:cs="Arial"/>
                                      <w:b/>
                                      <w:bCs/>
                                      <w:color w:val="FFFFFF"/>
                                      <w:w w:val="70"/>
                                      <w:sz w:val="24"/>
                                      <w:szCs w:val="24"/>
                                    </w:rPr>
                                    <w:t>6 a 12 años</w:t>
                                  </w:r>
                                </w:p>
                              </w:tc>
                            </w:tr>
                            <w:tr w:rsidR="00093A32" w14:paraId="7FB5F36D" w14:textId="77777777">
                              <w:tblPrEx>
                                <w:tblCellMar>
                                  <w:top w:w="0" w:type="dxa"/>
                                  <w:bottom w:w="0" w:type="dxa"/>
                                </w:tblCellMar>
                              </w:tblPrEx>
                              <w:trPr>
                                <w:trHeight w:hRule="exact" w:val="254"/>
                              </w:trPr>
                              <w:tc>
                                <w:tcPr>
                                  <w:tcW w:w="1469" w:type="dxa"/>
                                  <w:tcBorders>
                                    <w:top w:val="single" w:sz="4" w:space="0" w:color="auto"/>
                                  </w:tcBorders>
                                  <w:shd w:val="clear" w:color="auto" w:fill="231F20"/>
                                  <w:vAlign w:val="bottom"/>
                                </w:tcPr>
                                <w:p w14:paraId="65D8F1A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Definiciones</w:t>
                                  </w:r>
                                </w:p>
                              </w:tc>
                              <w:tc>
                                <w:tcPr>
                                  <w:tcW w:w="1349" w:type="dxa"/>
                                  <w:tcBorders>
                                    <w:top w:val="single" w:sz="4" w:space="0" w:color="auto"/>
                                  </w:tcBorders>
                                  <w:shd w:val="clear" w:color="auto" w:fill="231F20"/>
                                  <w:vAlign w:val="bottom"/>
                                </w:tcPr>
                                <w:p w14:paraId="4EBB866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N: No hay</w:t>
                                  </w:r>
                                </w:p>
                              </w:tc>
                              <w:tc>
                                <w:tcPr>
                                  <w:tcW w:w="1262" w:type="dxa"/>
                                  <w:tcBorders>
                                    <w:top w:val="single" w:sz="4" w:space="0" w:color="auto"/>
                                  </w:tcBorders>
                                  <w:shd w:val="clear" w:color="auto" w:fill="231F20"/>
                                  <w:vAlign w:val="bottom"/>
                                </w:tcPr>
                                <w:p w14:paraId="0B1F3AF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A: Signos y</w:t>
                                  </w:r>
                                </w:p>
                              </w:tc>
                              <w:tc>
                                <w:tcPr>
                                  <w:tcW w:w="1315" w:type="dxa"/>
                                  <w:tcBorders>
                                    <w:top w:val="single" w:sz="4" w:space="0" w:color="auto"/>
                                  </w:tcBorders>
                                  <w:shd w:val="clear" w:color="auto" w:fill="231F20"/>
                                  <w:vAlign w:val="bottom"/>
                                </w:tcPr>
                                <w:p w14:paraId="4825D5A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B: Signos</w:t>
                                  </w:r>
                                </w:p>
                              </w:tc>
                              <w:tc>
                                <w:tcPr>
                                  <w:tcW w:w="2784" w:type="dxa"/>
                                  <w:tcBorders>
                                    <w:top w:val="single" w:sz="4" w:space="0" w:color="auto"/>
                                  </w:tcBorders>
                                  <w:shd w:val="clear" w:color="auto" w:fill="231F20"/>
                                  <w:vAlign w:val="bottom"/>
                                </w:tcPr>
                                <w:p w14:paraId="6E81F27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C: Signos</w:t>
                                  </w:r>
                                </w:p>
                              </w:tc>
                              <w:tc>
                                <w:tcPr>
                                  <w:tcW w:w="595" w:type="dxa"/>
                                  <w:tcBorders>
                                    <w:top w:val="single" w:sz="4" w:space="0" w:color="auto"/>
                                  </w:tcBorders>
                                  <w:shd w:val="clear" w:color="auto" w:fill="231F20"/>
                                </w:tcPr>
                                <w:p w14:paraId="0A3F5257" w14:textId="77777777" w:rsidR="00093A32" w:rsidRDefault="00093A32">
                                  <w:pPr>
                                    <w:rPr>
                                      <w:sz w:val="10"/>
                                      <w:szCs w:val="10"/>
                                    </w:rPr>
                                  </w:pPr>
                                </w:p>
                              </w:tc>
                              <w:tc>
                                <w:tcPr>
                                  <w:tcW w:w="773" w:type="dxa"/>
                                  <w:tcBorders>
                                    <w:top w:val="single" w:sz="4" w:space="0" w:color="auto"/>
                                  </w:tcBorders>
                                  <w:shd w:val="clear" w:color="auto" w:fill="231F20"/>
                                </w:tcPr>
                                <w:p w14:paraId="3A46935F" w14:textId="77777777" w:rsidR="00093A32" w:rsidRDefault="00093A32">
                                  <w:pPr>
                                    <w:rPr>
                                      <w:sz w:val="10"/>
                                      <w:szCs w:val="10"/>
                                    </w:rPr>
                                  </w:pPr>
                                </w:p>
                              </w:tc>
                              <w:tc>
                                <w:tcPr>
                                  <w:tcW w:w="1344" w:type="dxa"/>
                                  <w:tcBorders>
                                    <w:top w:val="single" w:sz="4" w:space="0" w:color="auto"/>
                                  </w:tcBorders>
                                  <w:shd w:val="clear" w:color="auto" w:fill="231F20"/>
                                </w:tcPr>
                                <w:p w14:paraId="40906D17" w14:textId="77777777" w:rsidR="00093A32" w:rsidRDefault="00093A32">
                                  <w:pPr>
                                    <w:rPr>
                                      <w:sz w:val="10"/>
                                      <w:szCs w:val="10"/>
                                    </w:rPr>
                                  </w:pPr>
                                </w:p>
                              </w:tc>
                            </w:tr>
                            <w:tr w:rsidR="00093A32" w14:paraId="5DC0FCA3" w14:textId="77777777">
                              <w:tblPrEx>
                                <w:tblCellMar>
                                  <w:top w:w="0" w:type="dxa"/>
                                  <w:bottom w:w="0" w:type="dxa"/>
                                </w:tblCellMar>
                              </w:tblPrEx>
                              <w:trPr>
                                <w:trHeight w:hRule="exact" w:val="240"/>
                              </w:trPr>
                              <w:tc>
                                <w:tcPr>
                                  <w:tcW w:w="1469" w:type="dxa"/>
                                  <w:shd w:val="clear" w:color="auto" w:fill="231F20"/>
                                  <w:vAlign w:val="bottom"/>
                                </w:tcPr>
                                <w:p w14:paraId="0248A84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inmunológicas</w:t>
                                  </w:r>
                                </w:p>
                              </w:tc>
                              <w:tc>
                                <w:tcPr>
                                  <w:tcW w:w="1349" w:type="dxa"/>
                                  <w:shd w:val="clear" w:color="auto" w:fill="231F20"/>
                                  <w:vAlign w:val="bottom"/>
                                </w:tcPr>
                                <w:p w14:paraId="386C025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signos</w:t>
                                  </w:r>
                                </w:p>
                              </w:tc>
                              <w:tc>
                                <w:tcPr>
                                  <w:tcW w:w="1262" w:type="dxa"/>
                                  <w:shd w:val="clear" w:color="auto" w:fill="231F20"/>
                                  <w:vAlign w:val="bottom"/>
                                </w:tcPr>
                                <w:p w14:paraId="22A34C1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síntomas</w:t>
                                  </w:r>
                                </w:p>
                              </w:tc>
                              <w:tc>
                                <w:tcPr>
                                  <w:tcW w:w="1315" w:type="dxa"/>
                                  <w:shd w:val="clear" w:color="auto" w:fill="231F20"/>
                                  <w:vAlign w:val="bottom"/>
                                </w:tcPr>
                                <w:p w14:paraId="6DAB79A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y síntomas</w:t>
                                  </w:r>
                                </w:p>
                              </w:tc>
                              <w:tc>
                                <w:tcPr>
                                  <w:tcW w:w="2784" w:type="dxa"/>
                                  <w:shd w:val="clear" w:color="auto" w:fill="231F20"/>
                                  <w:vAlign w:val="bottom"/>
                                </w:tcPr>
                                <w:p w14:paraId="6665FCD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y síntomas</w:t>
                                  </w:r>
                                </w:p>
                              </w:tc>
                              <w:tc>
                                <w:tcPr>
                                  <w:tcW w:w="595" w:type="dxa"/>
                                  <w:shd w:val="clear" w:color="auto" w:fill="231F20"/>
                                </w:tcPr>
                                <w:p w14:paraId="71A0A3FB" w14:textId="77777777" w:rsidR="00093A32" w:rsidRDefault="00093A32">
                                  <w:pPr>
                                    <w:rPr>
                                      <w:sz w:val="10"/>
                                      <w:szCs w:val="10"/>
                                    </w:rPr>
                                  </w:pPr>
                                </w:p>
                              </w:tc>
                              <w:tc>
                                <w:tcPr>
                                  <w:tcW w:w="773" w:type="dxa"/>
                                  <w:shd w:val="clear" w:color="auto" w:fill="231F20"/>
                                </w:tcPr>
                                <w:p w14:paraId="3ABFCE05" w14:textId="77777777" w:rsidR="00093A32" w:rsidRDefault="00093A32">
                                  <w:pPr>
                                    <w:rPr>
                                      <w:sz w:val="10"/>
                                      <w:szCs w:val="10"/>
                                    </w:rPr>
                                  </w:pPr>
                                </w:p>
                              </w:tc>
                              <w:tc>
                                <w:tcPr>
                                  <w:tcW w:w="1344" w:type="dxa"/>
                                  <w:shd w:val="clear" w:color="auto" w:fill="231F20"/>
                                </w:tcPr>
                                <w:p w14:paraId="6B4F56C7" w14:textId="77777777" w:rsidR="00093A32" w:rsidRDefault="00093A32">
                                  <w:pPr>
                                    <w:rPr>
                                      <w:sz w:val="10"/>
                                      <w:szCs w:val="10"/>
                                    </w:rPr>
                                  </w:pPr>
                                </w:p>
                              </w:tc>
                            </w:tr>
                            <w:tr w:rsidR="00093A32" w14:paraId="088964AD" w14:textId="77777777">
                              <w:tblPrEx>
                                <w:tblCellMar>
                                  <w:top w:w="0" w:type="dxa"/>
                                  <w:bottom w:w="0" w:type="dxa"/>
                                </w:tblCellMar>
                              </w:tblPrEx>
                              <w:trPr>
                                <w:trHeight w:hRule="exact" w:val="259"/>
                              </w:trPr>
                              <w:tc>
                                <w:tcPr>
                                  <w:tcW w:w="1469" w:type="dxa"/>
                                  <w:shd w:val="clear" w:color="auto" w:fill="231F20"/>
                                </w:tcPr>
                                <w:p w14:paraId="4FA8EC3B" w14:textId="77777777" w:rsidR="00093A32" w:rsidRDefault="00093A32">
                                  <w:pPr>
                                    <w:rPr>
                                      <w:sz w:val="10"/>
                                      <w:szCs w:val="10"/>
                                    </w:rPr>
                                  </w:pPr>
                                </w:p>
                              </w:tc>
                              <w:tc>
                                <w:tcPr>
                                  <w:tcW w:w="1349" w:type="dxa"/>
                                  <w:shd w:val="clear" w:color="auto" w:fill="231F20"/>
                                </w:tcPr>
                                <w:p w14:paraId="1E7B664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ni síntomas</w:t>
                                  </w:r>
                                </w:p>
                              </w:tc>
                              <w:tc>
                                <w:tcPr>
                                  <w:tcW w:w="1262" w:type="dxa"/>
                                  <w:shd w:val="clear" w:color="auto" w:fill="231F20"/>
                                </w:tcPr>
                                <w:p w14:paraId="7F10942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leves</w:t>
                                  </w:r>
                                </w:p>
                              </w:tc>
                              <w:tc>
                                <w:tcPr>
                                  <w:tcW w:w="1315" w:type="dxa"/>
                                  <w:shd w:val="clear" w:color="auto" w:fill="231F20"/>
                                </w:tcPr>
                                <w:p w14:paraId="3A0F8F0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8"/>
                                      <w:szCs w:val="8"/>
                                    </w:rPr>
                                  </w:pPr>
                                  <w:r>
                                    <w:rPr>
                                      <w:rFonts w:ascii="Arial" w:eastAsia="Arial" w:hAnsi="Arial" w:cs="Arial"/>
                                      <w:b/>
                                      <w:bCs/>
                                      <w:color w:val="FFFFFF"/>
                                      <w:w w:val="70"/>
                                      <w:sz w:val="24"/>
                                      <w:szCs w:val="24"/>
                                    </w:rPr>
                                    <w:t>moderados</w:t>
                                  </w:r>
                                  <w:r>
                                    <w:rPr>
                                      <w:rFonts w:ascii="Times New Roman" w:eastAsia="Times New Roman" w:hAnsi="Times New Roman" w:cs="Times New Roman"/>
                                      <w:color w:val="FFFFFF"/>
                                      <w:sz w:val="8"/>
                                      <w:szCs w:val="8"/>
                                      <w:vertAlign w:val="superscript"/>
                                    </w:rPr>
                                    <w:t xml:space="preserve"> </w:t>
                                  </w:r>
                                </w:p>
                              </w:tc>
                              <w:tc>
                                <w:tcPr>
                                  <w:tcW w:w="2784" w:type="dxa"/>
                                  <w:shd w:val="clear" w:color="auto" w:fill="231F20"/>
                                </w:tcPr>
                                <w:p w14:paraId="01EDEB1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tabs>
                                      <w:tab w:val="left" w:pos="2113"/>
                                    </w:tabs>
                                    <w:spacing w:line="240" w:lineRule="auto"/>
                                    <w:ind w:firstLine="140"/>
                                    <w:rPr>
                                      <w:sz w:val="24"/>
                                      <w:szCs w:val="24"/>
                                    </w:rPr>
                                  </w:pPr>
                                  <w:r>
                                    <w:rPr>
                                      <w:rFonts w:ascii="Arial" w:eastAsia="Arial" w:hAnsi="Arial" w:cs="Arial"/>
                                      <w:b/>
                                      <w:bCs/>
                                      <w:color w:val="FFFFFF"/>
                                      <w:w w:val="70"/>
                                      <w:sz w:val="24"/>
                                      <w:szCs w:val="24"/>
                                    </w:rPr>
                                    <w:t>intensos</w:t>
                                  </w:r>
                                  <w:r>
                                    <w:rPr>
                                      <w:rFonts w:ascii="Times New Roman" w:eastAsia="Times New Roman" w:hAnsi="Times New Roman" w:cs="Times New Roman"/>
                                      <w:color w:val="FFFFFF"/>
                                      <w:sz w:val="8"/>
                                      <w:szCs w:val="8"/>
                                      <w:vertAlign w:val="superscript"/>
                                    </w:rPr>
                                    <w:t>4</w:t>
                                  </w:r>
                                  <w:r>
                                    <w:rPr>
                                      <w:rFonts w:ascii="Times New Roman" w:eastAsia="Times New Roman" w:hAnsi="Times New Roman" w:cs="Times New Roman"/>
                                      <w:color w:val="FFFFFF"/>
                                      <w:sz w:val="8"/>
                                      <w:szCs w:val="8"/>
                                    </w:rPr>
                                    <w:t xml:space="preserve"> </w:t>
                                  </w:r>
                                  <w:r>
                                    <w:rPr>
                                      <w:rFonts w:ascii="Arial" w:eastAsia="Arial" w:hAnsi="Arial" w:cs="Arial"/>
                                      <w:b/>
                                      <w:bCs/>
                                      <w:color w:val="FFFFFF"/>
                                      <w:w w:val="70"/>
                                      <w:sz w:val="24"/>
                                      <w:szCs w:val="24"/>
                                    </w:rPr>
                                    <w:t>pl</w:t>
                                  </w:r>
                                  <w:r>
                                    <w:rPr>
                                      <w:rFonts w:ascii="Arial" w:eastAsia="Arial" w:hAnsi="Arial" w:cs="Arial"/>
                                      <w:b/>
                                      <w:bCs/>
                                      <w:color w:val="FFFFFF"/>
                                      <w:w w:val="70"/>
                                      <w:sz w:val="24"/>
                                      <w:szCs w:val="24"/>
                                    </w:rPr>
                                    <w:tab/>
                                    <w:t>%</w:t>
                                  </w:r>
                                </w:p>
                              </w:tc>
                              <w:tc>
                                <w:tcPr>
                                  <w:tcW w:w="595" w:type="dxa"/>
                                  <w:shd w:val="clear" w:color="auto" w:fill="231F20"/>
                                </w:tcPr>
                                <w:p w14:paraId="1F61718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right="300" w:firstLine="0"/>
                                    <w:jc w:val="right"/>
                                    <w:rPr>
                                      <w:sz w:val="24"/>
                                      <w:szCs w:val="24"/>
                                    </w:rPr>
                                  </w:pPr>
                                  <w:r>
                                    <w:rPr>
                                      <w:rFonts w:ascii="Arial" w:eastAsia="Arial" w:hAnsi="Arial" w:cs="Arial"/>
                                      <w:b/>
                                      <w:bCs/>
                                      <w:color w:val="FFFFFF"/>
                                      <w:w w:val="70"/>
                                      <w:sz w:val="24"/>
                                      <w:szCs w:val="24"/>
                                    </w:rPr>
                                    <w:t>pl</w:t>
                                  </w:r>
                                </w:p>
                              </w:tc>
                              <w:tc>
                                <w:tcPr>
                                  <w:tcW w:w="773" w:type="dxa"/>
                                  <w:shd w:val="clear" w:color="auto" w:fill="231F20"/>
                                </w:tcPr>
                                <w:p w14:paraId="784D388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right="280" w:firstLine="0"/>
                                    <w:jc w:val="right"/>
                                    <w:rPr>
                                      <w:sz w:val="24"/>
                                      <w:szCs w:val="24"/>
                                    </w:rPr>
                                  </w:pPr>
                                  <w:r>
                                    <w:rPr>
                                      <w:rFonts w:ascii="Arial" w:eastAsia="Arial" w:hAnsi="Arial" w:cs="Arial"/>
                                      <w:b/>
                                      <w:bCs/>
                                      <w:color w:val="FFFFFF"/>
                                      <w:w w:val="70"/>
                                      <w:sz w:val="24"/>
                                      <w:szCs w:val="24"/>
                                    </w:rPr>
                                    <w:t>%</w:t>
                                  </w:r>
                                </w:p>
                              </w:tc>
                              <w:tc>
                                <w:tcPr>
                                  <w:tcW w:w="1344" w:type="dxa"/>
                                  <w:shd w:val="clear" w:color="auto" w:fill="231F20"/>
                                </w:tcPr>
                                <w:p w14:paraId="457DDCB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tabs>
                                      <w:tab w:val="left" w:pos="986"/>
                                    </w:tabs>
                                    <w:spacing w:line="240" w:lineRule="auto"/>
                                    <w:ind w:firstLine="280"/>
                                    <w:rPr>
                                      <w:sz w:val="24"/>
                                      <w:szCs w:val="24"/>
                                    </w:rPr>
                                  </w:pPr>
                                  <w:r>
                                    <w:rPr>
                                      <w:rFonts w:ascii="Arial" w:eastAsia="Arial" w:hAnsi="Arial" w:cs="Arial"/>
                                      <w:b/>
                                      <w:bCs/>
                                      <w:color w:val="FFFFFF"/>
                                      <w:w w:val="70"/>
                                      <w:sz w:val="24"/>
                                      <w:szCs w:val="24"/>
                                    </w:rPr>
                                    <w:t>pl</w:t>
                                  </w:r>
                                  <w:r>
                                    <w:rPr>
                                      <w:rFonts w:ascii="Arial" w:eastAsia="Arial" w:hAnsi="Arial" w:cs="Arial"/>
                                      <w:b/>
                                      <w:bCs/>
                                      <w:color w:val="FFFFFF"/>
                                      <w:w w:val="70"/>
                                      <w:sz w:val="24"/>
                                      <w:szCs w:val="24"/>
                                    </w:rPr>
                                    <w:tab/>
                                    <w:t>%</w:t>
                                  </w:r>
                                </w:p>
                              </w:tc>
                            </w:tr>
                          </w:tbl>
                          <w:p w14:paraId="19E7EE8E" w14:textId="77777777" w:rsidR="00093A32" w:rsidRDefault="00093A32">
                            <w:pPr>
                              <w:spacing w:line="1" w:lineRule="exact"/>
                            </w:pPr>
                          </w:p>
                        </w:txbxContent>
                      </wps:txbx>
                      <wps:bodyPr lIns="0" tIns="0" rIns="0" bIns="0"/>
                    </wps:wsp>
                  </a:graphicData>
                </a:graphic>
              </wp:anchor>
            </w:drawing>
          </mc:Choice>
          <mc:Fallback>
            <w:pict>
              <v:shape w14:anchorId="385D8923" id="Shape 1118" o:spid="_x0000_s1038" type="#_x0000_t202" style="position:absolute;margin-left:32.9pt;margin-top:52.3pt;width:544.55pt;height:51.1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69"/>
                        <w:gridCol w:w="1349"/>
                        <w:gridCol w:w="1262"/>
                        <w:gridCol w:w="1315"/>
                        <w:gridCol w:w="2784"/>
                        <w:gridCol w:w="595"/>
                        <w:gridCol w:w="773"/>
                        <w:gridCol w:w="1344"/>
                      </w:tblGrid>
                      <w:tr w:rsidR="00093A32" w14:paraId="709D83DF" w14:textId="77777777">
                        <w:tblPrEx>
                          <w:tblCellMar>
                            <w:top w:w="0" w:type="dxa"/>
                            <w:bottom w:w="0" w:type="dxa"/>
                          </w:tblCellMar>
                        </w:tblPrEx>
                        <w:trPr>
                          <w:trHeight w:hRule="exact" w:val="269"/>
                          <w:tblHeader/>
                        </w:trPr>
                        <w:tc>
                          <w:tcPr>
                            <w:tcW w:w="1469" w:type="dxa"/>
                            <w:shd w:val="clear" w:color="auto" w:fill="231F20"/>
                          </w:tcPr>
                          <w:p w14:paraId="1878EDD6" w14:textId="77777777" w:rsidR="00093A32" w:rsidRDefault="00093A32">
                            <w:pPr>
                              <w:rPr>
                                <w:sz w:val="10"/>
                                <w:szCs w:val="10"/>
                              </w:rPr>
                            </w:pPr>
                          </w:p>
                        </w:tc>
                        <w:tc>
                          <w:tcPr>
                            <w:tcW w:w="2611" w:type="dxa"/>
                            <w:gridSpan w:val="2"/>
                            <w:shd w:val="clear" w:color="auto" w:fill="231F20"/>
                            <w:vAlign w:val="bottom"/>
                          </w:tcPr>
                          <w:p w14:paraId="7248F0A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80"/>
                              <w:rPr>
                                <w:sz w:val="8"/>
                                <w:szCs w:val="8"/>
                              </w:rPr>
                            </w:pPr>
                            <w:r>
                              <w:rPr>
                                <w:rFonts w:ascii="Arial" w:eastAsia="Arial" w:hAnsi="Arial" w:cs="Arial"/>
                                <w:b/>
                                <w:bCs/>
                                <w:color w:val="FFFFFF"/>
                                <w:w w:val="70"/>
                                <w:sz w:val="24"/>
                                <w:szCs w:val="24"/>
                              </w:rPr>
                              <w:t>Clasificaciones clínicas</w:t>
                            </w:r>
                            <w:r>
                              <w:rPr>
                                <w:rFonts w:ascii="Times New Roman" w:eastAsia="Times New Roman" w:hAnsi="Times New Roman" w:cs="Times New Roman"/>
                                <w:color w:val="FFFFFF"/>
                                <w:sz w:val="8"/>
                                <w:szCs w:val="8"/>
                                <w:vertAlign w:val="superscript"/>
                              </w:rPr>
                              <w:t xml:space="preserve"> </w:t>
                            </w:r>
                          </w:p>
                        </w:tc>
                        <w:tc>
                          <w:tcPr>
                            <w:tcW w:w="1315" w:type="dxa"/>
                            <w:shd w:val="clear" w:color="auto" w:fill="231F20"/>
                          </w:tcPr>
                          <w:p w14:paraId="7344FC33" w14:textId="77777777" w:rsidR="00093A32" w:rsidRDefault="00093A32">
                            <w:pPr>
                              <w:rPr>
                                <w:sz w:val="10"/>
                                <w:szCs w:val="10"/>
                              </w:rPr>
                            </w:pPr>
                          </w:p>
                        </w:tc>
                        <w:tc>
                          <w:tcPr>
                            <w:tcW w:w="2784" w:type="dxa"/>
                            <w:tcBorders>
                              <w:top w:val="single" w:sz="4" w:space="0" w:color="auto"/>
                            </w:tcBorders>
                            <w:shd w:val="clear" w:color="auto" w:fill="231F20"/>
                            <w:vAlign w:val="bottom"/>
                          </w:tcPr>
                          <w:p w14:paraId="388C1FF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020" w:firstLine="0"/>
                              <w:rPr>
                                <w:sz w:val="24"/>
                                <w:szCs w:val="24"/>
                              </w:rPr>
                            </w:pPr>
                            <w:r>
                              <w:rPr>
                                <w:rFonts w:ascii="Arial" w:eastAsia="Arial" w:hAnsi="Arial" w:cs="Arial"/>
                                <w:b/>
                                <w:bCs/>
                                <w:color w:val="FFFFFF"/>
                                <w:w w:val="70"/>
                                <w:sz w:val="24"/>
                                <w:szCs w:val="24"/>
                              </w:rPr>
                              <w:t>menos de 12 meses</w:t>
                            </w:r>
                          </w:p>
                        </w:tc>
                        <w:tc>
                          <w:tcPr>
                            <w:tcW w:w="1368" w:type="dxa"/>
                            <w:gridSpan w:val="2"/>
                            <w:tcBorders>
                              <w:top w:val="single" w:sz="4" w:space="0" w:color="auto"/>
                            </w:tcBorders>
                            <w:shd w:val="clear" w:color="auto" w:fill="231F20"/>
                            <w:vAlign w:val="bottom"/>
                          </w:tcPr>
                          <w:p w14:paraId="72B264A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1 a 5 años</w:t>
                            </w:r>
                          </w:p>
                        </w:tc>
                        <w:tc>
                          <w:tcPr>
                            <w:tcW w:w="1344" w:type="dxa"/>
                            <w:tcBorders>
                              <w:top w:val="single" w:sz="4" w:space="0" w:color="auto"/>
                            </w:tcBorders>
                            <w:shd w:val="clear" w:color="auto" w:fill="231F20"/>
                            <w:vAlign w:val="bottom"/>
                          </w:tcPr>
                          <w:p w14:paraId="40CC170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24"/>
                                <w:szCs w:val="24"/>
                              </w:rPr>
                            </w:pPr>
                            <w:r>
                              <w:rPr>
                                <w:rFonts w:ascii="Arial" w:eastAsia="Arial" w:hAnsi="Arial" w:cs="Arial"/>
                                <w:b/>
                                <w:bCs/>
                                <w:color w:val="FFFFFF"/>
                                <w:w w:val="70"/>
                                <w:sz w:val="24"/>
                                <w:szCs w:val="24"/>
                              </w:rPr>
                              <w:t>6 a 12 años</w:t>
                            </w:r>
                          </w:p>
                        </w:tc>
                      </w:tr>
                      <w:tr w:rsidR="00093A32" w14:paraId="7FB5F36D" w14:textId="77777777">
                        <w:tblPrEx>
                          <w:tblCellMar>
                            <w:top w:w="0" w:type="dxa"/>
                            <w:bottom w:w="0" w:type="dxa"/>
                          </w:tblCellMar>
                        </w:tblPrEx>
                        <w:trPr>
                          <w:trHeight w:hRule="exact" w:val="254"/>
                        </w:trPr>
                        <w:tc>
                          <w:tcPr>
                            <w:tcW w:w="1469" w:type="dxa"/>
                            <w:tcBorders>
                              <w:top w:val="single" w:sz="4" w:space="0" w:color="auto"/>
                            </w:tcBorders>
                            <w:shd w:val="clear" w:color="auto" w:fill="231F20"/>
                            <w:vAlign w:val="bottom"/>
                          </w:tcPr>
                          <w:p w14:paraId="65D8F1A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Definiciones</w:t>
                            </w:r>
                          </w:p>
                        </w:tc>
                        <w:tc>
                          <w:tcPr>
                            <w:tcW w:w="1349" w:type="dxa"/>
                            <w:tcBorders>
                              <w:top w:val="single" w:sz="4" w:space="0" w:color="auto"/>
                            </w:tcBorders>
                            <w:shd w:val="clear" w:color="auto" w:fill="231F20"/>
                            <w:vAlign w:val="bottom"/>
                          </w:tcPr>
                          <w:p w14:paraId="4EBB866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N: No hay</w:t>
                            </w:r>
                          </w:p>
                        </w:tc>
                        <w:tc>
                          <w:tcPr>
                            <w:tcW w:w="1262" w:type="dxa"/>
                            <w:tcBorders>
                              <w:top w:val="single" w:sz="4" w:space="0" w:color="auto"/>
                            </w:tcBorders>
                            <w:shd w:val="clear" w:color="auto" w:fill="231F20"/>
                            <w:vAlign w:val="bottom"/>
                          </w:tcPr>
                          <w:p w14:paraId="0B1F3AF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A: Signos y</w:t>
                            </w:r>
                          </w:p>
                        </w:tc>
                        <w:tc>
                          <w:tcPr>
                            <w:tcW w:w="1315" w:type="dxa"/>
                            <w:tcBorders>
                              <w:top w:val="single" w:sz="4" w:space="0" w:color="auto"/>
                            </w:tcBorders>
                            <w:shd w:val="clear" w:color="auto" w:fill="231F20"/>
                            <w:vAlign w:val="bottom"/>
                          </w:tcPr>
                          <w:p w14:paraId="4825D5A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B: Signos</w:t>
                            </w:r>
                          </w:p>
                        </w:tc>
                        <w:tc>
                          <w:tcPr>
                            <w:tcW w:w="2784" w:type="dxa"/>
                            <w:tcBorders>
                              <w:top w:val="single" w:sz="4" w:space="0" w:color="auto"/>
                            </w:tcBorders>
                            <w:shd w:val="clear" w:color="auto" w:fill="231F20"/>
                            <w:vAlign w:val="bottom"/>
                          </w:tcPr>
                          <w:p w14:paraId="6E81F27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C: Signos</w:t>
                            </w:r>
                          </w:p>
                        </w:tc>
                        <w:tc>
                          <w:tcPr>
                            <w:tcW w:w="595" w:type="dxa"/>
                            <w:tcBorders>
                              <w:top w:val="single" w:sz="4" w:space="0" w:color="auto"/>
                            </w:tcBorders>
                            <w:shd w:val="clear" w:color="auto" w:fill="231F20"/>
                          </w:tcPr>
                          <w:p w14:paraId="0A3F5257" w14:textId="77777777" w:rsidR="00093A32" w:rsidRDefault="00093A32">
                            <w:pPr>
                              <w:rPr>
                                <w:sz w:val="10"/>
                                <w:szCs w:val="10"/>
                              </w:rPr>
                            </w:pPr>
                          </w:p>
                        </w:tc>
                        <w:tc>
                          <w:tcPr>
                            <w:tcW w:w="773" w:type="dxa"/>
                            <w:tcBorders>
                              <w:top w:val="single" w:sz="4" w:space="0" w:color="auto"/>
                            </w:tcBorders>
                            <w:shd w:val="clear" w:color="auto" w:fill="231F20"/>
                          </w:tcPr>
                          <w:p w14:paraId="3A46935F" w14:textId="77777777" w:rsidR="00093A32" w:rsidRDefault="00093A32">
                            <w:pPr>
                              <w:rPr>
                                <w:sz w:val="10"/>
                                <w:szCs w:val="10"/>
                              </w:rPr>
                            </w:pPr>
                          </w:p>
                        </w:tc>
                        <w:tc>
                          <w:tcPr>
                            <w:tcW w:w="1344" w:type="dxa"/>
                            <w:tcBorders>
                              <w:top w:val="single" w:sz="4" w:space="0" w:color="auto"/>
                            </w:tcBorders>
                            <w:shd w:val="clear" w:color="auto" w:fill="231F20"/>
                          </w:tcPr>
                          <w:p w14:paraId="40906D17" w14:textId="77777777" w:rsidR="00093A32" w:rsidRDefault="00093A32">
                            <w:pPr>
                              <w:rPr>
                                <w:sz w:val="10"/>
                                <w:szCs w:val="10"/>
                              </w:rPr>
                            </w:pPr>
                          </w:p>
                        </w:tc>
                      </w:tr>
                      <w:tr w:rsidR="00093A32" w14:paraId="5DC0FCA3" w14:textId="77777777">
                        <w:tblPrEx>
                          <w:tblCellMar>
                            <w:top w:w="0" w:type="dxa"/>
                            <w:bottom w:w="0" w:type="dxa"/>
                          </w:tblCellMar>
                        </w:tblPrEx>
                        <w:trPr>
                          <w:trHeight w:hRule="exact" w:val="240"/>
                        </w:trPr>
                        <w:tc>
                          <w:tcPr>
                            <w:tcW w:w="1469" w:type="dxa"/>
                            <w:shd w:val="clear" w:color="auto" w:fill="231F20"/>
                            <w:vAlign w:val="bottom"/>
                          </w:tcPr>
                          <w:p w14:paraId="0248A84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inmunológicas</w:t>
                            </w:r>
                          </w:p>
                        </w:tc>
                        <w:tc>
                          <w:tcPr>
                            <w:tcW w:w="1349" w:type="dxa"/>
                            <w:shd w:val="clear" w:color="auto" w:fill="231F20"/>
                            <w:vAlign w:val="bottom"/>
                          </w:tcPr>
                          <w:p w14:paraId="386C025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signos</w:t>
                            </w:r>
                          </w:p>
                        </w:tc>
                        <w:tc>
                          <w:tcPr>
                            <w:tcW w:w="1262" w:type="dxa"/>
                            <w:shd w:val="clear" w:color="auto" w:fill="231F20"/>
                            <w:vAlign w:val="bottom"/>
                          </w:tcPr>
                          <w:p w14:paraId="22A34C1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síntomas</w:t>
                            </w:r>
                          </w:p>
                        </w:tc>
                        <w:tc>
                          <w:tcPr>
                            <w:tcW w:w="1315" w:type="dxa"/>
                            <w:shd w:val="clear" w:color="auto" w:fill="231F20"/>
                            <w:vAlign w:val="bottom"/>
                          </w:tcPr>
                          <w:p w14:paraId="6DAB79A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y síntomas</w:t>
                            </w:r>
                          </w:p>
                        </w:tc>
                        <w:tc>
                          <w:tcPr>
                            <w:tcW w:w="2784" w:type="dxa"/>
                            <w:shd w:val="clear" w:color="auto" w:fill="231F20"/>
                            <w:vAlign w:val="bottom"/>
                          </w:tcPr>
                          <w:p w14:paraId="6665FCD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y síntomas</w:t>
                            </w:r>
                          </w:p>
                        </w:tc>
                        <w:tc>
                          <w:tcPr>
                            <w:tcW w:w="595" w:type="dxa"/>
                            <w:shd w:val="clear" w:color="auto" w:fill="231F20"/>
                          </w:tcPr>
                          <w:p w14:paraId="71A0A3FB" w14:textId="77777777" w:rsidR="00093A32" w:rsidRDefault="00093A32">
                            <w:pPr>
                              <w:rPr>
                                <w:sz w:val="10"/>
                                <w:szCs w:val="10"/>
                              </w:rPr>
                            </w:pPr>
                          </w:p>
                        </w:tc>
                        <w:tc>
                          <w:tcPr>
                            <w:tcW w:w="773" w:type="dxa"/>
                            <w:shd w:val="clear" w:color="auto" w:fill="231F20"/>
                          </w:tcPr>
                          <w:p w14:paraId="3ABFCE05" w14:textId="77777777" w:rsidR="00093A32" w:rsidRDefault="00093A32">
                            <w:pPr>
                              <w:rPr>
                                <w:sz w:val="10"/>
                                <w:szCs w:val="10"/>
                              </w:rPr>
                            </w:pPr>
                          </w:p>
                        </w:tc>
                        <w:tc>
                          <w:tcPr>
                            <w:tcW w:w="1344" w:type="dxa"/>
                            <w:shd w:val="clear" w:color="auto" w:fill="231F20"/>
                          </w:tcPr>
                          <w:p w14:paraId="6B4F56C7" w14:textId="77777777" w:rsidR="00093A32" w:rsidRDefault="00093A32">
                            <w:pPr>
                              <w:rPr>
                                <w:sz w:val="10"/>
                                <w:szCs w:val="10"/>
                              </w:rPr>
                            </w:pPr>
                          </w:p>
                        </w:tc>
                      </w:tr>
                      <w:tr w:rsidR="00093A32" w14:paraId="088964AD" w14:textId="77777777">
                        <w:tblPrEx>
                          <w:tblCellMar>
                            <w:top w:w="0" w:type="dxa"/>
                            <w:bottom w:w="0" w:type="dxa"/>
                          </w:tblCellMar>
                        </w:tblPrEx>
                        <w:trPr>
                          <w:trHeight w:hRule="exact" w:val="259"/>
                        </w:trPr>
                        <w:tc>
                          <w:tcPr>
                            <w:tcW w:w="1469" w:type="dxa"/>
                            <w:shd w:val="clear" w:color="auto" w:fill="231F20"/>
                          </w:tcPr>
                          <w:p w14:paraId="4FA8EC3B" w14:textId="77777777" w:rsidR="00093A32" w:rsidRDefault="00093A32">
                            <w:pPr>
                              <w:rPr>
                                <w:sz w:val="10"/>
                                <w:szCs w:val="10"/>
                              </w:rPr>
                            </w:pPr>
                          </w:p>
                        </w:tc>
                        <w:tc>
                          <w:tcPr>
                            <w:tcW w:w="1349" w:type="dxa"/>
                            <w:shd w:val="clear" w:color="auto" w:fill="231F20"/>
                          </w:tcPr>
                          <w:p w14:paraId="1E7B664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ni síntomas</w:t>
                            </w:r>
                          </w:p>
                        </w:tc>
                        <w:tc>
                          <w:tcPr>
                            <w:tcW w:w="1262" w:type="dxa"/>
                            <w:shd w:val="clear" w:color="auto" w:fill="231F20"/>
                          </w:tcPr>
                          <w:p w14:paraId="7F109420"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leves</w:t>
                            </w:r>
                          </w:p>
                        </w:tc>
                        <w:tc>
                          <w:tcPr>
                            <w:tcW w:w="1315" w:type="dxa"/>
                            <w:shd w:val="clear" w:color="auto" w:fill="231F20"/>
                          </w:tcPr>
                          <w:p w14:paraId="3A0F8F0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8"/>
                                <w:szCs w:val="8"/>
                              </w:rPr>
                            </w:pPr>
                            <w:r>
                              <w:rPr>
                                <w:rFonts w:ascii="Arial" w:eastAsia="Arial" w:hAnsi="Arial" w:cs="Arial"/>
                                <w:b/>
                                <w:bCs/>
                                <w:color w:val="FFFFFF"/>
                                <w:w w:val="70"/>
                                <w:sz w:val="24"/>
                                <w:szCs w:val="24"/>
                              </w:rPr>
                              <w:t>moderados</w:t>
                            </w:r>
                            <w:r>
                              <w:rPr>
                                <w:rFonts w:ascii="Times New Roman" w:eastAsia="Times New Roman" w:hAnsi="Times New Roman" w:cs="Times New Roman"/>
                                <w:color w:val="FFFFFF"/>
                                <w:sz w:val="8"/>
                                <w:szCs w:val="8"/>
                                <w:vertAlign w:val="superscript"/>
                              </w:rPr>
                              <w:t xml:space="preserve"> </w:t>
                            </w:r>
                          </w:p>
                        </w:tc>
                        <w:tc>
                          <w:tcPr>
                            <w:tcW w:w="2784" w:type="dxa"/>
                            <w:shd w:val="clear" w:color="auto" w:fill="231F20"/>
                          </w:tcPr>
                          <w:p w14:paraId="01EDEB1D"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tabs>
                                <w:tab w:val="left" w:pos="2113"/>
                              </w:tabs>
                              <w:spacing w:line="240" w:lineRule="auto"/>
                              <w:ind w:firstLine="140"/>
                              <w:rPr>
                                <w:sz w:val="24"/>
                                <w:szCs w:val="24"/>
                              </w:rPr>
                            </w:pPr>
                            <w:r>
                              <w:rPr>
                                <w:rFonts w:ascii="Arial" w:eastAsia="Arial" w:hAnsi="Arial" w:cs="Arial"/>
                                <w:b/>
                                <w:bCs/>
                                <w:color w:val="FFFFFF"/>
                                <w:w w:val="70"/>
                                <w:sz w:val="24"/>
                                <w:szCs w:val="24"/>
                              </w:rPr>
                              <w:t>intensos</w:t>
                            </w:r>
                            <w:r>
                              <w:rPr>
                                <w:rFonts w:ascii="Times New Roman" w:eastAsia="Times New Roman" w:hAnsi="Times New Roman" w:cs="Times New Roman"/>
                                <w:color w:val="FFFFFF"/>
                                <w:sz w:val="8"/>
                                <w:szCs w:val="8"/>
                                <w:vertAlign w:val="superscript"/>
                              </w:rPr>
                              <w:t>4</w:t>
                            </w:r>
                            <w:r>
                              <w:rPr>
                                <w:rFonts w:ascii="Times New Roman" w:eastAsia="Times New Roman" w:hAnsi="Times New Roman" w:cs="Times New Roman"/>
                                <w:color w:val="FFFFFF"/>
                                <w:sz w:val="8"/>
                                <w:szCs w:val="8"/>
                              </w:rPr>
                              <w:t xml:space="preserve"> </w:t>
                            </w:r>
                            <w:r>
                              <w:rPr>
                                <w:rFonts w:ascii="Arial" w:eastAsia="Arial" w:hAnsi="Arial" w:cs="Arial"/>
                                <w:b/>
                                <w:bCs/>
                                <w:color w:val="FFFFFF"/>
                                <w:w w:val="70"/>
                                <w:sz w:val="24"/>
                                <w:szCs w:val="24"/>
                              </w:rPr>
                              <w:t>pl</w:t>
                            </w:r>
                            <w:r>
                              <w:rPr>
                                <w:rFonts w:ascii="Arial" w:eastAsia="Arial" w:hAnsi="Arial" w:cs="Arial"/>
                                <w:b/>
                                <w:bCs/>
                                <w:color w:val="FFFFFF"/>
                                <w:w w:val="70"/>
                                <w:sz w:val="24"/>
                                <w:szCs w:val="24"/>
                              </w:rPr>
                              <w:tab/>
                              <w:t>%</w:t>
                            </w:r>
                          </w:p>
                        </w:tc>
                        <w:tc>
                          <w:tcPr>
                            <w:tcW w:w="595" w:type="dxa"/>
                            <w:shd w:val="clear" w:color="auto" w:fill="231F20"/>
                          </w:tcPr>
                          <w:p w14:paraId="1F61718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right="300" w:firstLine="0"/>
                              <w:jc w:val="right"/>
                              <w:rPr>
                                <w:sz w:val="24"/>
                                <w:szCs w:val="24"/>
                              </w:rPr>
                            </w:pPr>
                            <w:r>
                              <w:rPr>
                                <w:rFonts w:ascii="Arial" w:eastAsia="Arial" w:hAnsi="Arial" w:cs="Arial"/>
                                <w:b/>
                                <w:bCs/>
                                <w:color w:val="FFFFFF"/>
                                <w:w w:val="70"/>
                                <w:sz w:val="24"/>
                                <w:szCs w:val="24"/>
                              </w:rPr>
                              <w:t>pl</w:t>
                            </w:r>
                          </w:p>
                        </w:tc>
                        <w:tc>
                          <w:tcPr>
                            <w:tcW w:w="773" w:type="dxa"/>
                            <w:shd w:val="clear" w:color="auto" w:fill="231F20"/>
                          </w:tcPr>
                          <w:p w14:paraId="784D388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right="280" w:firstLine="0"/>
                              <w:jc w:val="right"/>
                              <w:rPr>
                                <w:sz w:val="24"/>
                                <w:szCs w:val="24"/>
                              </w:rPr>
                            </w:pPr>
                            <w:r>
                              <w:rPr>
                                <w:rFonts w:ascii="Arial" w:eastAsia="Arial" w:hAnsi="Arial" w:cs="Arial"/>
                                <w:b/>
                                <w:bCs/>
                                <w:color w:val="FFFFFF"/>
                                <w:w w:val="70"/>
                                <w:sz w:val="24"/>
                                <w:szCs w:val="24"/>
                              </w:rPr>
                              <w:t>%</w:t>
                            </w:r>
                          </w:p>
                        </w:tc>
                        <w:tc>
                          <w:tcPr>
                            <w:tcW w:w="1344" w:type="dxa"/>
                            <w:shd w:val="clear" w:color="auto" w:fill="231F20"/>
                          </w:tcPr>
                          <w:p w14:paraId="457DDCB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tabs>
                                <w:tab w:val="left" w:pos="986"/>
                              </w:tabs>
                              <w:spacing w:line="240" w:lineRule="auto"/>
                              <w:ind w:firstLine="280"/>
                              <w:rPr>
                                <w:sz w:val="24"/>
                                <w:szCs w:val="24"/>
                              </w:rPr>
                            </w:pPr>
                            <w:r>
                              <w:rPr>
                                <w:rFonts w:ascii="Arial" w:eastAsia="Arial" w:hAnsi="Arial" w:cs="Arial"/>
                                <w:b/>
                                <w:bCs/>
                                <w:color w:val="FFFFFF"/>
                                <w:w w:val="70"/>
                                <w:sz w:val="24"/>
                                <w:szCs w:val="24"/>
                              </w:rPr>
                              <w:t>pl</w:t>
                            </w:r>
                            <w:r>
                              <w:rPr>
                                <w:rFonts w:ascii="Arial" w:eastAsia="Arial" w:hAnsi="Arial" w:cs="Arial"/>
                                <w:b/>
                                <w:bCs/>
                                <w:color w:val="FFFFFF"/>
                                <w:w w:val="70"/>
                                <w:sz w:val="24"/>
                                <w:szCs w:val="24"/>
                              </w:rPr>
                              <w:tab/>
                              <w:t>%</w:t>
                            </w:r>
                          </w:p>
                        </w:tc>
                      </w:tr>
                    </w:tbl>
                    <w:p w14:paraId="19E7EE8E" w14:textId="77777777" w:rsidR="00093A32" w:rsidRDefault="00093A32">
                      <w:pPr>
                        <w:spacing w:line="1" w:lineRule="exact"/>
                      </w:pPr>
                    </w:p>
                  </w:txbxContent>
                </v:textbox>
                <w10:wrap type="topAndBottom" anchorx="page"/>
              </v:shape>
            </w:pict>
          </mc:Fallback>
        </mc:AlternateContent>
      </w:r>
      <w:r>
        <w:rPr>
          <w:noProof/>
        </w:rPr>
        <mc:AlternateContent>
          <mc:Choice Requires="wps">
            <w:drawing>
              <wp:anchor distT="88900" distB="38100" distL="114300" distR="114300" simplePos="0" relativeHeight="251672576" behindDoc="0" locked="0" layoutInCell="1" allowOverlap="1" wp14:anchorId="280274F0" wp14:editId="014CF22F">
                <wp:simplePos x="0" y="0"/>
                <wp:positionH relativeFrom="page">
                  <wp:posOffset>429895</wp:posOffset>
                </wp:positionH>
                <wp:positionV relativeFrom="paragraph">
                  <wp:posOffset>1347470</wp:posOffset>
                </wp:positionV>
                <wp:extent cx="6976745" cy="697865"/>
                <wp:effectExtent l="0" t="0" r="0" b="0"/>
                <wp:wrapTopAndBottom/>
                <wp:docPr id="1120" name="Shape 1120"/>
                <wp:cNvGraphicFramePr/>
                <a:graphic xmlns:a="http://schemas.openxmlformats.org/drawingml/2006/main">
                  <a:graphicData uri="http://schemas.microsoft.com/office/word/2010/wordprocessingShape">
                    <wps:wsp>
                      <wps:cNvSpPr txBox="1"/>
                      <wps:spPr>
                        <a:xfrm>
                          <a:off x="0" y="0"/>
                          <a:ext cx="6976745" cy="69786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37"/>
                              <w:gridCol w:w="782"/>
                              <w:gridCol w:w="1262"/>
                              <w:gridCol w:w="1310"/>
                              <w:gridCol w:w="1219"/>
                              <w:gridCol w:w="1262"/>
                              <w:gridCol w:w="653"/>
                              <w:gridCol w:w="869"/>
                              <w:gridCol w:w="662"/>
                              <w:gridCol w:w="816"/>
                              <w:gridCol w:w="514"/>
                            </w:tblGrid>
                            <w:tr w:rsidR="00093A32" w14:paraId="64DFDD6C" w14:textId="77777777">
                              <w:tblPrEx>
                                <w:tblCellMar>
                                  <w:top w:w="0" w:type="dxa"/>
                                  <w:bottom w:w="0" w:type="dxa"/>
                                </w:tblCellMar>
                              </w:tblPrEx>
                              <w:trPr>
                                <w:trHeight w:hRule="exact" w:val="442"/>
                                <w:tblHeader/>
                              </w:trPr>
                              <w:tc>
                                <w:tcPr>
                                  <w:tcW w:w="1637" w:type="dxa"/>
                                  <w:shd w:val="clear" w:color="auto" w:fill="FFFFFF"/>
                                  <w:vAlign w:val="bottom"/>
                                </w:tcPr>
                                <w:p w14:paraId="2A13CF76" w14:textId="77777777" w:rsidR="00093A32" w:rsidRDefault="00093A32">
                                  <w:pPr>
                                    <w:pStyle w:val="Other0"/>
                                    <w:spacing w:line="283" w:lineRule="auto"/>
                                    <w:ind w:right="420" w:firstLine="0"/>
                                    <w:jc w:val="right"/>
                                    <w:rPr>
                                      <w:sz w:val="16"/>
                                      <w:szCs w:val="16"/>
                                    </w:rPr>
                                  </w:pPr>
                                  <w:r>
                                    <w:rPr>
                                      <w:rFonts w:ascii="Times New Roman" w:eastAsia="Times New Roman" w:hAnsi="Times New Roman" w:cs="Times New Roman"/>
                                      <w:sz w:val="16"/>
                                      <w:szCs w:val="16"/>
                                    </w:rPr>
                                    <w:t>1: No hay signos de supresión</w:t>
                                  </w:r>
                                </w:p>
                              </w:tc>
                              <w:tc>
                                <w:tcPr>
                                  <w:tcW w:w="782" w:type="dxa"/>
                                  <w:shd w:val="clear" w:color="auto" w:fill="FFFFFF"/>
                                </w:tcPr>
                                <w:p w14:paraId="550AB99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N1</w:t>
                                  </w:r>
                                </w:p>
                              </w:tc>
                              <w:tc>
                                <w:tcPr>
                                  <w:tcW w:w="1262" w:type="dxa"/>
                                  <w:shd w:val="clear" w:color="auto" w:fill="FFFFFF"/>
                                </w:tcPr>
                                <w:p w14:paraId="177F640D"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A1</w:t>
                                  </w:r>
                                </w:p>
                              </w:tc>
                              <w:tc>
                                <w:tcPr>
                                  <w:tcW w:w="1310" w:type="dxa"/>
                                  <w:shd w:val="clear" w:color="auto" w:fill="FFFFFF"/>
                                </w:tcPr>
                                <w:p w14:paraId="0D2DFA0D"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B1</w:t>
                                  </w:r>
                                </w:p>
                              </w:tc>
                              <w:tc>
                                <w:tcPr>
                                  <w:tcW w:w="1219" w:type="dxa"/>
                                  <w:shd w:val="clear" w:color="auto" w:fill="FFFFFF"/>
                                </w:tcPr>
                                <w:p w14:paraId="37DE8875"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C1</w:t>
                                  </w:r>
                                </w:p>
                              </w:tc>
                              <w:tc>
                                <w:tcPr>
                                  <w:tcW w:w="1262" w:type="dxa"/>
                                  <w:shd w:val="clear" w:color="auto" w:fill="FFFFFF"/>
                                </w:tcPr>
                                <w:p w14:paraId="6F25D222" w14:textId="77777777" w:rsidR="00093A32" w:rsidRDefault="00093A32">
                                  <w:pPr>
                                    <w:pStyle w:val="Other0"/>
                                    <w:spacing w:line="240" w:lineRule="auto"/>
                                    <w:ind w:firstLine="46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1 500</w:t>
                                  </w:r>
                                </w:p>
                              </w:tc>
                              <w:tc>
                                <w:tcPr>
                                  <w:tcW w:w="653" w:type="dxa"/>
                                  <w:shd w:val="clear" w:color="auto" w:fill="FFFFFF"/>
                                </w:tcPr>
                                <w:p w14:paraId="18FB563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25</w:t>
                                  </w:r>
                                </w:p>
                              </w:tc>
                              <w:tc>
                                <w:tcPr>
                                  <w:tcW w:w="869" w:type="dxa"/>
                                  <w:shd w:val="clear" w:color="auto" w:fill="FFFFFF"/>
                                </w:tcPr>
                                <w:p w14:paraId="7D2668BE"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1 000</w:t>
                                  </w:r>
                                </w:p>
                              </w:tc>
                              <w:tc>
                                <w:tcPr>
                                  <w:tcW w:w="662" w:type="dxa"/>
                                  <w:shd w:val="clear" w:color="auto" w:fill="FFFFFF"/>
                                </w:tcPr>
                                <w:p w14:paraId="458D442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25</w:t>
                                  </w:r>
                                </w:p>
                              </w:tc>
                              <w:tc>
                                <w:tcPr>
                                  <w:tcW w:w="816" w:type="dxa"/>
                                  <w:shd w:val="clear" w:color="auto" w:fill="FFFFFF"/>
                                </w:tcPr>
                                <w:p w14:paraId="577C3AD9"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500</w:t>
                                  </w:r>
                                </w:p>
                              </w:tc>
                              <w:tc>
                                <w:tcPr>
                                  <w:tcW w:w="514" w:type="dxa"/>
                                  <w:shd w:val="clear" w:color="auto" w:fill="FFFFFF"/>
                                </w:tcPr>
                                <w:p w14:paraId="53EA76E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25</w:t>
                                  </w:r>
                                </w:p>
                              </w:tc>
                            </w:tr>
                            <w:tr w:rsidR="00093A32" w14:paraId="3BEBC6AB" w14:textId="77777777">
                              <w:tblPrEx>
                                <w:tblCellMar>
                                  <w:top w:w="0" w:type="dxa"/>
                                  <w:bottom w:w="0" w:type="dxa"/>
                                </w:tblCellMar>
                              </w:tblPrEx>
                              <w:trPr>
                                <w:trHeight w:hRule="exact" w:val="202"/>
                              </w:trPr>
                              <w:tc>
                                <w:tcPr>
                                  <w:tcW w:w="1637" w:type="dxa"/>
                                  <w:shd w:val="clear" w:color="auto" w:fill="FFFFFF"/>
                                </w:tcPr>
                                <w:p w14:paraId="7B3E54D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2: Signos de supresión</w:t>
                                  </w:r>
                                </w:p>
                              </w:tc>
                              <w:tc>
                                <w:tcPr>
                                  <w:tcW w:w="782" w:type="dxa"/>
                                  <w:shd w:val="clear" w:color="auto" w:fill="FFFFFF"/>
                                </w:tcPr>
                                <w:p w14:paraId="2149CFC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N2</w:t>
                                  </w:r>
                                </w:p>
                              </w:tc>
                              <w:tc>
                                <w:tcPr>
                                  <w:tcW w:w="1262" w:type="dxa"/>
                                  <w:shd w:val="clear" w:color="auto" w:fill="FFFFFF"/>
                                </w:tcPr>
                                <w:p w14:paraId="27B552D3"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A2</w:t>
                                  </w:r>
                                </w:p>
                              </w:tc>
                              <w:tc>
                                <w:tcPr>
                                  <w:tcW w:w="1310" w:type="dxa"/>
                                  <w:shd w:val="clear" w:color="auto" w:fill="FFFFFF"/>
                                </w:tcPr>
                                <w:p w14:paraId="72372557"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B2</w:t>
                                  </w:r>
                                </w:p>
                              </w:tc>
                              <w:tc>
                                <w:tcPr>
                                  <w:tcW w:w="1219" w:type="dxa"/>
                                  <w:shd w:val="clear" w:color="auto" w:fill="FFFFFF"/>
                                </w:tcPr>
                                <w:p w14:paraId="48A07FC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C2</w:t>
                                  </w:r>
                                </w:p>
                              </w:tc>
                              <w:tc>
                                <w:tcPr>
                                  <w:tcW w:w="1262" w:type="dxa"/>
                                  <w:shd w:val="clear" w:color="auto" w:fill="FFFFFF"/>
                                </w:tcPr>
                                <w:p w14:paraId="5051E069" w14:textId="77777777" w:rsidR="00093A32" w:rsidRDefault="00093A32">
                                  <w:pPr>
                                    <w:pStyle w:val="Other0"/>
                                    <w:spacing w:line="240" w:lineRule="auto"/>
                                    <w:ind w:firstLine="0"/>
                                    <w:jc w:val="right"/>
                                    <w:rPr>
                                      <w:sz w:val="16"/>
                                      <w:szCs w:val="16"/>
                                    </w:rPr>
                                  </w:pPr>
                                  <w:r>
                                    <w:rPr>
                                      <w:rFonts w:ascii="Times New Roman" w:eastAsia="Times New Roman" w:hAnsi="Times New Roman" w:cs="Times New Roman"/>
                                      <w:sz w:val="16"/>
                                      <w:szCs w:val="16"/>
                                    </w:rPr>
                                    <w:t>750-1 499</w:t>
                                  </w:r>
                                </w:p>
                              </w:tc>
                              <w:tc>
                                <w:tcPr>
                                  <w:tcW w:w="653" w:type="dxa"/>
                                  <w:shd w:val="clear" w:color="auto" w:fill="FFFFFF"/>
                                </w:tcPr>
                                <w:p w14:paraId="701AF90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15-24</w:t>
                                  </w:r>
                                </w:p>
                              </w:tc>
                              <w:tc>
                                <w:tcPr>
                                  <w:tcW w:w="869" w:type="dxa"/>
                                  <w:shd w:val="clear" w:color="auto" w:fill="FFFFFF"/>
                                </w:tcPr>
                                <w:p w14:paraId="55D170EA"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500-999</w:t>
                                  </w:r>
                                </w:p>
                              </w:tc>
                              <w:tc>
                                <w:tcPr>
                                  <w:tcW w:w="662" w:type="dxa"/>
                                  <w:shd w:val="clear" w:color="auto" w:fill="FFFFFF"/>
                                </w:tcPr>
                                <w:p w14:paraId="5EE5B15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15-24</w:t>
                                  </w:r>
                                </w:p>
                              </w:tc>
                              <w:tc>
                                <w:tcPr>
                                  <w:tcW w:w="816" w:type="dxa"/>
                                  <w:shd w:val="clear" w:color="auto" w:fill="FFFFFF"/>
                                </w:tcPr>
                                <w:p w14:paraId="2CD0A1B5"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200-499</w:t>
                                  </w:r>
                                </w:p>
                              </w:tc>
                              <w:tc>
                                <w:tcPr>
                                  <w:tcW w:w="514" w:type="dxa"/>
                                  <w:shd w:val="clear" w:color="auto" w:fill="FFFFFF"/>
                                </w:tcPr>
                                <w:p w14:paraId="5AD86D7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15-24</w:t>
                                  </w:r>
                                </w:p>
                              </w:tc>
                            </w:tr>
                            <w:tr w:rsidR="00093A32" w14:paraId="0BB3393A" w14:textId="77777777">
                              <w:tblPrEx>
                                <w:tblCellMar>
                                  <w:top w:w="0" w:type="dxa"/>
                                  <w:bottom w:w="0" w:type="dxa"/>
                                </w:tblCellMar>
                              </w:tblPrEx>
                              <w:trPr>
                                <w:trHeight w:hRule="exact" w:val="211"/>
                              </w:trPr>
                              <w:tc>
                                <w:tcPr>
                                  <w:tcW w:w="1637" w:type="dxa"/>
                                  <w:shd w:val="clear" w:color="auto" w:fill="FFFFFF"/>
                                </w:tcPr>
                                <w:p w14:paraId="5F316B8E"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moderada</w:t>
                                  </w:r>
                                </w:p>
                              </w:tc>
                              <w:tc>
                                <w:tcPr>
                                  <w:tcW w:w="782" w:type="dxa"/>
                                  <w:shd w:val="clear" w:color="auto" w:fill="FFFFFF"/>
                                </w:tcPr>
                                <w:p w14:paraId="05F813D6" w14:textId="77777777" w:rsidR="00093A32" w:rsidRDefault="00093A32">
                                  <w:pPr>
                                    <w:rPr>
                                      <w:sz w:val="10"/>
                                      <w:szCs w:val="10"/>
                                    </w:rPr>
                                  </w:pPr>
                                </w:p>
                              </w:tc>
                              <w:tc>
                                <w:tcPr>
                                  <w:tcW w:w="1262" w:type="dxa"/>
                                  <w:shd w:val="clear" w:color="auto" w:fill="FFFFFF"/>
                                </w:tcPr>
                                <w:p w14:paraId="191DA5C7" w14:textId="77777777" w:rsidR="00093A32" w:rsidRDefault="00093A32">
                                  <w:pPr>
                                    <w:rPr>
                                      <w:sz w:val="10"/>
                                      <w:szCs w:val="10"/>
                                    </w:rPr>
                                  </w:pPr>
                                </w:p>
                              </w:tc>
                              <w:tc>
                                <w:tcPr>
                                  <w:tcW w:w="1310" w:type="dxa"/>
                                  <w:shd w:val="clear" w:color="auto" w:fill="FFFFFF"/>
                                </w:tcPr>
                                <w:p w14:paraId="216D7D24" w14:textId="77777777" w:rsidR="00093A32" w:rsidRDefault="00093A32">
                                  <w:pPr>
                                    <w:rPr>
                                      <w:sz w:val="10"/>
                                      <w:szCs w:val="10"/>
                                    </w:rPr>
                                  </w:pPr>
                                </w:p>
                              </w:tc>
                              <w:tc>
                                <w:tcPr>
                                  <w:tcW w:w="1219" w:type="dxa"/>
                                  <w:shd w:val="clear" w:color="auto" w:fill="FFFFFF"/>
                                </w:tcPr>
                                <w:p w14:paraId="00668A40" w14:textId="77777777" w:rsidR="00093A32" w:rsidRDefault="00093A32">
                                  <w:pPr>
                                    <w:rPr>
                                      <w:sz w:val="10"/>
                                      <w:szCs w:val="10"/>
                                    </w:rPr>
                                  </w:pPr>
                                </w:p>
                              </w:tc>
                              <w:tc>
                                <w:tcPr>
                                  <w:tcW w:w="1262" w:type="dxa"/>
                                  <w:shd w:val="clear" w:color="auto" w:fill="FFFFFF"/>
                                </w:tcPr>
                                <w:p w14:paraId="78D26741" w14:textId="77777777" w:rsidR="00093A32" w:rsidRDefault="00093A32">
                                  <w:pPr>
                                    <w:rPr>
                                      <w:sz w:val="10"/>
                                      <w:szCs w:val="10"/>
                                    </w:rPr>
                                  </w:pPr>
                                </w:p>
                              </w:tc>
                              <w:tc>
                                <w:tcPr>
                                  <w:tcW w:w="653" w:type="dxa"/>
                                  <w:shd w:val="clear" w:color="auto" w:fill="FFFFFF"/>
                                </w:tcPr>
                                <w:p w14:paraId="3AD016AF" w14:textId="77777777" w:rsidR="00093A32" w:rsidRDefault="00093A32">
                                  <w:pPr>
                                    <w:rPr>
                                      <w:sz w:val="10"/>
                                      <w:szCs w:val="10"/>
                                    </w:rPr>
                                  </w:pPr>
                                </w:p>
                              </w:tc>
                              <w:tc>
                                <w:tcPr>
                                  <w:tcW w:w="869" w:type="dxa"/>
                                  <w:shd w:val="clear" w:color="auto" w:fill="FFFFFF"/>
                                </w:tcPr>
                                <w:p w14:paraId="5C03195B" w14:textId="77777777" w:rsidR="00093A32" w:rsidRDefault="00093A32">
                                  <w:pPr>
                                    <w:rPr>
                                      <w:sz w:val="10"/>
                                      <w:szCs w:val="10"/>
                                    </w:rPr>
                                  </w:pPr>
                                </w:p>
                              </w:tc>
                              <w:tc>
                                <w:tcPr>
                                  <w:tcW w:w="662" w:type="dxa"/>
                                  <w:shd w:val="clear" w:color="auto" w:fill="FFFFFF"/>
                                </w:tcPr>
                                <w:p w14:paraId="7DF09378" w14:textId="77777777" w:rsidR="00093A32" w:rsidRDefault="00093A32">
                                  <w:pPr>
                                    <w:rPr>
                                      <w:sz w:val="10"/>
                                      <w:szCs w:val="10"/>
                                    </w:rPr>
                                  </w:pPr>
                                </w:p>
                              </w:tc>
                              <w:tc>
                                <w:tcPr>
                                  <w:tcW w:w="816" w:type="dxa"/>
                                  <w:shd w:val="clear" w:color="auto" w:fill="FFFFFF"/>
                                </w:tcPr>
                                <w:p w14:paraId="11565384" w14:textId="77777777" w:rsidR="00093A32" w:rsidRDefault="00093A32">
                                  <w:pPr>
                                    <w:rPr>
                                      <w:sz w:val="10"/>
                                      <w:szCs w:val="10"/>
                                    </w:rPr>
                                  </w:pPr>
                                </w:p>
                              </w:tc>
                              <w:tc>
                                <w:tcPr>
                                  <w:tcW w:w="514" w:type="dxa"/>
                                  <w:shd w:val="clear" w:color="auto" w:fill="FFFFFF"/>
                                </w:tcPr>
                                <w:p w14:paraId="37CE983D" w14:textId="77777777" w:rsidR="00093A32" w:rsidRDefault="00093A32">
                                  <w:pPr>
                                    <w:rPr>
                                      <w:sz w:val="10"/>
                                      <w:szCs w:val="10"/>
                                    </w:rPr>
                                  </w:pPr>
                                </w:p>
                              </w:tc>
                            </w:tr>
                            <w:tr w:rsidR="00093A32" w14:paraId="46FB394D" w14:textId="77777777">
                              <w:tblPrEx>
                                <w:tblCellMar>
                                  <w:top w:w="0" w:type="dxa"/>
                                  <w:bottom w:w="0" w:type="dxa"/>
                                </w:tblCellMar>
                              </w:tblPrEx>
                              <w:trPr>
                                <w:trHeight w:hRule="exact" w:val="245"/>
                              </w:trPr>
                              <w:tc>
                                <w:tcPr>
                                  <w:tcW w:w="1637" w:type="dxa"/>
                                  <w:tcBorders>
                                    <w:bottom w:val="single" w:sz="4" w:space="0" w:color="auto"/>
                                  </w:tcBorders>
                                  <w:shd w:val="clear" w:color="auto" w:fill="FFFFFF"/>
                                </w:tcPr>
                                <w:p w14:paraId="75A70A1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3: Supresión intensa</w:t>
                                  </w:r>
                                </w:p>
                              </w:tc>
                              <w:tc>
                                <w:tcPr>
                                  <w:tcW w:w="782" w:type="dxa"/>
                                  <w:tcBorders>
                                    <w:bottom w:val="single" w:sz="4" w:space="0" w:color="auto"/>
                                  </w:tcBorders>
                                  <w:shd w:val="clear" w:color="auto" w:fill="FFFFFF"/>
                                </w:tcPr>
                                <w:p w14:paraId="243BBC2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N3</w:t>
                                  </w:r>
                                </w:p>
                              </w:tc>
                              <w:tc>
                                <w:tcPr>
                                  <w:tcW w:w="1262" w:type="dxa"/>
                                  <w:tcBorders>
                                    <w:bottom w:val="single" w:sz="4" w:space="0" w:color="auto"/>
                                  </w:tcBorders>
                                  <w:shd w:val="clear" w:color="auto" w:fill="FFFFFF"/>
                                </w:tcPr>
                                <w:p w14:paraId="22AEC252"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A3</w:t>
                                  </w:r>
                                </w:p>
                              </w:tc>
                              <w:tc>
                                <w:tcPr>
                                  <w:tcW w:w="1310" w:type="dxa"/>
                                  <w:tcBorders>
                                    <w:bottom w:val="single" w:sz="4" w:space="0" w:color="auto"/>
                                  </w:tcBorders>
                                  <w:shd w:val="clear" w:color="auto" w:fill="FFFFFF"/>
                                </w:tcPr>
                                <w:p w14:paraId="2561919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B3</w:t>
                                  </w:r>
                                </w:p>
                              </w:tc>
                              <w:tc>
                                <w:tcPr>
                                  <w:tcW w:w="1219" w:type="dxa"/>
                                  <w:tcBorders>
                                    <w:bottom w:val="single" w:sz="4" w:space="0" w:color="auto"/>
                                  </w:tcBorders>
                                  <w:shd w:val="clear" w:color="auto" w:fill="FFFFFF"/>
                                </w:tcPr>
                                <w:p w14:paraId="2B1A2FFC"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C3</w:t>
                                  </w:r>
                                </w:p>
                              </w:tc>
                              <w:tc>
                                <w:tcPr>
                                  <w:tcW w:w="1262" w:type="dxa"/>
                                  <w:tcBorders>
                                    <w:bottom w:val="single" w:sz="4" w:space="0" w:color="auto"/>
                                  </w:tcBorders>
                                  <w:shd w:val="clear" w:color="auto" w:fill="FFFFFF"/>
                                </w:tcPr>
                                <w:p w14:paraId="26AF94E4" w14:textId="77777777" w:rsidR="00093A32" w:rsidRDefault="00093A32">
                                  <w:pPr>
                                    <w:pStyle w:val="Other0"/>
                                    <w:spacing w:line="240" w:lineRule="auto"/>
                                    <w:ind w:firstLine="460"/>
                                    <w:rPr>
                                      <w:sz w:val="16"/>
                                      <w:szCs w:val="16"/>
                                    </w:rPr>
                                  </w:pPr>
                                  <w:r>
                                    <w:rPr>
                                      <w:rFonts w:ascii="Times New Roman" w:eastAsia="Times New Roman" w:hAnsi="Times New Roman" w:cs="Times New Roman"/>
                                      <w:sz w:val="16"/>
                                      <w:szCs w:val="16"/>
                                    </w:rPr>
                                    <w:t>&lt;750</w:t>
                                  </w:r>
                                </w:p>
                              </w:tc>
                              <w:tc>
                                <w:tcPr>
                                  <w:tcW w:w="653" w:type="dxa"/>
                                  <w:tcBorders>
                                    <w:bottom w:val="single" w:sz="4" w:space="0" w:color="auto"/>
                                  </w:tcBorders>
                                  <w:shd w:val="clear" w:color="auto" w:fill="FFFFFF"/>
                                </w:tcPr>
                                <w:p w14:paraId="38EFA71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&lt;15</w:t>
                                  </w:r>
                                </w:p>
                              </w:tc>
                              <w:tc>
                                <w:tcPr>
                                  <w:tcW w:w="869" w:type="dxa"/>
                                  <w:tcBorders>
                                    <w:bottom w:val="single" w:sz="4" w:space="0" w:color="auto"/>
                                  </w:tcBorders>
                                  <w:shd w:val="clear" w:color="auto" w:fill="FFFFFF"/>
                                </w:tcPr>
                                <w:p w14:paraId="5CEA53BB"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&lt;500</w:t>
                                  </w:r>
                                </w:p>
                              </w:tc>
                              <w:tc>
                                <w:tcPr>
                                  <w:tcW w:w="662" w:type="dxa"/>
                                  <w:tcBorders>
                                    <w:bottom w:val="single" w:sz="4" w:space="0" w:color="auto"/>
                                  </w:tcBorders>
                                  <w:shd w:val="clear" w:color="auto" w:fill="FFFFFF"/>
                                </w:tcPr>
                                <w:p w14:paraId="249B0B1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&lt;15</w:t>
                                  </w:r>
                                </w:p>
                              </w:tc>
                              <w:tc>
                                <w:tcPr>
                                  <w:tcW w:w="816" w:type="dxa"/>
                                  <w:tcBorders>
                                    <w:bottom w:val="single" w:sz="4" w:space="0" w:color="auto"/>
                                  </w:tcBorders>
                                  <w:shd w:val="clear" w:color="auto" w:fill="FFFFFF"/>
                                </w:tcPr>
                                <w:p w14:paraId="6B066419"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&lt;200</w:t>
                                  </w:r>
                                </w:p>
                              </w:tc>
                              <w:tc>
                                <w:tcPr>
                                  <w:tcW w:w="514" w:type="dxa"/>
                                  <w:tcBorders>
                                    <w:bottom w:val="single" w:sz="4" w:space="0" w:color="auto"/>
                                  </w:tcBorders>
                                  <w:shd w:val="clear" w:color="auto" w:fill="FFFFFF"/>
                                </w:tcPr>
                                <w:p w14:paraId="6F3B09F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&lt;15</w:t>
                                  </w:r>
                                </w:p>
                              </w:tc>
                            </w:tr>
                          </w:tbl>
                          <w:p w14:paraId="2ED22BB2" w14:textId="77777777" w:rsidR="00093A32" w:rsidRDefault="00093A32">
                            <w:pPr>
                              <w:spacing w:line="1" w:lineRule="exact"/>
                            </w:pPr>
                          </w:p>
                        </w:txbxContent>
                      </wps:txbx>
                      <wps:bodyPr lIns="0" tIns="0" rIns="0" bIns="0"/>
                    </wps:wsp>
                  </a:graphicData>
                </a:graphic>
              </wp:anchor>
            </w:drawing>
          </mc:Choice>
          <mc:Fallback>
            <w:pict>
              <v:shape w14:anchorId="280274F0" id="Shape 1120" o:spid="_x0000_s1039" type="#_x0000_t202" style="position:absolute;margin-left:33.85pt;margin-top:106.1pt;width:549.35pt;height:54.95pt;z-index:251672576;visibility:visible;mso-wrap-style:square;mso-wrap-distance-left:9pt;mso-wrap-distance-top:7pt;mso-wrap-distance-right:9pt;mso-wrap-distance-bottom: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37"/>
                        <w:gridCol w:w="782"/>
                        <w:gridCol w:w="1262"/>
                        <w:gridCol w:w="1310"/>
                        <w:gridCol w:w="1219"/>
                        <w:gridCol w:w="1262"/>
                        <w:gridCol w:w="653"/>
                        <w:gridCol w:w="869"/>
                        <w:gridCol w:w="662"/>
                        <w:gridCol w:w="816"/>
                        <w:gridCol w:w="514"/>
                      </w:tblGrid>
                      <w:tr w:rsidR="00093A32" w14:paraId="64DFDD6C" w14:textId="77777777">
                        <w:tblPrEx>
                          <w:tblCellMar>
                            <w:top w:w="0" w:type="dxa"/>
                            <w:bottom w:w="0" w:type="dxa"/>
                          </w:tblCellMar>
                        </w:tblPrEx>
                        <w:trPr>
                          <w:trHeight w:hRule="exact" w:val="442"/>
                          <w:tblHeader/>
                        </w:trPr>
                        <w:tc>
                          <w:tcPr>
                            <w:tcW w:w="1637" w:type="dxa"/>
                            <w:shd w:val="clear" w:color="auto" w:fill="FFFFFF"/>
                            <w:vAlign w:val="bottom"/>
                          </w:tcPr>
                          <w:p w14:paraId="2A13CF76" w14:textId="77777777" w:rsidR="00093A32" w:rsidRDefault="00093A32">
                            <w:pPr>
                              <w:pStyle w:val="Other0"/>
                              <w:spacing w:line="283" w:lineRule="auto"/>
                              <w:ind w:right="420" w:firstLine="0"/>
                              <w:jc w:val="right"/>
                              <w:rPr>
                                <w:sz w:val="16"/>
                                <w:szCs w:val="16"/>
                              </w:rPr>
                            </w:pPr>
                            <w:r>
                              <w:rPr>
                                <w:rFonts w:ascii="Times New Roman" w:eastAsia="Times New Roman" w:hAnsi="Times New Roman" w:cs="Times New Roman"/>
                                <w:sz w:val="16"/>
                                <w:szCs w:val="16"/>
                              </w:rPr>
                              <w:t>1: No hay signos de supresión</w:t>
                            </w:r>
                          </w:p>
                        </w:tc>
                        <w:tc>
                          <w:tcPr>
                            <w:tcW w:w="782" w:type="dxa"/>
                            <w:shd w:val="clear" w:color="auto" w:fill="FFFFFF"/>
                          </w:tcPr>
                          <w:p w14:paraId="550AB99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N1</w:t>
                            </w:r>
                          </w:p>
                        </w:tc>
                        <w:tc>
                          <w:tcPr>
                            <w:tcW w:w="1262" w:type="dxa"/>
                            <w:shd w:val="clear" w:color="auto" w:fill="FFFFFF"/>
                          </w:tcPr>
                          <w:p w14:paraId="177F640D"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A1</w:t>
                            </w:r>
                          </w:p>
                        </w:tc>
                        <w:tc>
                          <w:tcPr>
                            <w:tcW w:w="1310" w:type="dxa"/>
                            <w:shd w:val="clear" w:color="auto" w:fill="FFFFFF"/>
                          </w:tcPr>
                          <w:p w14:paraId="0D2DFA0D"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B1</w:t>
                            </w:r>
                          </w:p>
                        </w:tc>
                        <w:tc>
                          <w:tcPr>
                            <w:tcW w:w="1219" w:type="dxa"/>
                            <w:shd w:val="clear" w:color="auto" w:fill="FFFFFF"/>
                          </w:tcPr>
                          <w:p w14:paraId="37DE8875"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C1</w:t>
                            </w:r>
                          </w:p>
                        </w:tc>
                        <w:tc>
                          <w:tcPr>
                            <w:tcW w:w="1262" w:type="dxa"/>
                            <w:shd w:val="clear" w:color="auto" w:fill="FFFFFF"/>
                          </w:tcPr>
                          <w:p w14:paraId="6F25D222" w14:textId="77777777" w:rsidR="00093A32" w:rsidRDefault="00093A32">
                            <w:pPr>
                              <w:pStyle w:val="Other0"/>
                              <w:spacing w:line="240" w:lineRule="auto"/>
                              <w:ind w:firstLine="46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1 500</w:t>
                            </w:r>
                          </w:p>
                        </w:tc>
                        <w:tc>
                          <w:tcPr>
                            <w:tcW w:w="653" w:type="dxa"/>
                            <w:shd w:val="clear" w:color="auto" w:fill="FFFFFF"/>
                          </w:tcPr>
                          <w:p w14:paraId="18FB563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25</w:t>
                            </w:r>
                          </w:p>
                        </w:tc>
                        <w:tc>
                          <w:tcPr>
                            <w:tcW w:w="869" w:type="dxa"/>
                            <w:shd w:val="clear" w:color="auto" w:fill="FFFFFF"/>
                          </w:tcPr>
                          <w:p w14:paraId="7D2668BE"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1 000</w:t>
                            </w:r>
                          </w:p>
                        </w:tc>
                        <w:tc>
                          <w:tcPr>
                            <w:tcW w:w="662" w:type="dxa"/>
                            <w:shd w:val="clear" w:color="auto" w:fill="FFFFFF"/>
                          </w:tcPr>
                          <w:p w14:paraId="458D442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25</w:t>
                            </w:r>
                          </w:p>
                        </w:tc>
                        <w:tc>
                          <w:tcPr>
                            <w:tcW w:w="816" w:type="dxa"/>
                            <w:shd w:val="clear" w:color="auto" w:fill="FFFFFF"/>
                          </w:tcPr>
                          <w:p w14:paraId="577C3AD9"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500</w:t>
                            </w:r>
                          </w:p>
                        </w:tc>
                        <w:tc>
                          <w:tcPr>
                            <w:tcW w:w="514" w:type="dxa"/>
                            <w:shd w:val="clear" w:color="auto" w:fill="FFFFFF"/>
                          </w:tcPr>
                          <w:p w14:paraId="53EA76E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25</w:t>
                            </w:r>
                          </w:p>
                        </w:tc>
                      </w:tr>
                      <w:tr w:rsidR="00093A32" w14:paraId="3BEBC6AB" w14:textId="77777777">
                        <w:tblPrEx>
                          <w:tblCellMar>
                            <w:top w:w="0" w:type="dxa"/>
                            <w:bottom w:w="0" w:type="dxa"/>
                          </w:tblCellMar>
                        </w:tblPrEx>
                        <w:trPr>
                          <w:trHeight w:hRule="exact" w:val="202"/>
                        </w:trPr>
                        <w:tc>
                          <w:tcPr>
                            <w:tcW w:w="1637" w:type="dxa"/>
                            <w:shd w:val="clear" w:color="auto" w:fill="FFFFFF"/>
                          </w:tcPr>
                          <w:p w14:paraId="7B3E54D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2: Signos de supresión</w:t>
                            </w:r>
                          </w:p>
                        </w:tc>
                        <w:tc>
                          <w:tcPr>
                            <w:tcW w:w="782" w:type="dxa"/>
                            <w:shd w:val="clear" w:color="auto" w:fill="FFFFFF"/>
                          </w:tcPr>
                          <w:p w14:paraId="2149CFCB"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N2</w:t>
                            </w:r>
                          </w:p>
                        </w:tc>
                        <w:tc>
                          <w:tcPr>
                            <w:tcW w:w="1262" w:type="dxa"/>
                            <w:shd w:val="clear" w:color="auto" w:fill="FFFFFF"/>
                          </w:tcPr>
                          <w:p w14:paraId="27B552D3"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A2</w:t>
                            </w:r>
                          </w:p>
                        </w:tc>
                        <w:tc>
                          <w:tcPr>
                            <w:tcW w:w="1310" w:type="dxa"/>
                            <w:shd w:val="clear" w:color="auto" w:fill="FFFFFF"/>
                          </w:tcPr>
                          <w:p w14:paraId="72372557"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B2</w:t>
                            </w:r>
                          </w:p>
                        </w:tc>
                        <w:tc>
                          <w:tcPr>
                            <w:tcW w:w="1219" w:type="dxa"/>
                            <w:shd w:val="clear" w:color="auto" w:fill="FFFFFF"/>
                          </w:tcPr>
                          <w:p w14:paraId="48A07FC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C2</w:t>
                            </w:r>
                          </w:p>
                        </w:tc>
                        <w:tc>
                          <w:tcPr>
                            <w:tcW w:w="1262" w:type="dxa"/>
                            <w:shd w:val="clear" w:color="auto" w:fill="FFFFFF"/>
                          </w:tcPr>
                          <w:p w14:paraId="5051E069" w14:textId="77777777" w:rsidR="00093A32" w:rsidRDefault="00093A32">
                            <w:pPr>
                              <w:pStyle w:val="Other0"/>
                              <w:spacing w:line="240" w:lineRule="auto"/>
                              <w:ind w:firstLine="0"/>
                              <w:jc w:val="right"/>
                              <w:rPr>
                                <w:sz w:val="16"/>
                                <w:szCs w:val="16"/>
                              </w:rPr>
                            </w:pPr>
                            <w:r>
                              <w:rPr>
                                <w:rFonts w:ascii="Times New Roman" w:eastAsia="Times New Roman" w:hAnsi="Times New Roman" w:cs="Times New Roman"/>
                                <w:sz w:val="16"/>
                                <w:szCs w:val="16"/>
                              </w:rPr>
                              <w:t>750-1 499</w:t>
                            </w:r>
                          </w:p>
                        </w:tc>
                        <w:tc>
                          <w:tcPr>
                            <w:tcW w:w="653" w:type="dxa"/>
                            <w:shd w:val="clear" w:color="auto" w:fill="FFFFFF"/>
                          </w:tcPr>
                          <w:p w14:paraId="701AF90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15-24</w:t>
                            </w:r>
                          </w:p>
                        </w:tc>
                        <w:tc>
                          <w:tcPr>
                            <w:tcW w:w="869" w:type="dxa"/>
                            <w:shd w:val="clear" w:color="auto" w:fill="FFFFFF"/>
                          </w:tcPr>
                          <w:p w14:paraId="55D170EA"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500-999</w:t>
                            </w:r>
                          </w:p>
                        </w:tc>
                        <w:tc>
                          <w:tcPr>
                            <w:tcW w:w="662" w:type="dxa"/>
                            <w:shd w:val="clear" w:color="auto" w:fill="FFFFFF"/>
                          </w:tcPr>
                          <w:p w14:paraId="5EE5B15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15-24</w:t>
                            </w:r>
                          </w:p>
                        </w:tc>
                        <w:tc>
                          <w:tcPr>
                            <w:tcW w:w="816" w:type="dxa"/>
                            <w:shd w:val="clear" w:color="auto" w:fill="FFFFFF"/>
                          </w:tcPr>
                          <w:p w14:paraId="2CD0A1B5"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200-499</w:t>
                            </w:r>
                          </w:p>
                        </w:tc>
                        <w:tc>
                          <w:tcPr>
                            <w:tcW w:w="514" w:type="dxa"/>
                            <w:shd w:val="clear" w:color="auto" w:fill="FFFFFF"/>
                          </w:tcPr>
                          <w:p w14:paraId="5AD86D7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15-24</w:t>
                            </w:r>
                          </w:p>
                        </w:tc>
                      </w:tr>
                      <w:tr w:rsidR="00093A32" w14:paraId="0BB3393A" w14:textId="77777777">
                        <w:tblPrEx>
                          <w:tblCellMar>
                            <w:top w:w="0" w:type="dxa"/>
                            <w:bottom w:w="0" w:type="dxa"/>
                          </w:tblCellMar>
                        </w:tblPrEx>
                        <w:trPr>
                          <w:trHeight w:hRule="exact" w:val="211"/>
                        </w:trPr>
                        <w:tc>
                          <w:tcPr>
                            <w:tcW w:w="1637" w:type="dxa"/>
                            <w:shd w:val="clear" w:color="auto" w:fill="FFFFFF"/>
                          </w:tcPr>
                          <w:p w14:paraId="5F316B8E" w14:textId="77777777" w:rsidR="00093A32" w:rsidRDefault="00093A32">
                            <w:pPr>
                              <w:pStyle w:val="Other0"/>
                              <w:spacing w:line="240" w:lineRule="auto"/>
                              <w:ind w:firstLine="300"/>
                              <w:rPr>
                                <w:sz w:val="16"/>
                                <w:szCs w:val="16"/>
                              </w:rPr>
                            </w:pPr>
                            <w:r>
                              <w:rPr>
                                <w:rFonts w:ascii="Times New Roman" w:eastAsia="Times New Roman" w:hAnsi="Times New Roman" w:cs="Times New Roman"/>
                                <w:sz w:val="16"/>
                                <w:szCs w:val="16"/>
                              </w:rPr>
                              <w:t>moderada</w:t>
                            </w:r>
                          </w:p>
                        </w:tc>
                        <w:tc>
                          <w:tcPr>
                            <w:tcW w:w="782" w:type="dxa"/>
                            <w:shd w:val="clear" w:color="auto" w:fill="FFFFFF"/>
                          </w:tcPr>
                          <w:p w14:paraId="05F813D6" w14:textId="77777777" w:rsidR="00093A32" w:rsidRDefault="00093A32">
                            <w:pPr>
                              <w:rPr>
                                <w:sz w:val="10"/>
                                <w:szCs w:val="10"/>
                              </w:rPr>
                            </w:pPr>
                          </w:p>
                        </w:tc>
                        <w:tc>
                          <w:tcPr>
                            <w:tcW w:w="1262" w:type="dxa"/>
                            <w:shd w:val="clear" w:color="auto" w:fill="FFFFFF"/>
                          </w:tcPr>
                          <w:p w14:paraId="191DA5C7" w14:textId="77777777" w:rsidR="00093A32" w:rsidRDefault="00093A32">
                            <w:pPr>
                              <w:rPr>
                                <w:sz w:val="10"/>
                                <w:szCs w:val="10"/>
                              </w:rPr>
                            </w:pPr>
                          </w:p>
                        </w:tc>
                        <w:tc>
                          <w:tcPr>
                            <w:tcW w:w="1310" w:type="dxa"/>
                            <w:shd w:val="clear" w:color="auto" w:fill="FFFFFF"/>
                          </w:tcPr>
                          <w:p w14:paraId="216D7D24" w14:textId="77777777" w:rsidR="00093A32" w:rsidRDefault="00093A32">
                            <w:pPr>
                              <w:rPr>
                                <w:sz w:val="10"/>
                                <w:szCs w:val="10"/>
                              </w:rPr>
                            </w:pPr>
                          </w:p>
                        </w:tc>
                        <w:tc>
                          <w:tcPr>
                            <w:tcW w:w="1219" w:type="dxa"/>
                            <w:shd w:val="clear" w:color="auto" w:fill="FFFFFF"/>
                          </w:tcPr>
                          <w:p w14:paraId="00668A40" w14:textId="77777777" w:rsidR="00093A32" w:rsidRDefault="00093A32">
                            <w:pPr>
                              <w:rPr>
                                <w:sz w:val="10"/>
                                <w:szCs w:val="10"/>
                              </w:rPr>
                            </w:pPr>
                          </w:p>
                        </w:tc>
                        <w:tc>
                          <w:tcPr>
                            <w:tcW w:w="1262" w:type="dxa"/>
                            <w:shd w:val="clear" w:color="auto" w:fill="FFFFFF"/>
                          </w:tcPr>
                          <w:p w14:paraId="78D26741" w14:textId="77777777" w:rsidR="00093A32" w:rsidRDefault="00093A32">
                            <w:pPr>
                              <w:rPr>
                                <w:sz w:val="10"/>
                                <w:szCs w:val="10"/>
                              </w:rPr>
                            </w:pPr>
                          </w:p>
                        </w:tc>
                        <w:tc>
                          <w:tcPr>
                            <w:tcW w:w="653" w:type="dxa"/>
                            <w:shd w:val="clear" w:color="auto" w:fill="FFFFFF"/>
                          </w:tcPr>
                          <w:p w14:paraId="3AD016AF" w14:textId="77777777" w:rsidR="00093A32" w:rsidRDefault="00093A32">
                            <w:pPr>
                              <w:rPr>
                                <w:sz w:val="10"/>
                                <w:szCs w:val="10"/>
                              </w:rPr>
                            </w:pPr>
                          </w:p>
                        </w:tc>
                        <w:tc>
                          <w:tcPr>
                            <w:tcW w:w="869" w:type="dxa"/>
                            <w:shd w:val="clear" w:color="auto" w:fill="FFFFFF"/>
                          </w:tcPr>
                          <w:p w14:paraId="5C03195B" w14:textId="77777777" w:rsidR="00093A32" w:rsidRDefault="00093A32">
                            <w:pPr>
                              <w:rPr>
                                <w:sz w:val="10"/>
                                <w:szCs w:val="10"/>
                              </w:rPr>
                            </w:pPr>
                          </w:p>
                        </w:tc>
                        <w:tc>
                          <w:tcPr>
                            <w:tcW w:w="662" w:type="dxa"/>
                            <w:shd w:val="clear" w:color="auto" w:fill="FFFFFF"/>
                          </w:tcPr>
                          <w:p w14:paraId="7DF09378" w14:textId="77777777" w:rsidR="00093A32" w:rsidRDefault="00093A32">
                            <w:pPr>
                              <w:rPr>
                                <w:sz w:val="10"/>
                                <w:szCs w:val="10"/>
                              </w:rPr>
                            </w:pPr>
                          </w:p>
                        </w:tc>
                        <w:tc>
                          <w:tcPr>
                            <w:tcW w:w="816" w:type="dxa"/>
                            <w:shd w:val="clear" w:color="auto" w:fill="FFFFFF"/>
                          </w:tcPr>
                          <w:p w14:paraId="11565384" w14:textId="77777777" w:rsidR="00093A32" w:rsidRDefault="00093A32">
                            <w:pPr>
                              <w:rPr>
                                <w:sz w:val="10"/>
                                <w:szCs w:val="10"/>
                              </w:rPr>
                            </w:pPr>
                          </w:p>
                        </w:tc>
                        <w:tc>
                          <w:tcPr>
                            <w:tcW w:w="514" w:type="dxa"/>
                            <w:shd w:val="clear" w:color="auto" w:fill="FFFFFF"/>
                          </w:tcPr>
                          <w:p w14:paraId="37CE983D" w14:textId="77777777" w:rsidR="00093A32" w:rsidRDefault="00093A32">
                            <w:pPr>
                              <w:rPr>
                                <w:sz w:val="10"/>
                                <w:szCs w:val="10"/>
                              </w:rPr>
                            </w:pPr>
                          </w:p>
                        </w:tc>
                      </w:tr>
                      <w:tr w:rsidR="00093A32" w14:paraId="46FB394D" w14:textId="77777777">
                        <w:tblPrEx>
                          <w:tblCellMar>
                            <w:top w:w="0" w:type="dxa"/>
                            <w:bottom w:w="0" w:type="dxa"/>
                          </w:tblCellMar>
                        </w:tblPrEx>
                        <w:trPr>
                          <w:trHeight w:hRule="exact" w:val="245"/>
                        </w:trPr>
                        <w:tc>
                          <w:tcPr>
                            <w:tcW w:w="1637" w:type="dxa"/>
                            <w:tcBorders>
                              <w:bottom w:val="single" w:sz="4" w:space="0" w:color="auto"/>
                            </w:tcBorders>
                            <w:shd w:val="clear" w:color="auto" w:fill="FFFFFF"/>
                          </w:tcPr>
                          <w:p w14:paraId="75A70A1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3: Supresión intensa</w:t>
                            </w:r>
                          </w:p>
                        </w:tc>
                        <w:tc>
                          <w:tcPr>
                            <w:tcW w:w="782" w:type="dxa"/>
                            <w:tcBorders>
                              <w:bottom w:val="single" w:sz="4" w:space="0" w:color="auto"/>
                            </w:tcBorders>
                            <w:shd w:val="clear" w:color="auto" w:fill="FFFFFF"/>
                          </w:tcPr>
                          <w:p w14:paraId="243BBC2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N3</w:t>
                            </w:r>
                          </w:p>
                        </w:tc>
                        <w:tc>
                          <w:tcPr>
                            <w:tcW w:w="1262" w:type="dxa"/>
                            <w:tcBorders>
                              <w:bottom w:val="single" w:sz="4" w:space="0" w:color="auto"/>
                            </w:tcBorders>
                            <w:shd w:val="clear" w:color="auto" w:fill="FFFFFF"/>
                          </w:tcPr>
                          <w:p w14:paraId="22AEC252"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A3</w:t>
                            </w:r>
                          </w:p>
                        </w:tc>
                        <w:tc>
                          <w:tcPr>
                            <w:tcW w:w="1310" w:type="dxa"/>
                            <w:tcBorders>
                              <w:bottom w:val="single" w:sz="4" w:space="0" w:color="auto"/>
                            </w:tcBorders>
                            <w:shd w:val="clear" w:color="auto" w:fill="FFFFFF"/>
                          </w:tcPr>
                          <w:p w14:paraId="25619191"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B3</w:t>
                            </w:r>
                          </w:p>
                        </w:tc>
                        <w:tc>
                          <w:tcPr>
                            <w:tcW w:w="1219" w:type="dxa"/>
                            <w:tcBorders>
                              <w:bottom w:val="single" w:sz="4" w:space="0" w:color="auto"/>
                            </w:tcBorders>
                            <w:shd w:val="clear" w:color="auto" w:fill="FFFFFF"/>
                          </w:tcPr>
                          <w:p w14:paraId="2B1A2FFC" w14:textId="77777777" w:rsidR="00093A32" w:rsidRDefault="00093A32">
                            <w:pPr>
                              <w:pStyle w:val="Other0"/>
                              <w:spacing w:line="240" w:lineRule="auto"/>
                              <w:ind w:firstLine="0"/>
                              <w:jc w:val="center"/>
                              <w:rPr>
                                <w:sz w:val="16"/>
                                <w:szCs w:val="16"/>
                              </w:rPr>
                            </w:pPr>
                            <w:r>
                              <w:rPr>
                                <w:rFonts w:ascii="Times New Roman" w:eastAsia="Times New Roman" w:hAnsi="Times New Roman" w:cs="Times New Roman"/>
                                <w:sz w:val="16"/>
                                <w:szCs w:val="16"/>
                              </w:rPr>
                              <w:t>C3</w:t>
                            </w:r>
                          </w:p>
                        </w:tc>
                        <w:tc>
                          <w:tcPr>
                            <w:tcW w:w="1262" w:type="dxa"/>
                            <w:tcBorders>
                              <w:bottom w:val="single" w:sz="4" w:space="0" w:color="auto"/>
                            </w:tcBorders>
                            <w:shd w:val="clear" w:color="auto" w:fill="FFFFFF"/>
                          </w:tcPr>
                          <w:p w14:paraId="26AF94E4" w14:textId="77777777" w:rsidR="00093A32" w:rsidRDefault="00093A32">
                            <w:pPr>
                              <w:pStyle w:val="Other0"/>
                              <w:spacing w:line="240" w:lineRule="auto"/>
                              <w:ind w:firstLine="460"/>
                              <w:rPr>
                                <w:sz w:val="16"/>
                                <w:szCs w:val="16"/>
                              </w:rPr>
                            </w:pPr>
                            <w:r>
                              <w:rPr>
                                <w:rFonts w:ascii="Times New Roman" w:eastAsia="Times New Roman" w:hAnsi="Times New Roman" w:cs="Times New Roman"/>
                                <w:sz w:val="16"/>
                                <w:szCs w:val="16"/>
                              </w:rPr>
                              <w:t>&lt;750</w:t>
                            </w:r>
                          </w:p>
                        </w:tc>
                        <w:tc>
                          <w:tcPr>
                            <w:tcW w:w="653" w:type="dxa"/>
                            <w:tcBorders>
                              <w:bottom w:val="single" w:sz="4" w:space="0" w:color="auto"/>
                            </w:tcBorders>
                            <w:shd w:val="clear" w:color="auto" w:fill="FFFFFF"/>
                          </w:tcPr>
                          <w:p w14:paraId="38EFA71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&lt;15</w:t>
                            </w:r>
                          </w:p>
                        </w:tc>
                        <w:tc>
                          <w:tcPr>
                            <w:tcW w:w="869" w:type="dxa"/>
                            <w:tcBorders>
                              <w:bottom w:val="single" w:sz="4" w:space="0" w:color="auto"/>
                            </w:tcBorders>
                            <w:shd w:val="clear" w:color="auto" w:fill="FFFFFF"/>
                          </w:tcPr>
                          <w:p w14:paraId="5CEA53BB"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&lt;500</w:t>
                            </w:r>
                          </w:p>
                        </w:tc>
                        <w:tc>
                          <w:tcPr>
                            <w:tcW w:w="662" w:type="dxa"/>
                            <w:tcBorders>
                              <w:bottom w:val="single" w:sz="4" w:space="0" w:color="auto"/>
                            </w:tcBorders>
                            <w:shd w:val="clear" w:color="auto" w:fill="FFFFFF"/>
                          </w:tcPr>
                          <w:p w14:paraId="249B0B1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&lt;15</w:t>
                            </w:r>
                          </w:p>
                        </w:tc>
                        <w:tc>
                          <w:tcPr>
                            <w:tcW w:w="816" w:type="dxa"/>
                            <w:tcBorders>
                              <w:bottom w:val="single" w:sz="4" w:space="0" w:color="auto"/>
                            </w:tcBorders>
                            <w:shd w:val="clear" w:color="auto" w:fill="FFFFFF"/>
                          </w:tcPr>
                          <w:p w14:paraId="6B066419"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&lt;200</w:t>
                            </w:r>
                          </w:p>
                        </w:tc>
                        <w:tc>
                          <w:tcPr>
                            <w:tcW w:w="514" w:type="dxa"/>
                            <w:tcBorders>
                              <w:bottom w:val="single" w:sz="4" w:space="0" w:color="auto"/>
                            </w:tcBorders>
                            <w:shd w:val="clear" w:color="auto" w:fill="FFFFFF"/>
                          </w:tcPr>
                          <w:p w14:paraId="6F3B09F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&lt;15</w:t>
                            </w:r>
                          </w:p>
                        </w:tc>
                      </w:tr>
                    </w:tbl>
                    <w:p w14:paraId="2ED22BB2" w14:textId="77777777" w:rsidR="00093A32" w:rsidRDefault="00093A32">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73600" behindDoc="0" locked="0" layoutInCell="1" allowOverlap="1" wp14:anchorId="7FF3A420" wp14:editId="40EC6287">
                <wp:simplePos x="0" y="0"/>
                <wp:positionH relativeFrom="page">
                  <wp:posOffset>7851775</wp:posOffset>
                </wp:positionH>
                <wp:positionV relativeFrom="paragraph">
                  <wp:posOffset>30480</wp:posOffset>
                </wp:positionV>
                <wp:extent cx="137160" cy="3581400"/>
                <wp:effectExtent l="0" t="0" r="0" b="0"/>
                <wp:wrapSquare wrapText="bothSides"/>
                <wp:docPr id="1122" name="Shape 1122"/>
                <wp:cNvGraphicFramePr/>
                <a:graphic xmlns:a="http://schemas.openxmlformats.org/drawingml/2006/main">
                  <a:graphicData uri="http://schemas.microsoft.com/office/word/2010/wordprocessingShape">
                    <wps:wsp>
                      <wps:cNvSpPr txBox="1"/>
                      <wps:spPr>
                        <a:xfrm>
                          <a:off x="0" y="0"/>
                          <a:ext cx="137160" cy="3581400"/>
                        </a:xfrm>
                        <a:prstGeom prst="rect">
                          <a:avLst/>
                        </a:prstGeom>
                        <a:noFill/>
                      </wps:spPr>
                      <wps:txbx>
                        <w:txbxContent>
                          <w:p w14:paraId="559BD4A2" w14:textId="77777777" w:rsidR="00093A32" w:rsidRDefault="00093A32">
                            <w:pPr>
                              <w:pStyle w:val="Bodytext80"/>
                              <w:tabs>
                                <w:tab w:val="left" w:leader="underscore" w:pos="1234"/>
                              </w:tabs>
                            </w:pPr>
                            <w:r>
                              <w:rPr>
                                <w:sz w:val="16"/>
                                <w:szCs w:val="16"/>
                                <w:u w:val="single"/>
                              </w:rPr>
                              <w:t>428</w:t>
                            </w:r>
                            <w:r>
                              <w:rPr>
                                <w:sz w:val="16"/>
                                <w:szCs w:val="16"/>
                              </w:rPr>
                              <w:tab/>
                            </w:r>
                            <w:r>
                              <w:rPr>
                                <w:u w:val="single"/>
                              </w:rPr>
                              <w:t>HUMANA, INFECCIÓN POR VIRUS DE INMUNODEFICIENCIA (VIH)</w:t>
                            </w:r>
                          </w:p>
                        </w:txbxContent>
                      </wps:txbx>
                      <wps:bodyPr vert="vert" lIns="0" tIns="0" rIns="0" bIns="0" upright="1"/>
                    </wps:wsp>
                  </a:graphicData>
                </a:graphic>
              </wp:anchor>
            </w:drawing>
          </mc:Choice>
          <mc:Fallback>
            <w:pict>
              <v:shape w14:anchorId="7FF3A420" id="Shape 1122" o:spid="_x0000_s1040" type="#_x0000_t202" style="position:absolute;margin-left:618.25pt;margin-top:2.4pt;width:10.8pt;height:282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" filled="f" stroked="f">
                <v:textbox style="layout-flow:vertical" inset="0,0,0,0">
                  <w:txbxContent>
                    <w:p w14:paraId="559BD4A2" w14:textId="77777777" w:rsidR="00093A32" w:rsidRDefault="00093A32">
                      <w:pPr>
                        <w:pStyle w:val="Bodytext80"/>
                        <w:tabs>
                          <w:tab w:val="left" w:leader="underscore" w:pos="1234"/>
                        </w:tabs>
                      </w:pPr>
                      <w:r>
                        <w:rPr>
                          <w:sz w:val="16"/>
                          <w:szCs w:val="16"/>
                          <w:u w:val="single"/>
                        </w:rPr>
                        <w:t>428</w:t>
                      </w:r>
                      <w:r>
                        <w:rPr>
                          <w:sz w:val="16"/>
                          <w:szCs w:val="16"/>
                        </w:rPr>
                        <w:tab/>
                      </w:r>
                      <w:r>
                        <w:rPr>
                          <w:u w:val="single"/>
                        </w:rPr>
                        <w:t>HUMANA, INFECCIÓN POR VIRUS DE INMUNODEFICIENCIA (VIH)</w:t>
                      </w:r>
                    </w:p>
                  </w:txbxContent>
                </v:textbox>
                <w10:wrap type="square" anchorx="page"/>
              </v:shape>
            </w:pict>
          </mc:Fallback>
        </mc:AlternateContent>
      </w:r>
    </w:p>
    <w:p w14:paraId="7AA66C89" w14:textId="77777777" w:rsidR="00093A32" w:rsidRDefault="00093A32">
      <w:pPr>
        <w:pStyle w:val="Heading31"/>
        <w:keepNext/>
        <w:keepLines/>
        <w:spacing w:after="260"/>
        <w:ind w:firstLine="1000"/>
      </w:pPr>
      <w:bookmarkStart w:id="293" w:name="bookmark896"/>
      <w:bookmarkStart w:id="294" w:name="bookmark897"/>
      <w:bookmarkStart w:id="295" w:name="bookmark898"/>
      <w:r>
        <w:rPr>
          <w:b w:val="0"/>
          <w:bCs w:val="0"/>
        </w:rPr>
        <w:t xml:space="preserve">Cuadro 3-33. </w:t>
      </w:r>
      <w:r>
        <w:t>Clasificación del virus de inmunodeficiencia humana (VIH) en niños menores de 13 años</w:t>
      </w:r>
      <w:r>
        <w:rPr>
          <w:vertAlign w:val="superscript"/>
        </w:rPr>
        <w:t>1</w:t>
      </w:r>
      <w:bookmarkEnd w:id="293"/>
      <w:bookmarkEnd w:id="294"/>
      <w:bookmarkEnd w:id="295"/>
    </w:p>
    <w:p w14:paraId="5D9EAB65" w14:textId="77777777" w:rsidR="00093A32" w:rsidRDefault="00093A32">
      <w:pPr>
        <w:pStyle w:val="Heading41"/>
        <w:keepNext/>
        <w:keepLines/>
        <w:pBdr>
          <w:top w:val="single" w:sz="4" w:space="0" w:color="231F20"/>
          <w:left w:val="single" w:sz="4" w:space="31" w:color="231F20"/>
          <w:bottom w:val="single" w:sz="4" w:space="0" w:color="231F20"/>
          <w:right w:val="single" w:sz="4" w:space="31" w:color="231F20"/>
        </w:pBdr>
        <w:shd w:val="clear" w:color="auto" w:fill="231F20"/>
        <w:spacing w:line="218" w:lineRule="auto"/>
        <w:jc w:val="center"/>
        <w:rPr>
          <w:sz w:val="8"/>
          <w:szCs w:val="8"/>
        </w:rPr>
        <w:sectPr w:rsidR="00093A32" w:rsidSect="00093A32">
          <w:pgSz w:w="13022" w:h="8501" w:orient="landscape"/>
          <w:pgMar w:top="456" w:right="1220" w:bottom="456" w:left="658" w:header="28" w:footer="28" w:gutter="0"/>
          <w:cols w:space="720"/>
          <w:noEndnote/>
          <w:docGrid w:linePitch="360"/>
          <w15:footnoteColumns w:val="1"/>
        </w:sectPr>
      </w:pPr>
      <w:bookmarkStart w:id="296" w:name="bookmark899"/>
      <w:bookmarkStart w:id="297" w:name="bookmark900"/>
      <w:bookmarkStart w:id="298" w:name="bookmark901"/>
      <w:r>
        <w:rPr>
          <w:color w:val="FFFFFF"/>
        </w:rPr>
        <w:t>Número de linfocitos T CD4+ específicos</w:t>
      </w:r>
      <w:r>
        <w:rPr>
          <w:color w:val="FFFFFF"/>
        </w:rPr>
        <w:br/>
        <w:t>de edad y porcentaje de linfocitos totales</w:t>
      </w:r>
      <w:r>
        <w:rPr>
          <w:rFonts w:ascii="Times New Roman" w:eastAsia="Times New Roman" w:hAnsi="Times New Roman" w:cs="Times New Roman"/>
          <w:b w:val="0"/>
          <w:bCs w:val="0"/>
          <w:color w:val="FFFFFF"/>
          <w:w w:val="100"/>
          <w:sz w:val="8"/>
          <w:szCs w:val="8"/>
          <w:vertAlign w:val="superscript"/>
        </w:rPr>
        <w:footnoteReference w:id="33"/>
      </w:r>
      <w:bookmarkEnd w:id="296"/>
      <w:bookmarkEnd w:id="297"/>
      <w:bookmarkEnd w:id="298"/>
    </w:p>
    <w:p w14:paraId="2B2223A0" w14:textId="77777777" w:rsidR="00093A32" w:rsidRDefault="00093A32">
      <w:pPr>
        <w:pStyle w:val="BodyText"/>
        <w:spacing w:before="220"/>
        <w:ind w:firstLine="0"/>
      </w:pPr>
      <w:r>
        <w:t>fuente más bien rara de transmisión de virus en Estados Unidos. En ausencia de transmisión sexual probada o contacto parenteral o de membranas mucosas con sangre o líquidos corporales sanguinolentos, rara vez se ha demostrado la transmisión del virus en familias o círculos familiares o con las atenciones diarias en los hospitales o clínicas. Tampoco se ha detectado la transmisión del virus en escuelas o centros de atención pediátrica.</w:t>
      </w:r>
    </w:p>
    <w:p w14:paraId="57BD741C" w14:textId="77777777" w:rsidR="00093A32" w:rsidRDefault="00093A32">
      <w:pPr>
        <w:pStyle w:val="BodyText"/>
        <w:ind w:firstLine="360"/>
      </w:pPr>
      <w:r>
        <w:t>Los casos de SIDA en niños han comprendido en promedio 1% de todos los casos notificados por esa enfermedad en Estados Unidos. El número total de casos señalados de SIDA en los menores disminuyó 81% en 2000 en comparación con 1992 como consecuencia de la disminución impresionante de la cifra de transmisión perinatal de VIH y por el hecho de contar con potentes antirretrovíricos usados en combinación.</w:t>
      </w:r>
    </w:p>
    <w:p w14:paraId="1A1C3ED9" w14:textId="77777777" w:rsidR="00093A32" w:rsidRDefault="00093A32">
      <w:pPr>
        <w:pStyle w:val="BodyText"/>
        <w:ind w:firstLine="360"/>
      </w:pPr>
      <w:r>
        <w:t>Más de 90% de los niños infectados que tienen menos de 13 años de edad en Estados Unidos se contagiaron de algún líquido de su madre; casi todo el resto, incluidos hemofílicos y sujetos con otras coagulopatías, recibieron sangre, hemoderivados o concentrados de factores de coagulación, contaminados. Unos cuantos casos de infección por VIH en niños ha sido producto de abuso sexual por una persona seropositiva. En menos de 5% de los casos notificados no se ha identificado un factor de riesgo, y después de la investigación minuciosa muchos se reclasificaron dentro de uno de los grupos de factores de riesgo establecidos. La infección contraída en fase perinatal explica casi todos los casos de infecciones nuevas en preadolescentes.</w:t>
      </w:r>
    </w:p>
    <w:p w14:paraId="48A3DB28" w14:textId="77777777" w:rsidR="00093A32" w:rsidRDefault="00093A32">
      <w:pPr>
        <w:pStyle w:val="BodyText"/>
        <w:ind w:firstLine="360"/>
      </w:pPr>
      <w:r>
        <w:t>La frecuencia de contagio de VIH durante la adolescencia va en aumento y contribuye a un gran número de casos en adultos jóvenes. La transmisión del virus en adolescentes se atribuye más bien a exposición sexual. En promedio, 25% del contagio del virus en Estados Unidos surge en personas menores de 21 años de vida. En adolescentes, la incidencia de la infección por VIH en mujeres ha rebasado a la de los varones. Casi todos los adolescentes infectados son asintomáticos y no se percatan de que tienen la infección.</w:t>
      </w:r>
    </w:p>
    <w:p w14:paraId="511B5C94" w14:textId="77777777" w:rsidR="00093A32" w:rsidRDefault="00093A32">
      <w:pPr>
        <w:pStyle w:val="BodyText"/>
        <w:ind w:firstLine="360"/>
      </w:pPr>
      <w:r>
        <w:t xml:space="preserve">Se ha calculado que el riesgo de infección de un producto hijo de una madre seropositiva que no recibió antirretrovíricos durante su embarazo va de 13 a 39%. Los estudios sobre la fecha de transmisión de una madre infectada a su hijo sugieren que entre los pequeños que no reciben leche materna, en promedio 25 a 40% de la transmisión ocurre </w:t>
      </w:r>
      <w:r>
        <w:rPr>
          <w:rFonts w:ascii="Times New Roman" w:eastAsia="Times New Roman" w:hAnsi="Times New Roman" w:cs="Times New Roman"/>
          <w:i/>
          <w:iCs/>
          <w:sz w:val="16"/>
          <w:szCs w:val="16"/>
        </w:rPr>
        <w:t>in utero</w:t>
      </w:r>
      <w:r>
        <w:rPr>
          <w:i/>
          <w:iCs/>
        </w:rPr>
        <w:t>.</w:t>
      </w:r>
      <w:r>
        <w:t xml:space="preserve"> El riesgo absoluto de esta última forma de transmisión es de alrededor de 5%, y el contagio durante el parto es de 13 a 18%. Diversos estudios han señalado que el número de virus de la mujer (carga vírica) es el elemento determinante de la transmisión perinatal del virus. Las investigaciones hechas en un número reducido de embarazadas han sugerido cifras más altas de transmisión perinatal por parte de mujeres que mostraron seroconversión en embarazo. Otros factores vinculados con un mayor riesgo de transmisión incluyen números bajos de linfocitos T CD4+, enfermedad avanzada en la gestante, problemas durante el parto que permitieron una mayor exposición del feto a la sangre de su madre, inflamación de membranas placentarias, parto prematuro, primera etapa duradera del parto y una duración mayor de las membranas rotas. El tiempo largo en que han estado rotas las membranas, en presencia de fármacos antirretrovíricos, pero con una carga vírica detectable, se vincula con un mayor peligro de transmisión y hay que tomar en consideración ese factor cuando se evalúe la forma del nacimiento del pequeño y también el contagio.</w:t>
      </w:r>
    </w:p>
    <w:p w14:paraId="21BB8BCF" w14:textId="77777777" w:rsidR="00093A32" w:rsidRDefault="00093A32">
      <w:pPr>
        <w:pStyle w:val="BodyText"/>
        <w:ind w:firstLine="360"/>
      </w:pPr>
      <w:r>
        <w:t xml:space="preserve">La transmisión posparto se hace más bien por la leche materna. A nivel mundial se calcula que 33 a 50% de la transmisión de VIH de madre a hijo puede ocurrir por tal mecanismo. Se han detectado en las fracciones celular y acelular de la leche materna genomas del virus de inmunodeficiencia humana. En Estados Unidos, es posible brindar otra forma de alimentación a los pequeños y, en consecuencia, evitar la transmisión del virus por la leche de la madre. Se necesita una forma de disminuir la transmisión de la partícula y aún así cumplir con las prácticas seguras de alimentación de pequeños nacidos de mujeres infectadas, en países en desarrollo (véase “Leche materna”, sección 2). </w:t>
      </w:r>
      <w:r>
        <w:rPr>
          <w:b/>
          <w:bCs/>
        </w:rPr>
        <w:t>P</w:t>
      </w:r>
      <w:r>
        <w:rPr>
          <w:b/>
          <w:bCs/>
          <w:sz w:val="13"/>
          <w:szCs w:val="13"/>
        </w:rPr>
        <w:t>ERIODO DE INCUBACIÓN</w:t>
      </w:r>
      <w:r>
        <w:rPr>
          <w:b/>
          <w:bCs/>
        </w:rPr>
        <w:t xml:space="preserve">: </w:t>
      </w:r>
      <w:r>
        <w:t>A pesar de que la mediana de edad en que comienzan los síntomas es de 12 a 18 meses en los lactantes infectados en etapa perinatal pero sin tratamiento, se han identificado niños que han permanecido por más de cinco años, y en algunos sitios se ha notificado los casos de niños con infección perinatal que fueron identificados positivamente por primera vez durante la adolescencia. Se han reconocido dos perfiles de evolución de la enfermedad con base en los síntomas. Se sabe que 15 a 20% de los menores sin tratamiento fallecen antes de los cuatros años de vida y la mediana de edad en la fecha de morir es de 11 meses, en tanto que muchos pequeños viven después de los cinco años de edad. Los adultos y los niños terminan por mostrar anticuerpos séricos contra VIH entre las seis y 12 semanas después de la infección. Los pequeños hijos de madres infectadas tienen anticuerpos que les han llegado a través de la placenta y por esa razón son seropositivos en el momento del parto.</w:t>
      </w:r>
    </w:p>
    <w:p w14:paraId="32EF4936" w14:textId="77777777" w:rsidR="00093A32" w:rsidRDefault="00093A32">
      <w:pPr>
        <w:pStyle w:val="BodyText"/>
        <w:spacing w:line="276" w:lineRule="auto"/>
        <w:ind w:firstLine="0"/>
      </w:pPr>
      <w:r>
        <w:rPr>
          <w:b/>
          <w:bCs/>
        </w:rPr>
        <w:t>M</w:t>
      </w:r>
      <w:r>
        <w:rPr>
          <w:b/>
          <w:bCs/>
          <w:sz w:val="13"/>
          <w:szCs w:val="13"/>
        </w:rPr>
        <w:t>ÉTODOS DIAGNÓSTICOS</w:t>
      </w:r>
      <w:r>
        <w:rPr>
          <w:b/>
          <w:bCs/>
        </w:rPr>
        <w:t xml:space="preserve">: </w:t>
      </w:r>
      <w:r>
        <w:t xml:space="preserve">El diagnóstico de la infección por VIH, según métodos de laboratorio, en la lactancia depende de la detección del virus o de su ácido nucleico. La transferencia transplacentaria de anticuerpos complica el empleo de los métodos basados en estos últimos (como serían inmunoanálisis enzimático </w:t>
      </w:r>
      <w:r>
        <w:rPr>
          <w:i/>
          <w:iCs/>
        </w:rPr>
        <w:t>[</w:t>
      </w:r>
      <w:r>
        <w:rPr>
          <w:rFonts w:ascii="Times New Roman" w:eastAsia="Times New Roman" w:hAnsi="Times New Roman" w:cs="Times New Roman"/>
          <w:i/>
          <w:iCs/>
          <w:sz w:val="16"/>
          <w:szCs w:val="16"/>
        </w:rPr>
        <w:t>enzyme immuno assay</w:t>
      </w:r>
      <w:r>
        <w:rPr>
          <w:i/>
          <w:iCs/>
        </w:rPr>
        <w:t>,</w:t>
      </w:r>
      <w:r>
        <w:t xml:space="preserve"> EIA] de VIH y el análisis de inmunotransferencia) para el diagnóstico de la infección en el lactante, porque todos los pequeños que son hijos de madres positivas infectados seis a 12 semanas o más antes del parto tienen anticuerpos maternos.</w:t>
      </w:r>
    </w:p>
    <w:p w14:paraId="20D85B42" w14:textId="77777777" w:rsidR="00093A32" w:rsidRDefault="00093A32">
      <w:pPr>
        <w:pStyle w:val="BodyText"/>
        <w:ind w:firstLine="360"/>
      </w:pPr>
      <w:r>
        <w:t>La detección del ácido nucleico del virus por el método de PCR, en DNA extraído de mononucleares de sangre periférica es el método preferido para diagnosticar la infección por dicha partícula en lactantes; los resultados están listos en término de 24 h de obtener una muestra de sangre completa con anticoagulantes (véase cuadro 3-34). Alrededor de 30% de los pequeños infectados mostrarán positividad en PCR de DNA, en muestras obtenidas antes de las 48 h de vida extrauterina. Habitualmente, el método puede detectar una de 10 copias de DNA. En promedio, para las dos semanas de vida, 93% de los pequeños infectados tendrán DNA de VIH detectable, y para el mes de edad casi todos tendrán el virus, es decir mostrarán positividad a él. Un solo método de PCR en DNA posee una sensibilidad de 95% y especificidad de 97% en muestras obtenidas de menores de uno a 36 meses de vida. El método de PCR en DNA es más sensible en una sola cuantificación que el cultivo vírico, y no se necesita réplica de la partícula para ser detectada.</w:t>
      </w:r>
    </w:p>
    <w:p w14:paraId="2731C71F" w14:textId="77777777" w:rsidR="00093A32" w:rsidRDefault="00093A32">
      <w:pPr>
        <w:pStyle w:val="BodyText"/>
        <w:ind w:firstLine="360"/>
      </w:pPr>
      <w:r>
        <w:t>El aislamiento del virus por cultivo es una técnica cara que practican sólo unos cuantos laboratorios, y se necesitan 28 días para obtener resultados (positivos); la técnica anterior ha sido sustituida por la reacción en cadena de polimerasa en ácido desoxirribonucleico.</w:t>
      </w:r>
    </w:p>
    <w:p w14:paraId="3BB0C96D" w14:textId="77777777" w:rsidR="00093A32" w:rsidRDefault="00093A32">
      <w:pPr>
        <w:pStyle w:val="BodyText"/>
        <w:ind w:firstLine="360"/>
      </w:pPr>
      <w:r>
        <w:t>La detección del antígeno p24 (incluido el complejo inmunitario disociado) es mucho menos sensible que la técnica PCR de DNA o el cultivo. Otra desventaja que tiene es la aparición de resultados positivos falsos en muestras obtenidas de pequeños menores de un mes de edad.</w:t>
      </w:r>
    </w:p>
    <w:p w14:paraId="082C3A49" w14:textId="77777777" w:rsidR="00093A32" w:rsidRDefault="00093A32">
      <w:pPr>
        <w:pStyle w:val="BodyText"/>
        <w:ind w:firstLine="360"/>
      </w:pPr>
      <w:r>
        <w:t>La reacción en cadena de polimerasa del RNA de VIH plasmático puede utilizarse para diagnosticar la infección por dicho virus si sus resultados son positivos. Sin</w:t>
      </w:r>
    </w:p>
    <w:p w14:paraId="23C4B446" w14:textId="77777777" w:rsidR="00093A32" w:rsidRDefault="00093A32">
      <w:pPr>
        <w:pStyle w:val="Heading31"/>
        <w:keepNext/>
        <w:keepLines/>
        <w:spacing w:line="216" w:lineRule="auto"/>
        <w:jc w:val="center"/>
      </w:pPr>
      <w:bookmarkStart w:id="299" w:name="bookmark902"/>
      <w:bookmarkStart w:id="300" w:name="bookmark903"/>
      <w:bookmarkStart w:id="301" w:name="bookmark904"/>
      <w:r>
        <w:rPr>
          <w:b w:val="0"/>
          <w:bCs w:val="0"/>
        </w:rPr>
        <w:t xml:space="preserve">Cuadro 3-34. </w:t>
      </w:r>
      <w:r>
        <w:t>Diagnóstico de infección por VIH</w:t>
      </w:r>
      <w:r>
        <w:rPr>
          <w:vertAlign w:val="superscript"/>
        </w:rPr>
        <w:t>1</w:t>
      </w:r>
      <w:r>
        <w:t xml:space="preserve"> por empleo de métodos</w:t>
      </w:r>
      <w:r>
        <w:br/>
        <w:t>de laboratorio</w:t>
      </w:r>
      <w:bookmarkEnd w:id="299"/>
      <w:bookmarkEnd w:id="300"/>
      <w:bookmarkEnd w:id="301"/>
    </w:p>
    <w:p w14:paraId="4C44AC48" w14:textId="77777777" w:rsidR="00093A32" w:rsidRDefault="00093A32">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80"/>
        <w:ind w:firstLine="920"/>
      </w:pPr>
      <w:r>
        <w:rPr>
          <w:noProof/>
        </w:rPr>
        <mc:AlternateContent>
          <mc:Choice Requires="wps">
            <w:drawing>
              <wp:anchor distT="0" distB="0" distL="114300" distR="114300" simplePos="0" relativeHeight="251674624" behindDoc="0" locked="0" layoutInCell="1" allowOverlap="1" wp14:anchorId="478CA0A5" wp14:editId="78FBBE58">
                <wp:simplePos x="0" y="0"/>
                <wp:positionH relativeFrom="page">
                  <wp:posOffset>554990</wp:posOffset>
                </wp:positionH>
                <wp:positionV relativeFrom="paragraph">
                  <wp:posOffset>12700</wp:posOffset>
                </wp:positionV>
                <wp:extent cx="381000" cy="189230"/>
                <wp:effectExtent l="0" t="0" r="0" b="0"/>
                <wp:wrapSquare wrapText="right"/>
                <wp:docPr id="1124" name="Shape 1124"/>
                <wp:cNvGraphicFramePr/>
                <a:graphic xmlns:a="http://schemas.openxmlformats.org/drawingml/2006/main">
                  <a:graphicData uri="http://schemas.microsoft.com/office/word/2010/wordprocessingShape">
                    <wps:wsp>
                      <wps:cNvSpPr txBox="1"/>
                      <wps:spPr>
                        <a:xfrm>
                          <a:off x="0" y="0"/>
                          <a:ext cx="381000" cy="189230"/>
                        </a:xfrm>
                        <a:prstGeom prst="rect">
                          <a:avLst/>
                        </a:prstGeom>
                        <a:noFill/>
                      </wps:spPr>
                      <wps:txbx>
                        <w:txbxContent>
                          <w:p w14:paraId="6A2A417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Prueba</w:t>
                            </w:r>
                          </w:p>
                        </w:txbxContent>
                      </wps:txbx>
                      <wps:bodyPr wrap="none" lIns="0" tIns="0" rIns="0" bIns="0"/>
                    </wps:wsp>
                  </a:graphicData>
                </a:graphic>
              </wp:anchor>
            </w:drawing>
          </mc:Choice>
          <mc:Fallback>
            <w:pict>
              <v:shape w14:anchorId="478CA0A5" id="Shape 1124" o:spid="_x0000_s1041" type="#_x0000_t202" style="position:absolute;left:0;text-align:left;margin-left:43.7pt;margin-top:1pt;width:30pt;height:14.9pt;z-index:25167462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" filled="f" stroked="f">
                <v:textbox inset="0,0,0,0">
                  <w:txbxContent>
                    <w:p w14:paraId="6A2A417F"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Prueba</w:t>
                      </w:r>
                    </w:p>
                  </w:txbxContent>
                </v:textbox>
                <w10:wrap type="square" side="right" anchorx="page"/>
              </v:shape>
            </w:pict>
          </mc:Fallback>
        </mc:AlternateContent>
      </w:r>
      <w:bookmarkStart w:id="302" w:name="bookmark905"/>
      <w:bookmarkStart w:id="303" w:name="bookmark906"/>
      <w:bookmarkStart w:id="304" w:name="bookmark907"/>
      <w:r>
        <w:rPr>
          <w:color w:val="FFFFFF"/>
        </w:rPr>
        <w:t>Comentario</w:t>
      </w:r>
      <w:bookmarkEnd w:id="302"/>
      <w:bookmarkEnd w:id="303"/>
      <w:bookmarkEnd w:id="304"/>
    </w:p>
    <w:tbl>
      <w:tblPr>
        <w:tblOverlap w:val="never"/>
        <w:tblW w:w="0" w:type="auto"/>
        <w:jc w:val="center"/>
        <w:tblLayout w:type="fixed"/>
        <w:tblCellMar>
          <w:left w:w="10" w:type="dxa"/>
          <w:right w:w="10" w:type="dxa"/>
        </w:tblCellMar>
        <w:tblLook w:val="04A0" w:firstRow="1" w:lastRow="0" w:firstColumn="1" w:lastColumn="0" w:noHBand="0" w:noVBand="1"/>
      </w:tblPr>
      <w:tblGrid>
        <w:gridCol w:w="1666"/>
        <w:gridCol w:w="5078"/>
      </w:tblGrid>
      <w:tr w:rsidR="00093A32" w14:paraId="08132366" w14:textId="77777777">
        <w:tblPrEx>
          <w:tblCellMar>
            <w:top w:w="0" w:type="dxa"/>
            <w:bottom w:w="0" w:type="dxa"/>
          </w:tblCellMar>
        </w:tblPrEx>
        <w:trPr>
          <w:trHeight w:hRule="exact" w:val="874"/>
          <w:jc w:val="center"/>
        </w:trPr>
        <w:tc>
          <w:tcPr>
            <w:tcW w:w="1666" w:type="dxa"/>
            <w:shd w:val="clear" w:color="auto" w:fill="FFFFFF"/>
          </w:tcPr>
          <w:p w14:paraId="0192319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PCR de DNA de VIH</w:t>
            </w:r>
          </w:p>
        </w:tc>
        <w:tc>
          <w:tcPr>
            <w:tcW w:w="5078" w:type="dxa"/>
            <w:shd w:val="clear" w:color="auto" w:fill="FFFFFF"/>
            <w:vAlign w:val="bottom"/>
          </w:tcPr>
          <w:p w14:paraId="6085CCEA"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Método preferido para diagnosticar la infección por VIH en lactantes y niños menores de 18 meses; muy sensible y específica a las dos semanas de edad, y posibilidad de realizarla; se le practica en mononucleares de sangre periférica</w:t>
            </w:r>
          </w:p>
        </w:tc>
      </w:tr>
      <w:tr w:rsidR="00093A32" w14:paraId="7D698C5C" w14:textId="77777777">
        <w:tblPrEx>
          <w:tblCellMar>
            <w:top w:w="0" w:type="dxa"/>
            <w:bottom w:w="0" w:type="dxa"/>
          </w:tblCellMar>
        </w:tblPrEx>
        <w:trPr>
          <w:trHeight w:hRule="exact" w:val="413"/>
          <w:jc w:val="center"/>
        </w:trPr>
        <w:tc>
          <w:tcPr>
            <w:tcW w:w="1666" w:type="dxa"/>
            <w:shd w:val="clear" w:color="auto" w:fill="FFFFFF"/>
          </w:tcPr>
          <w:p w14:paraId="6141BEB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Antígeno p24 de VIH</w:t>
            </w:r>
          </w:p>
        </w:tc>
        <w:tc>
          <w:tcPr>
            <w:tcW w:w="5078" w:type="dxa"/>
            <w:shd w:val="clear" w:color="auto" w:fill="FFFFFF"/>
          </w:tcPr>
          <w:p w14:paraId="323D86CF"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Resultados menos sensibles positivos falsos durante el primer mes de vida, resultados variables; no se recomienda</w:t>
            </w:r>
          </w:p>
        </w:tc>
      </w:tr>
      <w:tr w:rsidR="00093A32" w14:paraId="58FEDAD7" w14:textId="77777777">
        <w:tblPrEx>
          <w:tblCellMar>
            <w:top w:w="0" w:type="dxa"/>
            <w:bottom w:w="0" w:type="dxa"/>
          </w:tblCellMar>
        </w:tblPrEx>
        <w:trPr>
          <w:trHeight w:hRule="exact" w:val="432"/>
          <w:jc w:val="center"/>
        </w:trPr>
        <w:tc>
          <w:tcPr>
            <w:tcW w:w="1666" w:type="dxa"/>
            <w:shd w:val="clear" w:color="auto" w:fill="FFFFFF"/>
          </w:tcPr>
          <w:p w14:paraId="553AAB7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Antígeno p24 de ICD</w:t>
            </w:r>
          </w:p>
        </w:tc>
        <w:tc>
          <w:tcPr>
            <w:tcW w:w="5078" w:type="dxa"/>
            <w:shd w:val="clear" w:color="auto" w:fill="FFFFFF"/>
            <w:vAlign w:val="bottom"/>
          </w:tcPr>
          <w:p w14:paraId="46D0F2C9"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Puede practicarse en diversos sitios; un resultado negativo no descarta infección y por ello no se la recomienda</w:t>
            </w:r>
          </w:p>
        </w:tc>
      </w:tr>
      <w:tr w:rsidR="00093A32" w14:paraId="1ED20434" w14:textId="77777777">
        <w:tblPrEx>
          <w:tblCellMar>
            <w:top w:w="0" w:type="dxa"/>
            <w:bottom w:w="0" w:type="dxa"/>
          </w:tblCellMar>
        </w:tblPrEx>
        <w:trPr>
          <w:trHeight w:hRule="exact" w:val="446"/>
          <w:jc w:val="center"/>
        </w:trPr>
        <w:tc>
          <w:tcPr>
            <w:tcW w:w="1666" w:type="dxa"/>
            <w:shd w:val="clear" w:color="auto" w:fill="FFFFFF"/>
          </w:tcPr>
          <w:p w14:paraId="441E516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Cultivo de VIH</w:t>
            </w:r>
          </w:p>
        </w:tc>
        <w:tc>
          <w:tcPr>
            <w:tcW w:w="5078" w:type="dxa"/>
            <w:shd w:val="clear" w:color="auto" w:fill="FFFFFF"/>
            <w:vAlign w:val="bottom"/>
          </w:tcPr>
          <w:p w14:paraId="5A26D54E"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Método caro, poco asequible, que necesita incluso de cuatro semanas para su realización</w:t>
            </w:r>
          </w:p>
        </w:tc>
      </w:tr>
      <w:tr w:rsidR="00093A32" w14:paraId="2FA99F47" w14:textId="77777777">
        <w:tblPrEx>
          <w:tblCellMar>
            <w:top w:w="0" w:type="dxa"/>
            <w:bottom w:w="0" w:type="dxa"/>
          </w:tblCellMar>
        </w:tblPrEx>
        <w:trPr>
          <w:trHeight w:hRule="exact" w:val="662"/>
          <w:jc w:val="center"/>
        </w:trPr>
        <w:tc>
          <w:tcPr>
            <w:tcW w:w="1666" w:type="dxa"/>
            <w:tcBorders>
              <w:bottom w:val="single" w:sz="4" w:space="0" w:color="auto"/>
            </w:tcBorders>
            <w:shd w:val="clear" w:color="auto" w:fill="FFFFFF"/>
          </w:tcPr>
          <w:p w14:paraId="79F803D2"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PCR de RNA de VIH</w:t>
            </w:r>
          </w:p>
        </w:tc>
        <w:tc>
          <w:tcPr>
            <w:tcW w:w="5078" w:type="dxa"/>
            <w:tcBorders>
              <w:bottom w:val="single" w:sz="4" w:space="0" w:color="auto"/>
            </w:tcBorders>
            <w:shd w:val="clear" w:color="auto" w:fill="FFFFFF"/>
          </w:tcPr>
          <w:p w14:paraId="3AB793B0"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No se recomienda para el estudio sistemático de lactantes y niños menores de 18 meses porque no se puede utilizar un resultado negativo para excluir la infección por VIH</w:t>
            </w:r>
          </w:p>
        </w:tc>
      </w:tr>
    </w:tbl>
    <w:p w14:paraId="1950468E" w14:textId="77777777" w:rsidR="00093A32" w:rsidRDefault="00093A32">
      <w:pPr>
        <w:pStyle w:val="Tablecaption0"/>
        <w:spacing w:line="240" w:lineRule="auto"/>
        <w:ind w:left="0"/>
      </w:pPr>
      <w:r>
        <w:rPr>
          <w:sz w:val="8"/>
          <w:szCs w:val="8"/>
          <w:vertAlign w:val="superscript"/>
        </w:rPr>
        <w:t>1</w:t>
      </w:r>
      <w:r>
        <w:rPr>
          <w:sz w:val="8"/>
          <w:szCs w:val="8"/>
        </w:rPr>
        <w:t xml:space="preserve"> </w:t>
      </w:r>
      <w:r>
        <w:t xml:space="preserve">VIH, virus de inmunodeficiencia humana; PCR, reacción en cadena de polimerasa; ICD, complejo inmunitario disociado </w:t>
      </w:r>
      <w:r>
        <w:rPr>
          <w:i/>
          <w:iCs/>
        </w:rPr>
        <w:t>(immune complex dissociated).</w:t>
      </w:r>
    </w:p>
    <w:p w14:paraId="37AF6E4F" w14:textId="77777777" w:rsidR="00093A32" w:rsidRDefault="00093A32">
      <w:pPr>
        <w:spacing w:after="259" w:line="1" w:lineRule="exact"/>
      </w:pPr>
    </w:p>
    <w:p w14:paraId="6027936E" w14:textId="77777777" w:rsidR="00093A32" w:rsidRDefault="00093A32">
      <w:pPr>
        <w:pStyle w:val="BodyText"/>
        <w:ind w:firstLine="0"/>
      </w:pPr>
      <w:r>
        <w:t xml:space="preserve">embargo, tal resultado puede ser negativo incluso en personas infectadas por el virus. El método ha sido aprobado por la </w:t>
      </w:r>
      <w:r>
        <w:rPr>
          <w:rFonts w:ascii="Times New Roman" w:eastAsia="Times New Roman" w:hAnsi="Times New Roman" w:cs="Times New Roman"/>
          <w:i/>
          <w:iCs/>
          <w:sz w:val="16"/>
          <w:szCs w:val="16"/>
        </w:rPr>
        <w:t>Food and Drug Administration</w:t>
      </w:r>
      <w:r>
        <w:t xml:space="preserve"> sólo en su formato cuantitativo, por lo que se le utiliza para cuantificar el número de virus presente como un elemento para predecir la evolución de la enfermedad y no de manera sistemática para diagnosticar la infección en lactantes.</w:t>
      </w:r>
    </w:p>
    <w:p w14:paraId="694FCEC8" w14:textId="77777777" w:rsidR="00093A32" w:rsidRDefault="00093A32">
      <w:pPr>
        <w:pStyle w:val="BodyText"/>
        <w:spacing w:after="80"/>
        <w:ind w:firstLine="360"/>
      </w:pPr>
      <w:r>
        <w:t>En todo pequeño nacido de una mujer infectada por VIH se practicará la reacción en cadena de polimerasa de DNA del virus en las primeras 48 h de vida. Dada la posible contaminación con sangre de la madre, para tal cuantificación no debe utilizarse la sangre del cordón umbilical. Se hará una segunda prueba entre el primero y el segundo meses de vida. Obtener la muestra desde los 14 días de edad permite decidir si se emprende la administración de antirretrovíricos en fecha más temprana. Se recomienda practicar un tercer estudio entre los dos y los cuatro meses de edad. Todas las veces en que haya positividad de la prueba, habrá necesidad de repetirla en una segunda muestra de sangre lo más pronto posible, para confirmar el diagnóstico. Se considera que el pequeño está infectado si hay positividad en dos muestras separadas.</w:t>
      </w:r>
      <w:r>
        <w:footnoteReference w:id="34"/>
      </w:r>
      <w:r>
        <w:t xml:space="preserve"> Habrá que identificar anticuerpos contra VIH en muestras de sangre, líquidos de la boca u orina. Se ha aprobado para usar en Estados Unidos un método rápido para identificar anticuerpos contra VIH; el estudio en cuestión se usa ampliamente a nivel mundial, en particular como método de detección sistemática en unidades de atención obstétrica. Puede descartarse razonablemente la presencia de la infección cuando son negativas dos técnicas de PCR de DNA de VIH hechas cuando el pequeño tiene un mes de edad o más, y la tercera se realiza en una muestra obtenida a los cuatro meses o más. Otra posibilidad es considerar como no infectado a un pequeño que en dos muestras de sangre no mostró anticuerpos contra VIH, obtenidas después de seis meses de vida y separadas por un intervalo de un mes, como mínimo.</w:t>
      </w:r>
    </w:p>
    <w:p w14:paraId="35BCB71B" w14:textId="77777777" w:rsidR="00093A32" w:rsidRDefault="00093A32">
      <w:pPr>
        <w:pStyle w:val="BodyText"/>
        <w:ind w:firstLine="360"/>
      </w:pPr>
      <w:r>
        <w:t>Los inmunoanálisis enzimáticos se usan de manera generalizada como el método inicial para detectar anticuerpos séricos contra VIH, y son muy sensibles y específicos. Es necesario repetirlos en caso de que las muestras primeras fueran reactivas para así disminuir la mínima posibilidad de un error de laboratorio. Conviene recurrir a la inmunotransferencia (“mancha Western”) o a la medición de anticuerpos por inmunofluorescencia indirecta para así confirmar los datos y superar el problema de un resultado positivo falso con EIA. La presencia de anticuerpos contra VIH en un niño de 18 meses o mayor suele denotar infección.</w:t>
      </w:r>
      <w:r>
        <w:footnoteReference w:id="35"/>
      </w:r>
    </w:p>
    <w:p w14:paraId="23C96898" w14:textId="77777777" w:rsidR="00093A32" w:rsidRDefault="00093A32">
      <w:pPr>
        <w:pStyle w:val="BodyText"/>
        <w:ind w:firstLine="360"/>
      </w:pPr>
      <w:r>
        <w:t>En casi todos los sujetos infectados aparecen anticuerpos séricos contra VIH, con excepción de la persona rara que es hipogammaglobulinémica y los escasos pacientes de SIDA que se tornan seronegativos en etapas ulteriores de la enfermedad. También pierden los anticuerpos detectables algunos pequeños que reciben combinaciones de antirretrovíricos desde su primera infancia pero que permanecen infectados.</w:t>
      </w:r>
    </w:p>
    <w:p w14:paraId="00BE4446" w14:textId="77777777" w:rsidR="00093A32" w:rsidRDefault="00093A32">
      <w:pPr>
        <w:pStyle w:val="BodyText"/>
        <w:ind w:firstLine="360"/>
      </w:pPr>
      <w:r>
        <w:t>El dato más notable de estudios de laboratorios en menores infectados en etapa perinatal es la cifra alta de virus (gran carga vírica) (medidos por PCR de RNA), que no disminuye rápidamente en el primer año de vida, salvo que se comience a administrar la terapia antirretrovírica mixta. Al evolucionar la enfermedad se pierde cada vez más la inmunidad mediada por células. El número de linfocitos en sangre periférica al nacimiento y en los primeros años de la infección puede ser normal, pero al final surge linfopenia que es consecuencia de una disminución del número total de linfocitos T y CD4+ circulantes. En los comienzos suele aumentar el número de linfocitos CD8+ supresores T y no hay depleción de las células CD8+ sino en etapa tardía de la infección. Los cambios anteriores en la poblaciones celulares hace que disminuya la proporción normal de CD4+/CD8+. Este dato inespecífico, a pesar de ser característico de la infección por VIH, también se observa con otras infecciones víricas agudas como las causadas por CMV y virus de Epstein-Barr. Las cifras normales de los linfocitos CD4+ en sangre periférica dependen de la edad; en el cuadro 3-33 se incluyen los límites inferiores de los recuentos normales.</w:t>
      </w:r>
    </w:p>
    <w:p w14:paraId="1E4DD59F" w14:textId="77777777" w:rsidR="00093A32" w:rsidRDefault="00093A32">
      <w:pPr>
        <w:pStyle w:val="BodyText"/>
        <w:ind w:firstLine="360"/>
      </w:pPr>
      <w:r>
        <w:t>A pesar de que el número de linfocitos B permanezca normal o aumente moderadamente, antes de que surja la disfunción celular y al mismo tiempo que ella, puede haber disfunción de la inmunidad de tipo humoral. Entre las manifestaciones de tal disfunción están el aumento de las concentraciones de inmunoglobulinas (Ig) séricas, en particular IgG e IgA. Las respuestas de anticuerpos específicos a antígenos a los que no había estado expuesto el paciente pueden ser anormales, y en etapas ulteriores de la enfermedad las respuestas anamnésicas de anticuerpos son lentas y disminuye su magnitud. Una proporción pequeña de pacientes (&lt;10%) terminará por mostrar panhipogammaglobulinemia.</w:t>
      </w:r>
    </w:p>
    <w:p w14:paraId="2B090457" w14:textId="77777777" w:rsidR="00093A32" w:rsidRDefault="00093A32">
      <w:pPr>
        <w:pStyle w:val="Bodytext20"/>
        <w:spacing w:line="302" w:lineRule="auto"/>
        <w:ind w:firstLine="360"/>
      </w:pPr>
      <w:r>
        <w:rPr>
          <w:rFonts w:ascii="Arial" w:eastAsia="Arial" w:hAnsi="Arial" w:cs="Arial"/>
          <w:b/>
          <w:bCs/>
          <w:i/>
          <w:iCs/>
          <w:sz w:val="15"/>
          <w:szCs w:val="15"/>
        </w:rPr>
        <w:t>Métodos serológicos en busca de VIH en etapa perinatal.</w:t>
      </w:r>
      <w:r>
        <w:rPr>
          <w:rFonts w:ascii="Garamond" w:eastAsia="Garamond" w:hAnsi="Garamond" w:cs="Garamond"/>
          <w:sz w:val="19"/>
          <w:szCs w:val="19"/>
        </w:rPr>
        <w:t xml:space="preserve"> En Estados Unidos, las recomendaciones de la </w:t>
      </w:r>
      <w:r>
        <w:rPr>
          <w:i/>
          <w:iCs/>
        </w:rPr>
        <w:t>American Academy of Pediatrics (AAP)</w:t>
      </w:r>
      <w:r>
        <w:rPr>
          <w:rFonts w:ascii="Garamond" w:eastAsia="Garamond" w:hAnsi="Garamond" w:cs="Garamond"/>
          <w:sz w:val="19"/>
          <w:szCs w:val="19"/>
        </w:rPr>
        <w:t xml:space="preserve"> y del </w:t>
      </w:r>
      <w:r>
        <w:rPr>
          <w:i/>
          <w:iCs/>
        </w:rPr>
        <w:t>American College of Obstetricians and Gynecologists incluyen?</w:t>
      </w:r>
    </w:p>
    <w:p w14:paraId="13F838D7" w14:textId="77777777" w:rsidR="00093A32" w:rsidRDefault="00093A32">
      <w:pPr>
        <w:pStyle w:val="BodyText"/>
        <w:ind w:left="360" w:hanging="360"/>
      </w:pPr>
      <w:r>
        <w:t>• Con base en avances recientes en la profilaxia para disminuir la frecuencia de transmisión perinatal de VIH, AAP recomienda sistemáticamente el consejo y la práctica de métodos, después de obtener el consentimiento de toda embarazada en Estados Unidos. El consentimiento para emprender pruebas en la madre en busca de VIH puede obtenerse en diversas formas que incluyen el derecho de rechazo (es decir se practicarán las pruebas salvo que las rechace por escrito la paciente). AAP apoya el empleo de métodos por consentimiento que faciliten la incorporación rápida de la enseñanza y la práctica de pruebas para buscar VIH, en las instituciones de atención médica habitual. En el caso de mujeres estudiadas por profesionales asistenciales por primera vez durante la primera etapa del parto y en quienes no se han practicado pruebas para detectar infección por VIH en el embarazo presente, hay que pensar en la orientación y en la práctica inmediata de tales pruebas, porque es recomendable administrar antirretrovíricos; esta medida puede disminuir la posibilidad de transmisión. Se recomienda en el periodo perinatal seguir ofreciendo información y orientación sobre la infección por virus de inmunodeficiencia humana.</w:t>
      </w:r>
    </w:p>
    <w:p w14:paraId="34A946EB" w14:textId="77777777" w:rsidR="00093A32" w:rsidRDefault="00093A32">
      <w:pPr>
        <w:pStyle w:val="BodyText"/>
        <w:numPr>
          <w:ilvl w:val="0"/>
          <w:numId w:val="75"/>
        </w:numPr>
        <w:tabs>
          <w:tab w:val="left" w:pos="341"/>
        </w:tabs>
        <w:ind w:left="360" w:hanging="360"/>
      </w:pPr>
      <w:bookmarkStart w:id="305" w:name="bookmark908"/>
      <w:bookmarkEnd w:id="305"/>
      <w:r>
        <w:t>La enseñanza habitual respecto de la infección por VIH y la práctica de pruebas para detectarlo deben ser parte de un programa integral de asistencia para mujeres.</w:t>
      </w:r>
    </w:p>
    <w:p w14:paraId="5D12670B" w14:textId="77777777" w:rsidR="00093A32" w:rsidRDefault="00093A32">
      <w:pPr>
        <w:pStyle w:val="BodyText"/>
        <w:numPr>
          <w:ilvl w:val="0"/>
          <w:numId w:val="75"/>
        </w:numPr>
        <w:tabs>
          <w:tab w:val="left" w:pos="341"/>
        </w:tabs>
        <w:ind w:left="360" w:hanging="360"/>
      </w:pPr>
      <w:bookmarkStart w:id="306" w:name="bookmark909"/>
      <w:bookmarkEnd w:id="306"/>
      <w:r>
        <w:t>Si en el embarazo o el puerperio se desconoció el estado de la madre en cuanto a sus anticuerpos contra VIH, un profesional en asistencia neonatal debe informar a la mujer sobre los posibles beneficios de practicar las pruebas para detectar el virus en su pequeño, y los posibles riesgos y beneficios que ella obtendrá al conocer el estado serológico de su hijo, y recomendará la práctica inmediata de tal prueba en el recién nacido.</w:t>
      </w:r>
    </w:p>
    <w:p w14:paraId="26080600" w14:textId="77777777" w:rsidR="00093A32" w:rsidRDefault="00093A32">
      <w:pPr>
        <w:pStyle w:val="BodyText"/>
        <w:numPr>
          <w:ilvl w:val="0"/>
          <w:numId w:val="75"/>
        </w:numPr>
        <w:tabs>
          <w:tab w:val="left" w:pos="341"/>
        </w:tabs>
        <w:ind w:left="360" w:hanging="360"/>
      </w:pPr>
      <w:bookmarkStart w:id="307" w:name="bookmark910"/>
      <w:bookmarkEnd w:id="307"/>
      <w:r>
        <w:t>Si no se sabe el estado de anticuerpos contra VIH en la mujer y no se cuenta con algunos de los progenitores para que apruebe la práctica de métodos para buscar anticuerpos contra VIH en el recién nacido, se emprenderán procedimientos para facilitar la valoración rápida del pequeño y la práctica de las pruebas necesarias.</w:t>
      </w:r>
    </w:p>
    <w:p w14:paraId="1CDAE680" w14:textId="77777777" w:rsidR="00093A32" w:rsidRDefault="00093A32">
      <w:pPr>
        <w:pStyle w:val="BodyText"/>
        <w:numPr>
          <w:ilvl w:val="0"/>
          <w:numId w:val="75"/>
        </w:numPr>
        <w:tabs>
          <w:tab w:val="left" w:pos="341"/>
        </w:tabs>
        <w:ind w:left="360" w:hanging="360"/>
      </w:pPr>
      <w:bookmarkStart w:id="308" w:name="bookmark911"/>
      <w:bookmarkEnd w:id="308"/>
      <w:r>
        <w:t>Es importante transmitir a los profesionales que atienden al neonato, los datos del estado serológico en cuanto a VIH de la mujer, para así emprender las medidas adecuadas y también las pruebas idóneas en el pequeño. En forma semejante, si se advierte que él es seropositivo, pero se desconoce si la madre está infectada, el profesional de asistencia neonatal debe asegurarse de que la madre conozca esta información, así como su importancia y, con su consentimiento, se informe al profesional que la atiende. Es importante enviar a la mujer a un servicio adecuado, en que se atiendan casos de infección por VIH para adultos.</w:t>
      </w:r>
    </w:p>
    <w:p w14:paraId="14C96E55" w14:textId="77777777" w:rsidR="00093A32" w:rsidRDefault="00093A32">
      <w:pPr>
        <w:pStyle w:val="BodyText"/>
        <w:numPr>
          <w:ilvl w:val="0"/>
          <w:numId w:val="75"/>
        </w:numPr>
        <w:tabs>
          <w:tab w:val="left" w:pos="341"/>
        </w:tabs>
        <w:ind w:left="360" w:hanging="360"/>
      </w:pPr>
      <w:bookmarkStart w:id="309" w:name="bookmark912"/>
      <w:bookmarkEnd w:id="309"/>
      <w:r>
        <w:t>Es importante que todas las mujeres infectadas, sus productos y los demás miembros de la familia tengan acceso a servicios médicos integrales vinculados con virus de inmunodeficiencia humana.</w:t>
      </w:r>
    </w:p>
    <w:p w14:paraId="0E9A5E57" w14:textId="77777777" w:rsidR="00093A32" w:rsidRDefault="00093A32">
      <w:pPr>
        <w:pStyle w:val="BodyText"/>
        <w:numPr>
          <w:ilvl w:val="0"/>
          <w:numId w:val="75"/>
        </w:numPr>
        <w:tabs>
          <w:tab w:val="left" w:pos="341"/>
        </w:tabs>
        <w:ind w:left="360" w:hanging="360"/>
      </w:pPr>
      <w:bookmarkStart w:id="310" w:name="bookmark913"/>
      <w:bookmarkEnd w:id="310"/>
      <w:r>
        <w:t>La AAP apoya las leyes y las normas públicas orientadas a eliminar cualquier forma de discriminación por el estado serológico respecto del virus de inmunodeficiencia humana.</w:t>
      </w:r>
    </w:p>
    <w:p w14:paraId="5321F091" w14:textId="77777777" w:rsidR="00093A32" w:rsidRDefault="00093A32">
      <w:pPr>
        <w:pStyle w:val="BodyText"/>
        <w:numPr>
          <w:ilvl w:val="0"/>
          <w:numId w:val="75"/>
        </w:numPr>
        <w:tabs>
          <w:tab w:val="left" w:pos="341"/>
        </w:tabs>
        <w:spacing w:line="288" w:lineRule="auto"/>
        <w:ind w:left="360" w:hanging="360"/>
      </w:pPr>
      <w:bookmarkStart w:id="311" w:name="bookmark914"/>
      <w:bookmarkEnd w:id="311"/>
      <w:r>
        <w:t xml:space="preserve">Parte de un programa integral de asistencia de adolescentes debe ser la enseñanza sistemática de todo lo relacionado con la infección por VIH y las pruebas idóneas. </w:t>
      </w:r>
      <w:r>
        <w:rPr>
          <w:rFonts w:ascii="Arial" w:eastAsia="Arial" w:hAnsi="Arial" w:cs="Arial"/>
          <w:b/>
          <w:bCs/>
          <w:i/>
          <w:iCs/>
          <w:sz w:val="15"/>
          <w:szCs w:val="15"/>
        </w:rPr>
        <w:t>Consentimiento informado para practicar métodos serológicos en busca de VIH.</w:t>
      </w:r>
      <w:r>
        <w:t xml:space="preserve"> Los</w:t>
      </w:r>
    </w:p>
    <w:p w14:paraId="5816D705" w14:textId="77777777" w:rsidR="00093A32" w:rsidRDefault="00093A32">
      <w:pPr>
        <w:pStyle w:val="BodyText"/>
        <w:ind w:firstLine="0"/>
      </w:pPr>
      <w:r>
        <w:t>métodos para el diagnóstico de infección por VIH se diferencian de casi todos los procedimientos hematológicos habituales porque pueden conllevar el peligro de discriminación en el trabajo, la escuela, los centros de atención pediátricos y los seguros de diverso tipo. Es importante orientar a los padres u otros cuidadores primarios y al paciente (si tiene edad suficiente para entender) sobre los posibles riesgos y beneficios de someter a pruebas al niño en busca de infección por VIH y las consecuencias de tal decisión. La necesidad de consejo y consentimiento no debe entorpecer los intentos de hacer las pruebas apropiadas para diagnosticar la infección. Se obtendrá el consentimiento de los progenitores o del tutor legal y se señalará por escrito en el expediente clínico del niño. Al decidir si se necesita el consentimiento escrito se tomarán en consideración las normas y leyes estatales, locales y del hospital, y las circunstancias en que deben hacerse tales pruebas sin consentimiento. La negativa de los padres y los pacientes a dar su consentimiento no releva a los médicos de responsabilidades profesionales y legales hacia sus enfermos. Si el médico piensa que la práctica de las pruebas es esencial para la salud del menor, es posible la autorización para hacerlas mediante las leyes de la localidad, y se puede obtener por otros medios. Los resultados de las pruebas serológicas deben ser expuestos en persona a los parientes, cuidador primario y si conviene según la edad, al paciente. En muchos estados de la Unión Americana, los menores adolescentes pueden brindar su propio consentimiento para la práctica de estudios, pero es mejor buscar la participación de un adulto que apoye tal decisión. También hay que dar consejo y vigilancia apropiadas. Mantener el carácter confidencial en todos los casos es esencial para conservar la confianza del paciente y sus padres, y también para obtener su consentimiento.</w:t>
      </w:r>
    </w:p>
    <w:p w14:paraId="7F43CDAE" w14:textId="77777777" w:rsidR="00093A32" w:rsidRDefault="00093A32">
      <w:pPr>
        <w:pStyle w:val="BodyText"/>
        <w:spacing w:line="276" w:lineRule="auto"/>
        <w:ind w:firstLine="0"/>
      </w:pPr>
      <w:r>
        <w:rPr>
          <w:b/>
          <w:bCs/>
        </w:rPr>
        <w:t>T</w:t>
      </w:r>
      <w:r>
        <w:rPr>
          <w:b/>
          <w:bCs/>
          <w:sz w:val="13"/>
          <w:szCs w:val="13"/>
        </w:rPr>
        <w:t>RATAMIENTO</w:t>
      </w:r>
      <w:r>
        <w:rPr>
          <w:b/>
          <w:bCs/>
        </w:rPr>
        <w:t xml:space="preserve">: </w:t>
      </w:r>
      <w:r>
        <w:t>(Véanse cuadros 4-9 a 4-11, que incluyen una lista de fármacos antirretrovíricos y sus dosis recomendadas). Es importante instar a los médicos de atención primaria para que participen activamente en la atención de los niños infectados, en consulta con los especialistas expertos en la atención de menores y adolescentes con tal problema. Se pueden obtener de manera directa (</w:t>
      </w:r>
      <w:hyperlink r:id="rId442" w:history="1">
        <w:r>
          <w:t>www.aidsinfo.nih.gov</w:t>
        </w:r>
      </w:hyperlink>
      <w:r>
        <w:t xml:space="preserve">) las recomendaciones terapéuticas actuales para aplicar a los niños infectados por VIH. En la medida de lo posible habrá que alentar la participación de un menor con la infección, en los estudios clínicos asequibles. Los adolescentes y los niños pueden obtener datos de la participación mencionada, al ponerse en contacto con AIDS </w:t>
      </w:r>
      <w:r>
        <w:rPr>
          <w:rFonts w:ascii="Times New Roman" w:eastAsia="Times New Roman" w:hAnsi="Times New Roman" w:cs="Times New Roman"/>
          <w:i/>
          <w:iCs/>
          <w:sz w:val="16"/>
          <w:szCs w:val="16"/>
        </w:rPr>
        <w:t>Clinical Trial Information Service</w:t>
      </w:r>
      <w:r>
        <w:rPr>
          <w:i/>
          <w:iCs/>
        </w:rPr>
        <w:t>.</w:t>
      </w:r>
      <w:r>
        <w:rPr>
          <w:i/>
          <w:iCs/>
        </w:rPr>
        <w:footnoteReference w:id="36"/>
      </w:r>
    </w:p>
    <w:p w14:paraId="67367782" w14:textId="77777777" w:rsidR="00093A32" w:rsidRDefault="00093A32">
      <w:pPr>
        <w:pStyle w:val="BodyText"/>
        <w:ind w:firstLine="360"/>
      </w:pPr>
      <w:r>
        <w:t>En casi todos los niños infectados por VIH está indicada la administración de antirretrovíricos, y el comienzo de la terapia depende de criterios virológicos, inmunológicos y clínicos.! Es un terreno en que se suceden cambios rápidos, por lo que es conveniente consultar con un experto en infección por VIH en niños. Muchos de los conocedores en este terreno recomiendan administrar antirretrovíricos en todo niño infectado, menor de 12 meses de vida, o si se detectan más de 100 000 copias de RNA de VIH por ml de plasma, sea cual sea la edad del menor. El tratamiento debe incluir como mínimo tres antirretrovíricos, dada la disminución óptima del número de virus y el mejor pronóstico que conlleva una menor “carga” vírica. Algunos expertos quizá se decidan por no emprender el tratamiento en niños mayores de un año de edad que están expuestos a un riesgo pequeño de evolución de la enfermedad (tienen un número de virus pequeño, no tienen síntomas y su número de linfocitos T CD4+ es normal). El tratamiento de los adolescentes suele adaptarse a las directrices para adultos, aunque hay una moderada variación en las dosis de los fármacos según el desarrollo físico (estadios de Tanner).</w:t>
      </w:r>
      <w:r>
        <w:footnoteReference w:id="37"/>
      </w:r>
    </w:p>
    <w:p w14:paraId="2F939443" w14:textId="77777777" w:rsidR="00093A32" w:rsidRDefault="00093A32">
      <w:pPr>
        <w:pStyle w:val="BodyText"/>
        <w:ind w:firstLine="360"/>
      </w:pPr>
      <w:r>
        <w:t>Se ha demostrado que la terapia con antirretrovíricos mixta es más eficaz que un solo fármaco. Los datos indican que se logra supresión satisfactoria del virus con tres fármacos, que incluyen un inhibidor de proteasa o un inhibidor no nucleósido de la transcriptasa inversa, lo cual indica que en la medida de lo posible habrá que administrar tres antirretrovíricos. El objetivo buscado es suprimir el virus hasta niveles no detectables. Hay que pensar en algún cambio en los antirretrovíricos si hay signos de evolución de la enfermedad (virológicos, inmunológicos o clínicos), efectos tóxicos o intolerancia a fármacos o datos que sugieren un régimen superior.</w:t>
      </w:r>
    </w:p>
    <w:p w14:paraId="4BABA69B" w14:textId="77777777" w:rsidR="00093A32" w:rsidRDefault="00093A32">
      <w:pPr>
        <w:pStyle w:val="BodyText"/>
        <w:ind w:firstLine="360"/>
      </w:pPr>
      <w:r>
        <w:t>Es recomendable aplicar el concentrado inmunoglobulínico intravenoso (IGIV) en combinación con los antirretrovíricos sólo en niños infectados que tienen uno o más de los elementos siguientes: 1) hipogammaglobulinemia (IgG &lt;400 mg/100 ml [4.0 g/L]); 2) infecciones bacterianas graves y recurrentes que se definen como dos o más de ellas, como bacteriemia, meningitis o neumonía en un lapso de un año (a pesar de que no se logra beneficio adicional con el concentrado inmunoglobulínico en niños que reciben trimetoprim-sulfametoxazol como profilaxia contra PCP); 3) incapacidad de sintetizar anticuerpos contra antígenos comunes, y 4) infecciones crónicas por parvovirus B19. La dosis del concentrado IGIV por lo común es de 400 mg/kg de peso por dosis, cada cuatro semanas. A veces se necesitan dosis mayores en el caso de infección por parvovirus B19. Asimismo, puede ser útil administrar concentrado inmunoglobulínico contra Rh (D) o IGIV para tratar la trombocitopenia vinculada con VIH en una dosis de 500 a 1 000 mg/kg al día durante tres a cinco días. Además, los niños con bronquiectasia pueden beneficiarse de la terapia coadyuvante con IGIV a razón de 600 mg/kg de peso por dosis, cada mes.</w:t>
      </w:r>
    </w:p>
    <w:p w14:paraId="1323611A" w14:textId="77777777" w:rsidR="00093A32" w:rsidRDefault="00093A32">
      <w:pPr>
        <w:pStyle w:val="BodyText"/>
        <w:ind w:firstLine="360"/>
      </w:pPr>
      <w:r>
        <w:t xml:space="preserve">El diagnóstico temprano y el tratamiento intensivo de infecciones por oportunistas pueden prolongar la vida. Es importante identificar por diversos métodos la infección por el virus de hepatitis C en pequeños que nacieron de una madre que tenía las dos enfermedades, por VIH y hepatitis C. PCP puede ser una complicación temprana de infección por VIH adquirida en fase perinatal y la cifra de mortalidad es alta; por tales motivos habrá que emprender la quimioprofilaxia en productos expuestos a VIH. En el caso de niños menores de 12 meses de vida con infección posible o probada por VIH, habrá que emprender profilaxia contra PCP desde las cuatro a seis semanas de edad y continuar todo el primer año de vida, salvo que se descarte la infección por VIH. La necesidad de profilaxia contra PCP en el caso de niños de un año de edad o mayores infectados por VIH depende del número de linfocitos T CD4+ específicos de la edad (véase </w:t>
      </w:r>
      <w:r>
        <w:rPr>
          <w:rFonts w:ascii="Times New Roman" w:eastAsia="Times New Roman" w:hAnsi="Times New Roman" w:cs="Times New Roman"/>
          <w:i/>
          <w:iCs/>
          <w:sz w:val="16"/>
          <w:szCs w:val="16"/>
        </w:rPr>
        <w:t>“Pneumocystis jiroveci</w:t>
      </w:r>
      <w:r>
        <w:rPr>
          <w:i/>
          <w:iCs/>
        </w:rPr>
        <w:t>,</w:t>
      </w:r>
      <w:r>
        <w:t xml:space="preserve"> infecciones por” en esta sección).</w:t>
      </w:r>
    </w:p>
    <w:p w14:paraId="4F50DF49" w14:textId="77777777" w:rsidR="00093A32" w:rsidRDefault="00093A32">
      <w:pPr>
        <w:pStyle w:val="BodyText"/>
        <w:ind w:firstLine="360"/>
      </w:pPr>
      <w:r>
        <w:t xml:space="preserve">Las directrices para la prevención y el tratamiento de infecciones por oportunistas en niños, adolescentes y adultos aportan indicaciones para administrar fármacos contra infección por MAC, CMV, toxoplasmosis y otros microorganismos.! Como dato notable, la administración de antirretrovíricos potentes y muy activos </w:t>
      </w:r>
      <w:r>
        <w:rPr>
          <w:rFonts w:ascii="Times New Roman" w:eastAsia="Times New Roman" w:hAnsi="Times New Roman" w:cs="Times New Roman"/>
          <w:i/>
          <w:iCs/>
          <w:sz w:val="16"/>
          <w:szCs w:val="16"/>
        </w:rPr>
        <w:t>(highly active antiretroviral therapy, HAART)</w:t>
      </w:r>
      <w:r>
        <w:t xml:space="preserve"> que logran suprimir la réplica de VIH hasta niveles no détectables ha disminuido la aparición de infecciones por oportunistas; también ha disminuido en forma impresionante la frecuencia de PCI, retinitis por CMV, infección por MAC, toxoplasmosis y criptosporidiosis. No se dispone de datos sobre la inocuidad de interrumpir la profilaxia en niños infectados por VIH que reciben HAART; se espera que persista la evolución de las recomendaciones para orientar a los médicos respecto al momento de interrumpir la profilaxia en niños en quienes ha sido satisfactoria la supresión de los virus y también la reconstitución inmunitaria, conforme se tengan mayores datos.</w:t>
      </w:r>
    </w:p>
    <w:p w14:paraId="6C92E03D" w14:textId="77777777" w:rsidR="00093A32" w:rsidRDefault="00093A32">
      <w:pPr>
        <w:pStyle w:val="BodyText"/>
        <w:spacing w:line="298" w:lineRule="auto"/>
        <w:ind w:firstLine="380"/>
      </w:pPr>
      <w:r>
        <w:rPr>
          <w:rFonts w:ascii="Arial" w:eastAsia="Arial" w:hAnsi="Arial" w:cs="Arial"/>
          <w:b/>
          <w:bCs/>
          <w:i/>
          <w:iCs/>
          <w:sz w:val="15"/>
          <w:szCs w:val="15"/>
        </w:rPr>
        <w:t>Recomendaciones de vacunaciones</w:t>
      </w:r>
      <w:r>
        <w:t xml:space="preserve"> (véanse también “Niños inmunodeficientes”, sección 1 y cuadro 3-35).</w:t>
      </w:r>
    </w:p>
    <w:p w14:paraId="59B17381" w14:textId="77777777" w:rsidR="00093A32" w:rsidRDefault="00093A32">
      <w:pPr>
        <w:pStyle w:val="BodyText"/>
        <w:spacing w:after="300"/>
        <w:ind w:firstLine="380"/>
      </w:pPr>
      <w:r>
        <w:t xml:space="preserve">Los niños infectados por VIH deben ser vacunados tan pronto convenga según su edad, y para ello se utilizarán vacunas de partículas inactivadas (toxoides de difteria y tétanos y vacuna acelular contra tos ferina </w:t>
      </w:r>
      <w:r>
        <w:rPr>
          <w:i/>
          <w:iCs/>
        </w:rPr>
        <w:t>[</w:t>
      </w:r>
      <w:r>
        <w:rPr>
          <w:rFonts w:ascii="Times New Roman" w:eastAsia="Times New Roman" w:hAnsi="Times New Roman" w:cs="Times New Roman"/>
          <w:i/>
          <w:iCs/>
          <w:sz w:val="16"/>
          <w:szCs w:val="16"/>
        </w:rPr>
        <w:t>diphtheria and tetanus toxoids and acellular pertussis</w:t>
      </w:r>
      <w:r>
        <w:rPr>
          <w:i/>
          <w:iCs/>
        </w:rPr>
        <w:t>,</w:t>
      </w:r>
      <w:r>
        <w:t xml:space="preserve"> DTaP], virus poliomielítico inactivado </w:t>
      </w:r>
      <w:r>
        <w:rPr>
          <w:i/>
          <w:iCs/>
        </w:rPr>
        <w:t>[</w:t>
      </w:r>
      <w:r>
        <w:rPr>
          <w:rFonts w:ascii="Times New Roman" w:eastAsia="Times New Roman" w:hAnsi="Times New Roman" w:cs="Times New Roman"/>
          <w:i/>
          <w:iCs/>
          <w:sz w:val="16"/>
          <w:szCs w:val="16"/>
        </w:rPr>
        <w:t>inactivated poliovirus</w:t>
      </w:r>
      <w:r>
        <w:rPr>
          <w:i/>
          <w:iCs/>
        </w:rPr>
        <w:t>,</w:t>
      </w:r>
      <w:r>
        <w:t xml:space="preserve"> IPV], </w:t>
      </w:r>
      <w:r>
        <w:rPr>
          <w:rFonts w:ascii="Times New Roman" w:eastAsia="Times New Roman" w:hAnsi="Times New Roman" w:cs="Times New Roman"/>
          <w:i/>
          <w:iCs/>
          <w:sz w:val="16"/>
          <w:szCs w:val="16"/>
        </w:rPr>
        <w:t>Haemophilus influenzae</w:t>
      </w:r>
      <w:r>
        <w:t xml:space="preserve"> tipo b, virus de hepatitis B y vacuna de conjugado neumocócico), y también la vacuna anual contra influenza. El plan sugerido para aplicar tales inmunógenos es el que plantea el Calendario de Vacunaciones Recomendado en Niños y Adolescentes (fig. 1-1). Ya no se recomienda utilizar sistemáticamente la vacuna de</w:t>
      </w:r>
    </w:p>
    <w:p w14:paraId="07A8F2B5" w14:textId="77777777" w:rsidR="00093A32" w:rsidRDefault="00093A32">
      <w:pPr>
        <w:pStyle w:val="Heading31"/>
        <w:keepNext/>
        <w:keepLines/>
        <w:spacing w:after="60" w:line="221" w:lineRule="auto"/>
        <w:jc w:val="center"/>
      </w:pPr>
      <w:bookmarkStart w:id="312" w:name="bookmark915"/>
      <w:bookmarkStart w:id="313" w:name="bookmark916"/>
      <w:bookmarkStart w:id="314" w:name="bookmark917"/>
      <w:r>
        <w:rPr>
          <w:b w:val="0"/>
          <w:bCs w:val="0"/>
        </w:rPr>
        <w:t xml:space="preserve">Cuadro 3.35. </w:t>
      </w:r>
      <w:r>
        <w:t>Recomendaciones para la vacunación sistemática de niños</w:t>
      </w:r>
      <w:r>
        <w:br/>
        <w:t>infectados con VIH en Estados Unidos</w:t>
      </w:r>
      <w:r>
        <w:rPr>
          <w:vertAlign w:val="superscript"/>
        </w:rPr>
        <w:t>1</w:t>
      </w:r>
      <w:bookmarkEnd w:id="312"/>
      <w:bookmarkEnd w:id="313"/>
      <w:bookmarkEnd w:id="314"/>
    </w:p>
    <w:tbl>
      <w:tblPr>
        <w:tblOverlap w:val="never"/>
        <w:tblW w:w="0" w:type="auto"/>
        <w:jc w:val="center"/>
        <w:tblLayout w:type="fixed"/>
        <w:tblCellMar>
          <w:left w:w="10" w:type="dxa"/>
          <w:right w:w="10" w:type="dxa"/>
        </w:tblCellMar>
        <w:tblLook w:val="04A0" w:firstRow="1" w:lastRow="0" w:firstColumn="1" w:lastColumn="0" w:noHBand="0" w:noVBand="1"/>
      </w:tblPr>
      <w:tblGrid>
        <w:gridCol w:w="1920"/>
        <w:gridCol w:w="2486"/>
        <w:gridCol w:w="2438"/>
      </w:tblGrid>
      <w:tr w:rsidR="00093A32" w14:paraId="43818BC3" w14:textId="77777777">
        <w:tblPrEx>
          <w:tblCellMar>
            <w:top w:w="0" w:type="dxa"/>
            <w:bottom w:w="0" w:type="dxa"/>
          </w:tblCellMar>
        </w:tblPrEx>
        <w:trPr>
          <w:trHeight w:hRule="exact" w:val="562"/>
          <w:jc w:val="center"/>
        </w:trPr>
        <w:tc>
          <w:tcPr>
            <w:tcW w:w="1920" w:type="dxa"/>
            <w:shd w:val="clear" w:color="auto" w:fill="231F20"/>
          </w:tcPr>
          <w:p w14:paraId="7773D13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Vacunas</w:t>
            </w:r>
          </w:p>
        </w:tc>
        <w:tc>
          <w:tcPr>
            <w:tcW w:w="2486" w:type="dxa"/>
            <w:shd w:val="clear" w:color="auto" w:fill="231F20"/>
          </w:tcPr>
          <w:p w14:paraId="312ECF9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400" w:firstLine="0"/>
              <w:rPr>
                <w:sz w:val="24"/>
                <w:szCs w:val="24"/>
              </w:rPr>
            </w:pPr>
            <w:r>
              <w:rPr>
                <w:rFonts w:ascii="Arial" w:eastAsia="Arial" w:hAnsi="Arial" w:cs="Arial"/>
                <w:b/>
                <w:bCs/>
                <w:color w:val="FFFFFF"/>
                <w:w w:val="70"/>
                <w:sz w:val="24"/>
                <w:szCs w:val="24"/>
              </w:rPr>
              <w:t>Infección sabida en niños asintomáticos</w:t>
            </w:r>
          </w:p>
        </w:tc>
        <w:tc>
          <w:tcPr>
            <w:tcW w:w="2438" w:type="dxa"/>
            <w:shd w:val="clear" w:color="auto" w:fill="231F20"/>
          </w:tcPr>
          <w:p w14:paraId="6BDE2014"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180" w:firstLine="0"/>
              <w:rPr>
                <w:sz w:val="24"/>
                <w:szCs w:val="24"/>
              </w:rPr>
            </w:pPr>
            <w:r>
              <w:rPr>
                <w:rFonts w:ascii="Arial" w:eastAsia="Arial" w:hAnsi="Arial" w:cs="Arial"/>
                <w:b/>
                <w:bCs/>
                <w:color w:val="FFFFFF"/>
                <w:w w:val="70"/>
                <w:sz w:val="24"/>
                <w:szCs w:val="24"/>
              </w:rPr>
              <w:t>Infección sintomática por VIH</w:t>
            </w:r>
          </w:p>
        </w:tc>
      </w:tr>
      <w:tr w:rsidR="00093A32" w14:paraId="001385A0" w14:textId="77777777">
        <w:tblPrEx>
          <w:tblCellMar>
            <w:top w:w="0" w:type="dxa"/>
            <w:bottom w:w="0" w:type="dxa"/>
          </w:tblCellMar>
        </w:tblPrEx>
        <w:trPr>
          <w:trHeight w:hRule="exact" w:val="288"/>
          <w:jc w:val="center"/>
        </w:trPr>
        <w:tc>
          <w:tcPr>
            <w:tcW w:w="1920" w:type="dxa"/>
            <w:shd w:val="clear" w:color="auto" w:fill="FFFFFF"/>
            <w:vAlign w:val="bottom"/>
          </w:tcPr>
          <w:p w14:paraId="5BDB924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Contra hepatitis B</w:t>
            </w:r>
          </w:p>
        </w:tc>
        <w:tc>
          <w:tcPr>
            <w:tcW w:w="2486" w:type="dxa"/>
            <w:shd w:val="clear" w:color="auto" w:fill="FFFFFF"/>
            <w:vAlign w:val="bottom"/>
          </w:tcPr>
          <w:p w14:paraId="118790DA"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vAlign w:val="bottom"/>
          </w:tcPr>
          <w:p w14:paraId="18CCB39E"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p>
        </w:tc>
      </w:tr>
      <w:tr w:rsidR="00093A32" w14:paraId="34711A7A" w14:textId="77777777">
        <w:tblPrEx>
          <w:tblCellMar>
            <w:top w:w="0" w:type="dxa"/>
            <w:bottom w:w="0" w:type="dxa"/>
          </w:tblCellMar>
        </w:tblPrEx>
        <w:trPr>
          <w:trHeight w:hRule="exact" w:val="202"/>
          <w:jc w:val="center"/>
        </w:trPr>
        <w:tc>
          <w:tcPr>
            <w:tcW w:w="1920" w:type="dxa"/>
            <w:shd w:val="clear" w:color="auto" w:fill="FFFFFF"/>
          </w:tcPr>
          <w:p w14:paraId="07F9FAB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DTaP</w:t>
            </w:r>
          </w:p>
        </w:tc>
        <w:tc>
          <w:tcPr>
            <w:tcW w:w="2486" w:type="dxa"/>
            <w:shd w:val="clear" w:color="auto" w:fill="FFFFFF"/>
          </w:tcPr>
          <w:p w14:paraId="1C13B259"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tcPr>
          <w:p w14:paraId="3AADB121"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p>
        </w:tc>
      </w:tr>
      <w:tr w:rsidR="00093A32" w14:paraId="67FC41C3" w14:textId="77777777">
        <w:tblPrEx>
          <w:tblCellMar>
            <w:top w:w="0" w:type="dxa"/>
            <w:bottom w:w="0" w:type="dxa"/>
          </w:tblCellMar>
        </w:tblPrEx>
        <w:trPr>
          <w:trHeight w:hRule="exact" w:val="226"/>
          <w:jc w:val="center"/>
        </w:trPr>
        <w:tc>
          <w:tcPr>
            <w:tcW w:w="1920" w:type="dxa"/>
            <w:shd w:val="clear" w:color="auto" w:fill="FFFFFF"/>
            <w:vAlign w:val="bottom"/>
          </w:tcPr>
          <w:p w14:paraId="72118BD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IPV</w:t>
            </w:r>
            <w:r>
              <w:rPr>
                <w:rFonts w:ascii="Times New Roman" w:eastAsia="Times New Roman" w:hAnsi="Times New Roman" w:cs="Times New Roman"/>
                <w:sz w:val="16"/>
                <w:szCs w:val="16"/>
                <w:vertAlign w:val="superscript"/>
              </w:rPr>
              <w:t>2</w:t>
            </w:r>
          </w:p>
        </w:tc>
        <w:tc>
          <w:tcPr>
            <w:tcW w:w="2486" w:type="dxa"/>
            <w:shd w:val="clear" w:color="auto" w:fill="FFFFFF"/>
            <w:vAlign w:val="bottom"/>
          </w:tcPr>
          <w:p w14:paraId="262EA8EC"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vAlign w:val="bottom"/>
          </w:tcPr>
          <w:p w14:paraId="67133C46"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p>
        </w:tc>
      </w:tr>
      <w:tr w:rsidR="00093A32" w14:paraId="04344437" w14:textId="77777777">
        <w:tblPrEx>
          <w:tblCellMar>
            <w:top w:w="0" w:type="dxa"/>
            <w:bottom w:w="0" w:type="dxa"/>
          </w:tblCellMar>
        </w:tblPrEx>
        <w:trPr>
          <w:trHeight w:hRule="exact" w:val="235"/>
          <w:jc w:val="center"/>
        </w:trPr>
        <w:tc>
          <w:tcPr>
            <w:tcW w:w="1920" w:type="dxa"/>
            <w:shd w:val="clear" w:color="auto" w:fill="FFFFFF"/>
            <w:vAlign w:val="bottom"/>
          </w:tcPr>
          <w:p w14:paraId="5373CB1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Triple (MMR)</w:t>
            </w:r>
          </w:p>
        </w:tc>
        <w:tc>
          <w:tcPr>
            <w:tcW w:w="2486" w:type="dxa"/>
            <w:shd w:val="clear" w:color="auto" w:fill="FFFFFF"/>
            <w:vAlign w:val="bottom"/>
          </w:tcPr>
          <w:p w14:paraId="1C43888D"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vAlign w:val="bottom"/>
          </w:tcPr>
          <w:p w14:paraId="65DA5679"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r>
              <w:rPr>
                <w:rFonts w:ascii="Times New Roman" w:eastAsia="Times New Roman" w:hAnsi="Times New Roman" w:cs="Times New Roman"/>
                <w:sz w:val="16"/>
                <w:szCs w:val="16"/>
                <w:vertAlign w:val="superscript"/>
              </w:rPr>
              <w:t>3</w:t>
            </w:r>
          </w:p>
        </w:tc>
      </w:tr>
      <w:tr w:rsidR="00093A32" w14:paraId="6B0D8288" w14:textId="77777777">
        <w:tblPrEx>
          <w:tblCellMar>
            <w:top w:w="0" w:type="dxa"/>
            <w:bottom w:w="0" w:type="dxa"/>
          </w:tblCellMar>
        </w:tblPrEx>
        <w:trPr>
          <w:trHeight w:hRule="exact" w:val="206"/>
          <w:jc w:val="center"/>
        </w:trPr>
        <w:tc>
          <w:tcPr>
            <w:tcW w:w="1920" w:type="dxa"/>
            <w:shd w:val="clear" w:color="auto" w:fill="FFFFFF"/>
          </w:tcPr>
          <w:p w14:paraId="6429A6C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Hib</w:t>
            </w:r>
          </w:p>
        </w:tc>
        <w:tc>
          <w:tcPr>
            <w:tcW w:w="2486" w:type="dxa"/>
            <w:shd w:val="clear" w:color="auto" w:fill="FFFFFF"/>
          </w:tcPr>
          <w:p w14:paraId="2CF108D9"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tcPr>
          <w:p w14:paraId="35ED48C5"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p>
        </w:tc>
      </w:tr>
      <w:tr w:rsidR="00093A32" w14:paraId="184A7BE6" w14:textId="77777777">
        <w:tblPrEx>
          <w:tblCellMar>
            <w:top w:w="0" w:type="dxa"/>
            <w:bottom w:w="0" w:type="dxa"/>
          </w:tblCellMar>
        </w:tblPrEx>
        <w:trPr>
          <w:trHeight w:hRule="exact" w:val="221"/>
          <w:jc w:val="center"/>
        </w:trPr>
        <w:tc>
          <w:tcPr>
            <w:tcW w:w="1920" w:type="dxa"/>
            <w:shd w:val="clear" w:color="auto" w:fill="FFFFFF"/>
          </w:tcPr>
          <w:p w14:paraId="00559AD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Contra neumococos</w:t>
            </w:r>
            <w:r>
              <w:rPr>
                <w:rFonts w:ascii="Times New Roman" w:eastAsia="Times New Roman" w:hAnsi="Times New Roman" w:cs="Times New Roman"/>
                <w:sz w:val="16"/>
                <w:szCs w:val="16"/>
                <w:vertAlign w:val="superscript"/>
              </w:rPr>
              <w:t>4</w:t>
            </w:r>
          </w:p>
        </w:tc>
        <w:tc>
          <w:tcPr>
            <w:tcW w:w="2486" w:type="dxa"/>
            <w:shd w:val="clear" w:color="auto" w:fill="FFFFFF"/>
          </w:tcPr>
          <w:p w14:paraId="6F22C2B6"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tcPr>
          <w:p w14:paraId="2394A353"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p>
        </w:tc>
      </w:tr>
      <w:tr w:rsidR="00093A32" w14:paraId="1B177AD9" w14:textId="77777777">
        <w:tblPrEx>
          <w:tblCellMar>
            <w:top w:w="0" w:type="dxa"/>
            <w:bottom w:w="0" w:type="dxa"/>
          </w:tblCellMar>
        </w:tblPrEx>
        <w:trPr>
          <w:trHeight w:hRule="exact" w:val="226"/>
          <w:jc w:val="center"/>
        </w:trPr>
        <w:tc>
          <w:tcPr>
            <w:tcW w:w="1920" w:type="dxa"/>
            <w:shd w:val="clear" w:color="auto" w:fill="FFFFFF"/>
            <w:vAlign w:val="bottom"/>
          </w:tcPr>
          <w:p w14:paraId="7C7FEAB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Contra influenza</w:t>
            </w:r>
            <w:r>
              <w:rPr>
                <w:rFonts w:ascii="Times New Roman" w:eastAsia="Times New Roman" w:hAnsi="Times New Roman" w:cs="Times New Roman"/>
                <w:sz w:val="16"/>
                <w:szCs w:val="16"/>
                <w:vertAlign w:val="superscript"/>
              </w:rPr>
              <w:t>5</w:t>
            </w:r>
          </w:p>
        </w:tc>
        <w:tc>
          <w:tcPr>
            <w:tcW w:w="2486" w:type="dxa"/>
            <w:shd w:val="clear" w:color="auto" w:fill="FFFFFF"/>
            <w:vAlign w:val="bottom"/>
          </w:tcPr>
          <w:p w14:paraId="525D39BD"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Sí</w:t>
            </w:r>
          </w:p>
        </w:tc>
        <w:tc>
          <w:tcPr>
            <w:tcW w:w="2438" w:type="dxa"/>
            <w:shd w:val="clear" w:color="auto" w:fill="FFFFFF"/>
            <w:vAlign w:val="bottom"/>
          </w:tcPr>
          <w:p w14:paraId="5D7CE2D9"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Sí</w:t>
            </w:r>
          </w:p>
        </w:tc>
      </w:tr>
      <w:tr w:rsidR="00093A32" w14:paraId="7BC92C8F" w14:textId="77777777">
        <w:tblPrEx>
          <w:tblCellMar>
            <w:top w:w="0" w:type="dxa"/>
            <w:bottom w:w="0" w:type="dxa"/>
          </w:tblCellMar>
        </w:tblPrEx>
        <w:trPr>
          <w:trHeight w:hRule="exact" w:val="221"/>
          <w:jc w:val="center"/>
        </w:trPr>
        <w:tc>
          <w:tcPr>
            <w:tcW w:w="1920" w:type="dxa"/>
            <w:shd w:val="clear" w:color="auto" w:fill="FFFFFF"/>
          </w:tcPr>
          <w:p w14:paraId="6ED08C6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Contra varicela</w:t>
            </w:r>
            <w:r>
              <w:rPr>
                <w:rFonts w:ascii="Times New Roman" w:eastAsia="Times New Roman" w:hAnsi="Times New Roman" w:cs="Times New Roman"/>
                <w:sz w:val="16"/>
                <w:szCs w:val="16"/>
                <w:vertAlign w:val="superscript"/>
              </w:rPr>
              <w:t>6</w:t>
            </w:r>
          </w:p>
        </w:tc>
        <w:tc>
          <w:tcPr>
            <w:tcW w:w="2486" w:type="dxa"/>
            <w:shd w:val="clear" w:color="auto" w:fill="FFFFFF"/>
          </w:tcPr>
          <w:p w14:paraId="51A746C0"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Considerear</w:t>
            </w:r>
          </w:p>
        </w:tc>
        <w:tc>
          <w:tcPr>
            <w:tcW w:w="2438" w:type="dxa"/>
            <w:shd w:val="clear" w:color="auto" w:fill="FFFFFF"/>
          </w:tcPr>
          <w:p w14:paraId="19520CFE"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Considerar</w:t>
            </w:r>
          </w:p>
        </w:tc>
      </w:tr>
      <w:tr w:rsidR="00093A32" w14:paraId="4F06A04F" w14:textId="77777777">
        <w:tblPrEx>
          <w:tblCellMar>
            <w:top w:w="0" w:type="dxa"/>
            <w:bottom w:w="0" w:type="dxa"/>
          </w:tblCellMar>
        </w:tblPrEx>
        <w:trPr>
          <w:trHeight w:hRule="exact" w:val="216"/>
          <w:jc w:val="center"/>
        </w:trPr>
        <w:tc>
          <w:tcPr>
            <w:tcW w:w="1920" w:type="dxa"/>
            <w:shd w:val="clear" w:color="auto" w:fill="FFFFFF"/>
          </w:tcPr>
          <w:p w14:paraId="6FBF644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BCG</w:t>
            </w:r>
          </w:p>
        </w:tc>
        <w:tc>
          <w:tcPr>
            <w:tcW w:w="2486" w:type="dxa"/>
            <w:shd w:val="clear" w:color="auto" w:fill="FFFFFF"/>
          </w:tcPr>
          <w:p w14:paraId="1C77F601"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No</w:t>
            </w:r>
          </w:p>
        </w:tc>
        <w:tc>
          <w:tcPr>
            <w:tcW w:w="2438" w:type="dxa"/>
            <w:shd w:val="clear" w:color="auto" w:fill="FFFFFF"/>
          </w:tcPr>
          <w:p w14:paraId="41254CF8"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No</w:t>
            </w:r>
          </w:p>
        </w:tc>
      </w:tr>
      <w:tr w:rsidR="00093A32" w14:paraId="4D9A3EBD" w14:textId="77777777">
        <w:tblPrEx>
          <w:tblCellMar>
            <w:top w:w="0" w:type="dxa"/>
            <w:bottom w:w="0" w:type="dxa"/>
          </w:tblCellMar>
        </w:tblPrEx>
        <w:trPr>
          <w:trHeight w:hRule="exact" w:val="331"/>
          <w:jc w:val="center"/>
        </w:trPr>
        <w:tc>
          <w:tcPr>
            <w:tcW w:w="1920" w:type="dxa"/>
            <w:tcBorders>
              <w:bottom w:val="single" w:sz="4" w:space="0" w:color="auto"/>
            </w:tcBorders>
            <w:shd w:val="clear" w:color="auto" w:fill="FFFFFF"/>
          </w:tcPr>
          <w:p w14:paraId="4C40C4D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Contra hepatitis A</w:t>
            </w:r>
            <w:r>
              <w:rPr>
                <w:rFonts w:ascii="Times New Roman" w:eastAsia="Times New Roman" w:hAnsi="Times New Roman" w:cs="Times New Roman"/>
                <w:sz w:val="16"/>
                <w:szCs w:val="16"/>
                <w:vertAlign w:val="superscript"/>
              </w:rPr>
              <w:t>7</w:t>
            </w:r>
          </w:p>
        </w:tc>
        <w:tc>
          <w:tcPr>
            <w:tcW w:w="2486" w:type="dxa"/>
            <w:tcBorders>
              <w:bottom w:val="single" w:sz="4" w:space="0" w:color="auto"/>
            </w:tcBorders>
            <w:shd w:val="clear" w:color="auto" w:fill="FFFFFF"/>
          </w:tcPr>
          <w:p w14:paraId="6BCCA3FA" w14:textId="77777777" w:rsidR="00093A32" w:rsidRDefault="00093A32">
            <w:pPr>
              <w:pStyle w:val="Other0"/>
              <w:spacing w:line="240" w:lineRule="auto"/>
              <w:ind w:firstLine="400"/>
              <w:rPr>
                <w:sz w:val="16"/>
                <w:szCs w:val="16"/>
              </w:rPr>
            </w:pPr>
            <w:r>
              <w:rPr>
                <w:rFonts w:ascii="Times New Roman" w:eastAsia="Times New Roman" w:hAnsi="Times New Roman" w:cs="Times New Roman"/>
                <w:sz w:val="16"/>
                <w:szCs w:val="16"/>
              </w:rPr>
              <w:t>Consultar el texto</w:t>
            </w:r>
          </w:p>
        </w:tc>
        <w:tc>
          <w:tcPr>
            <w:tcW w:w="2438" w:type="dxa"/>
            <w:tcBorders>
              <w:bottom w:val="single" w:sz="4" w:space="0" w:color="auto"/>
            </w:tcBorders>
            <w:shd w:val="clear" w:color="auto" w:fill="FFFFFF"/>
          </w:tcPr>
          <w:p w14:paraId="24BBA449" w14:textId="77777777" w:rsidR="00093A32" w:rsidRDefault="00093A32">
            <w:pPr>
              <w:pStyle w:val="Other0"/>
              <w:spacing w:line="240" w:lineRule="auto"/>
              <w:ind w:firstLine="180"/>
              <w:rPr>
                <w:sz w:val="16"/>
                <w:szCs w:val="16"/>
              </w:rPr>
            </w:pPr>
            <w:r>
              <w:rPr>
                <w:rFonts w:ascii="Times New Roman" w:eastAsia="Times New Roman" w:hAnsi="Times New Roman" w:cs="Times New Roman"/>
                <w:sz w:val="16"/>
                <w:szCs w:val="16"/>
              </w:rPr>
              <w:t>Consultar el texto</w:t>
            </w:r>
          </w:p>
        </w:tc>
      </w:tr>
    </w:tbl>
    <w:p w14:paraId="3165B7AC" w14:textId="77777777" w:rsidR="00093A32" w:rsidRDefault="00093A32">
      <w:pPr>
        <w:spacing w:after="59" w:line="1" w:lineRule="exact"/>
      </w:pPr>
    </w:p>
    <w:p w14:paraId="26440140" w14:textId="77777777" w:rsidR="00093A32" w:rsidRDefault="00093A32">
      <w:pPr>
        <w:pStyle w:val="Bodytext20"/>
        <w:spacing w:line="240" w:lineRule="auto"/>
        <w:ind w:left="260" w:firstLine="20"/>
        <w:rPr>
          <w:sz w:val="15"/>
          <w:szCs w:val="15"/>
        </w:rPr>
      </w:pPr>
      <w:r>
        <w:rPr>
          <w:sz w:val="15"/>
          <w:szCs w:val="15"/>
        </w:rPr>
        <w:t xml:space="preserve">VIH, virus de inmunodeficiencia humana; DTaP, toxoides de difteria y tétanos y vacuna acelular contra tos ferina; IPV, virus poliomielítico inactivado; triple (MMR), sarampión, parotiditis y rubéola, de virus vivos; Hib, conjugado de </w:t>
      </w:r>
      <w:r>
        <w:rPr>
          <w:i/>
          <w:iCs/>
          <w:sz w:val="15"/>
          <w:szCs w:val="15"/>
        </w:rPr>
        <w:t>Haemophilus influenzae</w:t>
      </w:r>
      <w:r>
        <w:rPr>
          <w:sz w:val="15"/>
          <w:szCs w:val="15"/>
        </w:rPr>
        <w:t xml:space="preserve"> tipo b; BCG, bacilo de Calmette-Guérin.</w:t>
      </w:r>
    </w:p>
    <w:p w14:paraId="19F0BDD5" w14:textId="77777777" w:rsidR="00093A32" w:rsidRDefault="00093A32">
      <w:pPr>
        <w:pStyle w:val="Bodytext20"/>
        <w:numPr>
          <w:ilvl w:val="0"/>
          <w:numId w:val="76"/>
        </w:numPr>
        <w:tabs>
          <w:tab w:val="left" w:pos="170"/>
        </w:tabs>
        <w:spacing w:line="307" w:lineRule="auto"/>
        <w:ind w:left="260" w:hanging="260"/>
        <w:rPr>
          <w:sz w:val="15"/>
          <w:szCs w:val="15"/>
        </w:rPr>
      </w:pPr>
      <w:bookmarkStart w:id="315" w:name="bookmark918"/>
      <w:bookmarkEnd w:id="315"/>
      <w:r>
        <w:rPr>
          <w:sz w:val="15"/>
          <w:szCs w:val="15"/>
        </w:rPr>
        <w:t>Véase figura 1-1 y resúmenes específicos para cada enfermedad y edad, en la cual está indicada la aplicación de vacunas específicas.</w:t>
      </w:r>
    </w:p>
    <w:p w14:paraId="43AF5617" w14:textId="77777777" w:rsidR="00093A32" w:rsidRDefault="00093A32">
      <w:pPr>
        <w:pStyle w:val="Bodytext20"/>
        <w:numPr>
          <w:ilvl w:val="0"/>
          <w:numId w:val="76"/>
        </w:numPr>
        <w:tabs>
          <w:tab w:val="left" w:pos="178"/>
        </w:tabs>
        <w:spacing w:line="276" w:lineRule="auto"/>
        <w:ind w:left="260" w:hanging="260"/>
        <w:rPr>
          <w:sz w:val="15"/>
          <w:szCs w:val="15"/>
        </w:rPr>
      </w:pPr>
      <w:bookmarkStart w:id="316" w:name="bookmark919"/>
      <w:bookmarkEnd w:id="316"/>
      <w:r>
        <w:rPr>
          <w:sz w:val="15"/>
          <w:szCs w:val="15"/>
        </w:rPr>
        <w:t>Se usará únicamente la vacuna IPV en niños infectados con VIH en lactantes expuestos al virus, cuyo estado serológico no se conoce y contactos del núcleo familiar de personas infectadas con virus de inmunodeficiencia humana.</w:t>
      </w:r>
    </w:p>
    <w:p w14:paraId="388695A9" w14:textId="77777777" w:rsidR="00093A32" w:rsidRDefault="00093A32">
      <w:pPr>
        <w:pStyle w:val="Bodytext20"/>
        <w:numPr>
          <w:ilvl w:val="0"/>
          <w:numId w:val="76"/>
        </w:numPr>
        <w:tabs>
          <w:tab w:val="left" w:pos="178"/>
        </w:tabs>
        <w:spacing w:line="307" w:lineRule="auto"/>
        <w:ind w:left="260" w:hanging="260"/>
        <w:rPr>
          <w:sz w:val="15"/>
          <w:szCs w:val="15"/>
        </w:rPr>
      </w:pPr>
      <w:bookmarkStart w:id="317" w:name="bookmark920"/>
      <w:bookmarkEnd w:id="317"/>
      <w:r>
        <w:rPr>
          <w:sz w:val="15"/>
          <w:szCs w:val="15"/>
        </w:rPr>
        <w:t>No se aplicará la vacuna triple (MMR) a niños fuertemente inmunodeficientes infectados por VIH (consultar el texto).</w:t>
      </w:r>
    </w:p>
    <w:p w14:paraId="1E283E0D" w14:textId="77777777" w:rsidR="00093A32" w:rsidRDefault="00093A32">
      <w:pPr>
        <w:pStyle w:val="Bodytext20"/>
        <w:numPr>
          <w:ilvl w:val="0"/>
          <w:numId w:val="76"/>
        </w:numPr>
        <w:tabs>
          <w:tab w:val="left" w:pos="178"/>
        </w:tabs>
        <w:spacing w:line="276" w:lineRule="auto"/>
        <w:ind w:left="260" w:hanging="260"/>
        <w:rPr>
          <w:sz w:val="15"/>
          <w:szCs w:val="15"/>
        </w:rPr>
      </w:pPr>
      <w:bookmarkStart w:id="318" w:name="bookmark921"/>
      <w:bookmarkEnd w:id="318"/>
      <w:r>
        <w:rPr>
          <w:sz w:val="15"/>
          <w:szCs w:val="15"/>
        </w:rPr>
        <w:t>Habrá que aplicar vacuna contra el neumococo a todos los niños infectados por VIH, de edad apropiada. Los niños mayores de dos meses deben recibir vacuna antineumocócica en la fecha del diagnóstico. En una y otra circunstancias se recomienda vacunar de nuevo después de tres a cinco años.</w:t>
      </w:r>
    </w:p>
    <w:p w14:paraId="08E14168" w14:textId="77777777" w:rsidR="00093A32" w:rsidRDefault="00093A32">
      <w:pPr>
        <w:pStyle w:val="Bodytext20"/>
        <w:numPr>
          <w:ilvl w:val="0"/>
          <w:numId w:val="76"/>
        </w:numPr>
        <w:tabs>
          <w:tab w:val="left" w:pos="178"/>
        </w:tabs>
        <w:spacing w:line="276" w:lineRule="auto"/>
        <w:ind w:left="260" w:hanging="260"/>
        <w:rPr>
          <w:sz w:val="15"/>
          <w:szCs w:val="15"/>
        </w:rPr>
      </w:pPr>
      <w:bookmarkStart w:id="319" w:name="bookmark922"/>
      <w:bookmarkEnd w:id="319"/>
      <w:r>
        <w:rPr>
          <w:sz w:val="15"/>
          <w:szCs w:val="15"/>
        </w:rPr>
        <w:t>Cada otoño se aplicará la vacuna contra influenza a lactantes expuestos a VIH de seis meses de vida y mayores, a niños y adolescentes infectados por VIH y contactos del núcleo familiar de personas infectadas con virus de inmunodeficiencia humana.</w:t>
      </w:r>
    </w:p>
    <w:p w14:paraId="4496ED9A" w14:textId="77777777" w:rsidR="00093A32" w:rsidRDefault="00093A32">
      <w:pPr>
        <w:pStyle w:val="Bodytext20"/>
        <w:numPr>
          <w:ilvl w:val="0"/>
          <w:numId w:val="76"/>
        </w:numPr>
        <w:tabs>
          <w:tab w:val="left" w:pos="178"/>
        </w:tabs>
        <w:spacing w:line="307" w:lineRule="auto"/>
        <w:ind w:left="260" w:hanging="260"/>
        <w:rPr>
          <w:sz w:val="15"/>
          <w:szCs w:val="15"/>
        </w:rPr>
      </w:pPr>
      <w:bookmarkStart w:id="320" w:name="bookmark923"/>
      <w:bookmarkEnd w:id="320"/>
      <w:r>
        <w:rPr>
          <w:sz w:val="15"/>
          <w:szCs w:val="15"/>
        </w:rPr>
        <w:t xml:space="preserve">Pensar en tal situación en niños infectados por VIH que pertenecen a las clases N1 y A1 de la clasificación de los </w:t>
      </w:r>
      <w:r>
        <w:rPr>
          <w:i/>
          <w:iCs/>
          <w:sz w:val="15"/>
          <w:szCs w:val="15"/>
        </w:rPr>
        <w:t>Centers for Disease Control and Prevention</w:t>
      </w:r>
      <w:r>
        <w:rPr>
          <w:sz w:val="15"/>
          <w:szCs w:val="15"/>
        </w:rPr>
        <w:t xml:space="preserve"> (véase “Varicela-Zoster, virus, infecciones” en esta sección).</w:t>
      </w:r>
    </w:p>
    <w:p w14:paraId="6D25F6F9" w14:textId="77777777" w:rsidR="00093A32" w:rsidRDefault="00093A32">
      <w:pPr>
        <w:pStyle w:val="Bodytext20"/>
        <w:numPr>
          <w:ilvl w:val="0"/>
          <w:numId w:val="76"/>
        </w:numPr>
        <w:tabs>
          <w:tab w:val="left" w:pos="183"/>
        </w:tabs>
        <w:spacing w:line="444" w:lineRule="auto"/>
        <w:rPr>
          <w:sz w:val="19"/>
          <w:szCs w:val="19"/>
        </w:rPr>
      </w:pPr>
      <w:bookmarkStart w:id="321" w:name="bookmark924"/>
      <w:bookmarkEnd w:id="321"/>
      <w:r>
        <w:rPr>
          <w:sz w:val="15"/>
          <w:szCs w:val="15"/>
        </w:rPr>
        <w:t xml:space="preserve">Véase también “Hepatitis A” (en esta sección). </w:t>
      </w:r>
      <w:r>
        <w:rPr>
          <w:rStyle w:val="BodyTextChar"/>
        </w:rPr>
        <w:t>virus poliomielitico ingerible en todo niño en Estados Unidos, incluidos los niños infectados por VIH o miembros de su círculo familiar.</w:t>
      </w:r>
    </w:p>
    <w:p w14:paraId="648099FA" w14:textId="77777777" w:rsidR="00093A32" w:rsidRDefault="00093A32">
      <w:pPr>
        <w:pStyle w:val="BodyText"/>
        <w:ind w:firstLine="360"/>
      </w:pPr>
      <w:r>
        <w:t xml:space="preserve">La vacuna triple (contra sarampión-parotiditis y rubéola </w:t>
      </w:r>
      <w:r>
        <w:rPr>
          <w:i/>
          <w:iCs/>
        </w:rPr>
        <w:t>[</w:t>
      </w:r>
      <w:r>
        <w:rPr>
          <w:rFonts w:ascii="Times New Roman" w:eastAsia="Times New Roman" w:hAnsi="Times New Roman" w:cs="Times New Roman"/>
          <w:i/>
          <w:iCs/>
          <w:sz w:val="16"/>
          <w:szCs w:val="16"/>
        </w:rPr>
        <w:t>measles-mumps-rubella</w:t>
      </w:r>
      <w:r>
        <w:rPr>
          <w:i/>
          <w:iCs/>
        </w:rPr>
        <w:t xml:space="preserve">, </w:t>
      </w:r>
      <w:r>
        <w:t>MMR]) se aplicará a los 12 meses en el niño infectado por VIH, salvo que tenga inmunodeficiencia profunda (categoría 3, cuadro 3-33; véase también “Sarampión” en esta sección).</w:t>
      </w:r>
      <w:r>
        <w:footnoteReference w:id="38"/>
      </w:r>
      <w:r>
        <w:t xml:space="preserve"> Puede aplicarse la segunda dosis de vacuna triple incluso cuatro semanas después de la primera en vez de esperar hasta que el menor comience su enseñanza escolar. Los niños que reciben IGIV sistemáticamente como profilácticos quizá no reaccionen a la vacuna triple. En un brote de sarampión en que hay posibilidad de exposición del menor, la vacunación debe comenzar entre los seis y nueve meses de vida.</w:t>
      </w:r>
    </w:p>
    <w:p w14:paraId="349FFED6" w14:textId="77777777" w:rsidR="00093A32" w:rsidRDefault="00093A32">
      <w:pPr>
        <w:pStyle w:val="BodyText"/>
        <w:ind w:firstLine="360"/>
      </w:pPr>
      <w:r>
        <w:t>En términos generales, los niños con infección sintomática por VIH tienen respuestas inmunitarias deficientes a las vacunas. Por tal motivo, los menores en cuestión, si se exponen a una enfermedad evitable por vacuna como sarampión o tétanos, deben ser considerados como susceptibles, independientemente de sus antecedentes de vacunación, y deberán recibir, si así conviene, inmunoprofilaxia pasiva (véase después en este resumen “Vacunación pasiva en niños con infección por VIH”). También habrá que administrar concentrado inmunoglobulínico (IG) a cualquier miembro no inmunizado del círculo familiar que esté expuesto a la infección por sarampión, para así disminuir la posibilidad de exposición del niño infectado por virus de inmunodeficiencia humana.</w:t>
      </w:r>
    </w:p>
    <w:p w14:paraId="79002A9C" w14:textId="77777777" w:rsidR="00093A32" w:rsidRDefault="00093A32">
      <w:pPr>
        <w:pStyle w:val="BodyText"/>
        <w:ind w:firstLine="360"/>
      </w:pPr>
      <w:r>
        <w:t>Los menores infectados con VIH pueden estar expuestos a mayor peligro de complicaciones por varicela y herpes zoster. Los escasos datos sobre la vacunación contra varicela en niños infectados por VIH en la categoría inmunológica 1 de los CDC indican que la vacuna es innocua, inmunógena y eficaz. Después de comparar los riesgos y los beneficios posibles habrá que pensar en el uso de la vacuna contra varicela en los niños infectados por VIH dentro de las categorías N1 y A1 de los CDC (es decir, que no tienen signos ni síntomas de la enfermedad o que si los tienen son leves).</w:t>
      </w:r>
    </w:p>
    <w:p w14:paraId="166F9ED5" w14:textId="77777777" w:rsidR="00093A32" w:rsidRDefault="00093A32">
      <w:pPr>
        <w:pStyle w:val="BodyText"/>
        <w:ind w:firstLine="360"/>
      </w:pPr>
      <w:r>
        <w:t>Se recomienda aplicar la vacuna contra hepatitis A a todo niño que vive en estados o regiones donde hay incremento constante de la frecuencia de ataque de dicha infección y a personas con hepatopatía crónica (véase “Hepatitis A” en esta sección).</w:t>
      </w:r>
    </w:p>
    <w:p w14:paraId="532D041B" w14:textId="77777777" w:rsidR="00093A32" w:rsidRDefault="00093A32">
      <w:pPr>
        <w:pStyle w:val="BodyText"/>
        <w:ind w:firstLine="360"/>
      </w:pPr>
      <w:r>
        <w:t>No se recomienda aplicar la vacuna del bacilo de Calmette-Guérin (BCG) en Estados Unidos y en zonas en que es baja la prevalencia de tuberculosis. Sin embargo, en países en desarrollo en que es alta la prevalencia de la enfermedad, la Organización Mundial de la Salud recomienda aplicar la vacuna mencionada a todo pequeño al nacer, si está asintomático, sea cual sea la infección por VIH de su madre. Se ha sabido de diseminación de la infección por BCG en lactantes infectados por VIH que recibieron la vacuna de Calmette-Guérin.</w:t>
      </w:r>
    </w:p>
    <w:p w14:paraId="01035887" w14:textId="77777777" w:rsidR="00093A32" w:rsidRDefault="00093A32">
      <w:pPr>
        <w:pStyle w:val="BodyText"/>
        <w:spacing w:line="283" w:lineRule="auto"/>
        <w:ind w:firstLine="360"/>
      </w:pPr>
      <w:r>
        <w:rPr>
          <w:rFonts w:ascii="Arial" w:eastAsia="Arial" w:hAnsi="Arial" w:cs="Arial"/>
          <w:b/>
          <w:bCs/>
          <w:i/>
          <w:iCs/>
          <w:sz w:val="15"/>
          <w:szCs w:val="15"/>
        </w:rPr>
        <w:t>Niños seronegativos que viven dentro del hogar de un paciente con infección sintomática por VIH.</w:t>
      </w:r>
      <w:r>
        <w:t xml:space="preserve"> En un hogar en que un adulto o un niño sufre inmunodeficiencia como consecuencia de la infección por VIH, todos los menores en él deben ser vacunados con IPV. Los contactos dentro del círculo familiar pueden recibir la vacuna triple, porque los virus que la componen no son transmisibles. Para disminuir el peligro de que se transmita influenza a individuos con infección por VIH sintomática, también habrá que vacunar cada año contra dicha enfermedad a todos los miembros de la unidad familiar de seis meses de vida o mayores (véase “Influenza” en esta sección).</w:t>
      </w:r>
    </w:p>
    <w:p w14:paraId="7867E8EA" w14:textId="77777777" w:rsidR="00093A32" w:rsidRDefault="00093A32">
      <w:pPr>
        <w:pStyle w:val="BodyText"/>
        <w:ind w:firstLine="0"/>
      </w:pPr>
      <w:r>
        <w:t>Es importante vacunar contra la varicela a los hermanos y a los cuidadores adultos susceptibles que atienden a personas con infección por VIH para evitar que se contagie la infección por varicela-zoster de tipo natural, que puede ocasionar graves daños en los hospedadores inmunodeficientes. Rara vez hay transmisión del virus de varicela en la vacuna, desde un hospedador inmunocompetente.</w:t>
      </w:r>
    </w:p>
    <w:p w14:paraId="455F49DA" w14:textId="77777777" w:rsidR="00093A32" w:rsidRDefault="00093A32">
      <w:pPr>
        <w:pStyle w:val="Bodytext80"/>
        <w:ind w:firstLine="360"/>
        <w:rPr>
          <w:sz w:val="15"/>
          <w:szCs w:val="15"/>
        </w:rPr>
      </w:pPr>
      <w:r>
        <w:rPr>
          <w:b/>
          <w:bCs/>
          <w:i/>
          <w:iCs/>
          <w:sz w:val="15"/>
          <w:szCs w:val="15"/>
        </w:rPr>
        <w:t>Inmunización pasiva de niños con infección por VIH</w:t>
      </w:r>
    </w:p>
    <w:p w14:paraId="73A10456" w14:textId="77777777" w:rsidR="00093A32" w:rsidRDefault="00093A32">
      <w:pPr>
        <w:pStyle w:val="BodyText"/>
        <w:numPr>
          <w:ilvl w:val="0"/>
          <w:numId w:val="75"/>
        </w:numPr>
        <w:tabs>
          <w:tab w:val="left" w:pos="333"/>
        </w:tabs>
        <w:ind w:left="360" w:hanging="360"/>
      </w:pPr>
      <w:bookmarkStart w:id="322" w:name="bookmark925"/>
      <w:bookmarkEnd w:id="322"/>
      <w:r>
        <w:rPr>
          <w:b/>
          <w:bCs/>
        </w:rPr>
        <w:t xml:space="preserve">Sarampión </w:t>
      </w:r>
      <w:r>
        <w:t>(véase “Sarampión” en esta sección). Habrá que emprender profilaxia con concentrado inmunoglobulínico intramuscular en todo niño infectado de VIH y sintomático, expuesto al sarampión (0.5 ml/kg de peso, dosis máxima 15 ml), sea cual sea su estado de inmunización. Los pacientes infectados por el virus, pero asintomáticos y expuestos, también deben recibir el concentrado; la dosis recomendada es de 0.25 ml/kg por vía intramuscular. Los niños a los que se aplicó IGIV en término de dos semanas de la exposición no necesitan inmunización pasiva adicional.</w:t>
      </w:r>
    </w:p>
    <w:p w14:paraId="033056C6" w14:textId="77777777" w:rsidR="00093A32" w:rsidRDefault="00093A32">
      <w:pPr>
        <w:pStyle w:val="BodyText"/>
        <w:numPr>
          <w:ilvl w:val="0"/>
          <w:numId w:val="75"/>
        </w:numPr>
        <w:tabs>
          <w:tab w:val="left" w:pos="333"/>
        </w:tabs>
        <w:ind w:left="360" w:hanging="360"/>
      </w:pPr>
      <w:bookmarkStart w:id="323" w:name="bookmark926"/>
      <w:bookmarkEnd w:id="323"/>
      <w:r>
        <w:rPr>
          <w:b/>
          <w:bCs/>
        </w:rPr>
        <w:t xml:space="preserve">Tétanos. </w:t>
      </w:r>
      <w:r>
        <w:t>En el tratamiento de heridas clasificadas como “predispuestas al tétanos” (véanse “Tétanos” y cuadro 3-67 en esta sección) conviene aplicar concentrado inmunoglobulínico antitetánico a todo niño con infección por VIH, sea cual sea el estado de su inmunización.</w:t>
      </w:r>
    </w:p>
    <w:p w14:paraId="707DA366" w14:textId="77777777" w:rsidR="00093A32" w:rsidRDefault="00093A32">
      <w:pPr>
        <w:pStyle w:val="BodyText"/>
        <w:numPr>
          <w:ilvl w:val="0"/>
          <w:numId w:val="75"/>
        </w:numPr>
        <w:tabs>
          <w:tab w:val="left" w:pos="333"/>
        </w:tabs>
        <w:ind w:left="360" w:hanging="360"/>
      </w:pPr>
      <w:bookmarkStart w:id="324" w:name="bookmark927"/>
      <w:bookmarkEnd w:id="324"/>
      <w:r>
        <w:rPr>
          <w:b/>
          <w:bCs/>
        </w:rPr>
        <w:t xml:space="preserve">Varicela. </w:t>
      </w:r>
      <w:r>
        <w:t>Los menores infectados de VIH, expuestos a la varicela o el zoster, deben recibir el concentrado inmunoglobulínico contra ambos cuadros patológicos (véase “Varicela-zoster, virus, infecciones” en esta sección). Los menores que han recibido IGIV o concentrado inmunoglobulínico de varicela-zoster en término de dos semanas de la exposición no necesitan inmunización pasiva complementaria.</w:t>
      </w:r>
    </w:p>
    <w:p w14:paraId="1EF2661D" w14:textId="77777777" w:rsidR="00093A32" w:rsidRDefault="00093A32">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El personal asistencial debe seguir las precauciones estándar; el riesgo que corren de contagiarse de la infección por VIH de un paciente es mínimo, incluso después de la exposición accidental de un pinchazo de aguja (véase antes en este resumen “Aspectos epidemiológicos”). No obstante, se hará todo intento por evitar la exposición a la sangre y otros líquidos corporales que pudieran contener virus de inmunodeficiencia humana.</w:t>
      </w:r>
    </w:p>
    <w:p w14:paraId="544419DC"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53A0F705" w14:textId="77777777" w:rsidR="00093A32" w:rsidRDefault="00093A32">
      <w:pPr>
        <w:pStyle w:val="BodyText"/>
        <w:spacing w:line="276" w:lineRule="auto"/>
        <w:ind w:firstLine="0"/>
      </w:pPr>
      <w:r>
        <w:rPr>
          <w:rFonts w:ascii="Arial" w:eastAsia="Arial" w:hAnsi="Arial" w:cs="Arial"/>
          <w:b/>
          <w:bCs/>
          <w:i/>
          <w:iCs/>
          <w:sz w:val="15"/>
          <w:szCs w:val="15"/>
        </w:rPr>
        <w:t>Disminución de la transmisión de VIH en etapa perinatal.</w:t>
      </w:r>
      <w:r>
        <w:rPr>
          <w:rFonts w:ascii="Arial" w:eastAsia="Arial" w:hAnsi="Arial" w:cs="Arial"/>
          <w:b/>
          <w:bCs/>
          <w:i/>
          <w:iCs/>
          <w:sz w:val="15"/>
          <w:szCs w:val="15"/>
        </w:rPr>
        <w:footnoteReference w:id="39"/>
      </w:r>
      <w:r>
        <w:t xml:space="preserve"> En una investigación clínica comparativa, el riesgo de transmisión perinatal de VIH disminuyó 66% (véase cuadro 3-36) con la administración de zidovudina ingerible a embarazadas con infección por VIH, administración que comenzó entre las 14 y las 34 semanas de gestación y que persistió durante todo el embarazo; también se administró por vía endovenosa el mismo fármaco durante la primera y segunda etapas del parto (es decir, durante el propio parto) y se administró zidovudina ingerible al neonato en las primeras seis semanas de vida. Las directrices actuales para utilizar los antirretrovíricos en embarazadas infectadas con VIH son semejantes a las de las adultas no embarazadas.! Por tal motivo, muchas de las gestantes infectadas por el virus seguirán recibiendo combinaciones de antirretrovíricos para tratar su enfermedad por VIH; sólo en raras ocasiones se recomienda usar la sola</w:t>
      </w:r>
    </w:p>
    <w:p w14:paraId="61315C72" w14:textId="77777777" w:rsidR="00093A32" w:rsidRDefault="00093A32">
      <w:pPr>
        <w:pStyle w:val="Heading31"/>
        <w:keepNext/>
        <w:keepLines/>
        <w:spacing w:after="80" w:line="221" w:lineRule="auto"/>
        <w:jc w:val="center"/>
      </w:pPr>
      <w:bookmarkStart w:id="325" w:name="bookmark928"/>
      <w:bookmarkStart w:id="326" w:name="bookmark929"/>
      <w:bookmarkStart w:id="327" w:name="bookmark930"/>
      <w:r>
        <w:rPr>
          <w:b w:val="0"/>
          <w:bCs w:val="0"/>
        </w:rPr>
        <w:t xml:space="preserve">Cuadro 3-36. </w:t>
      </w:r>
      <w:r>
        <w:t>Régimen a base de zidovudina para medir la frecuencia</w:t>
      </w:r>
      <w:r>
        <w:br/>
        <w:t>de transmisión perinatal del virus de inmunodeficiencia humana (VIH)</w:t>
      </w:r>
      <w:r>
        <w:rPr>
          <w:vertAlign w:val="superscript"/>
        </w:rPr>
        <w:t>1</w:t>
      </w:r>
      <w:bookmarkEnd w:id="325"/>
      <w:bookmarkEnd w:id="326"/>
      <w:bookmarkEnd w:id="327"/>
    </w:p>
    <w:tbl>
      <w:tblPr>
        <w:tblOverlap w:val="never"/>
        <w:tblW w:w="0" w:type="auto"/>
        <w:jc w:val="center"/>
        <w:tblLayout w:type="fixed"/>
        <w:tblCellMar>
          <w:left w:w="10" w:type="dxa"/>
          <w:right w:w="10" w:type="dxa"/>
        </w:tblCellMar>
        <w:tblLook w:val="04A0" w:firstRow="1" w:lastRow="0" w:firstColumn="1" w:lastColumn="0" w:noHBand="0" w:noVBand="1"/>
      </w:tblPr>
      <w:tblGrid>
        <w:gridCol w:w="2534"/>
        <w:gridCol w:w="1123"/>
        <w:gridCol w:w="3101"/>
      </w:tblGrid>
      <w:tr w:rsidR="00093A32" w14:paraId="2D01823B" w14:textId="77777777">
        <w:tblPrEx>
          <w:tblCellMar>
            <w:top w:w="0" w:type="dxa"/>
            <w:bottom w:w="0" w:type="dxa"/>
          </w:tblCellMar>
        </w:tblPrEx>
        <w:trPr>
          <w:trHeight w:hRule="exact" w:val="254"/>
          <w:jc w:val="center"/>
        </w:trPr>
        <w:tc>
          <w:tcPr>
            <w:tcW w:w="2534" w:type="dxa"/>
            <w:shd w:val="clear" w:color="auto" w:fill="231F20"/>
          </w:tcPr>
          <w:p w14:paraId="3DB47541"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Periodo</w:t>
            </w:r>
          </w:p>
        </w:tc>
        <w:tc>
          <w:tcPr>
            <w:tcW w:w="1123" w:type="dxa"/>
            <w:shd w:val="clear" w:color="auto" w:fill="231F20"/>
          </w:tcPr>
          <w:p w14:paraId="4F031169"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Vía</w:t>
            </w:r>
          </w:p>
        </w:tc>
        <w:tc>
          <w:tcPr>
            <w:tcW w:w="3101" w:type="dxa"/>
            <w:shd w:val="clear" w:color="auto" w:fill="231F20"/>
          </w:tcPr>
          <w:p w14:paraId="43BFB7F8"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600"/>
              <w:rPr>
                <w:sz w:val="24"/>
                <w:szCs w:val="24"/>
              </w:rPr>
            </w:pPr>
            <w:r>
              <w:rPr>
                <w:rFonts w:ascii="Arial" w:eastAsia="Arial" w:hAnsi="Arial" w:cs="Arial"/>
                <w:b/>
                <w:bCs/>
                <w:color w:val="FFFFFF"/>
                <w:w w:val="70"/>
                <w:sz w:val="24"/>
                <w:szCs w:val="24"/>
              </w:rPr>
              <w:t>Dosis</w:t>
            </w:r>
          </w:p>
        </w:tc>
      </w:tr>
      <w:tr w:rsidR="00093A32" w14:paraId="59A41D0E" w14:textId="77777777">
        <w:tblPrEx>
          <w:tblCellMar>
            <w:top w:w="0" w:type="dxa"/>
            <w:bottom w:w="0" w:type="dxa"/>
          </w:tblCellMar>
        </w:tblPrEx>
        <w:trPr>
          <w:trHeight w:hRule="exact" w:val="922"/>
          <w:jc w:val="center"/>
        </w:trPr>
        <w:tc>
          <w:tcPr>
            <w:tcW w:w="2534" w:type="dxa"/>
            <w:shd w:val="clear" w:color="auto" w:fill="FFFFFF"/>
            <w:vAlign w:val="bottom"/>
          </w:tcPr>
          <w:p w14:paraId="2DEDE2CF"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Durante el embarazo; iniciar en cualquier momento después de la semana 14 de la gestación y continuar durante todo el embarazo</w:t>
            </w:r>
          </w:p>
        </w:tc>
        <w:tc>
          <w:tcPr>
            <w:tcW w:w="1123" w:type="dxa"/>
            <w:shd w:val="clear" w:color="auto" w:fill="FFFFFF"/>
          </w:tcPr>
          <w:p w14:paraId="1A22DCB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Oral</w:t>
            </w:r>
          </w:p>
        </w:tc>
        <w:tc>
          <w:tcPr>
            <w:tcW w:w="3101" w:type="dxa"/>
            <w:shd w:val="clear" w:color="auto" w:fill="FFFFFF"/>
          </w:tcPr>
          <w:p w14:paraId="467A3731"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200 mg tres veces al día o 300 mg dos veces al día</w:t>
            </w:r>
          </w:p>
        </w:tc>
      </w:tr>
      <w:tr w:rsidR="00093A32" w14:paraId="4123BFD6" w14:textId="77777777">
        <w:tblPrEx>
          <w:tblCellMar>
            <w:top w:w="0" w:type="dxa"/>
            <w:bottom w:w="0" w:type="dxa"/>
          </w:tblCellMar>
        </w:tblPrEx>
        <w:trPr>
          <w:trHeight w:hRule="exact" w:val="864"/>
          <w:jc w:val="center"/>
        </w:trPr>
        <w:tc>
          <w:tcPr>
            <w:tcW w:w="2534" w:type="dxa"/>
            <w:shd w:val="clear" w:color="auto" w:fill="FFFFFF"/>
          </w:tcPr>
          <w:p w14:paraId="07FB7C27" w14:textId="77777777" w:rsidR="00093A32" w:rsidRDefault="00093A32">
            <w:pPr>
              <w:pStyle w:val="Other0"/>
              <w:spacing w:line="283" w:lineRule="auto"/>
              <w:ind w:firstLine="0"/>
              <w:rPr>
                <w:sz w:val="16"/>
                <w:szCs w:val="16"/>
              </w:rPr>
            </w:pPr>
            <w:r>
              <w:rPr>
                <w:rFonts w:ascii="Times New Roman" w:eastAsia="Times New Roman" w:hAnsi="Times New Roman" w:cs="Times New Roman"/>
                <w:sz w:val="16"/>
                <w:szCs w:val="16"/>
              </w:rPr>
              <w:t>Durante la primera y segunda etapas del parto</w:t>
            </w:r>
          </w:p>
        </w:tc>
        <w:tc>
          <w:tcPr>
            <w:tcW w:w="1123" w:type="dxa"/>
            <w:shd w:val="clear" w:color="auto" w:fill="FFFFFF"/>
          </w:tcPr>
          <w:p w14:paraId="55D6A461"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Intravenosa</w:t>
            </w:r>
          </w:p>
        </w:tc>
        <w:tc>
          <w:tcPr>
            <w:tcW w:w="3101" w:type="dxa"/>
            <w:shd w:val="clear" w:color="auto" w:fill="FFFFFF"/>
          </w:tcPr>
          <w:p w14:paraId="266D10A1"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2 mg/kg de peso en la primera hora para seguir con 1 mg/kg de peso por hora hasta la expulsión del feto</w:t>
            </w:r>
          </w:p>
        </w:tc>
      </w:tr>
      <w:tr w:rsidR="00093A32" w14:paraId="353F5DF2" w14:textId="77777777">
        <w:tblPrEx>
          <w:tblCellMar>
            <w:top w:w="0" w:type="dxa"/>
            <w:bottom w:w="0" w:type="dxa"/>
          </w:tblCellMar>
        </w:tblPrEx>
        <w:trPr>
          <w:trHeight w:hRule="exact" w:val="461"/>
          <w:jc w:val="center"/>
        </w:trPr>
        <w:tc>
          <w:tcPr>
            <w:tcW w:w="2534" w:type="dxa"/>
            <w:tcBorders>
              <w:bottom w:val="single" w:sz="4" w:space="0" w:color="auto"/>
            </w:tcBorders>
            <w:shd w:val="clear" w:color="auto" w:fill="FFFFFF"/>
          </w:tcPr>
          <w:p w14:paraId="13835C4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Para el neonato, en término de</w:t>
            </w:r>
          </w:p>
          <w:p w14:paraId="31788423"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6 a 12 h de su nacimiento</w:t>
            </w:r>
          </w:p>
        </w:tc>
        <w:tc>
          <w:tcPr>
            <w:tcW w:w="1123" w:type="dxa"/>
            <w:tcBorders>
              <w:bottom w:val="single" w:sz="4" w:space="0" w:color="auto"/>
            </w:tcBorders>
            <w:shd w:val="clear" w:color="auto" w:fill="FFFFFF"/>
          </w:tcPr>
          <w:p w14:paraId="7771F2DA"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Oral</w:t>
            </w:r>
          </w:p>
        </w:tc>
        <w:tc>
          <w:tcPr>
            <w:tcW w:w="3101" w:type="dxa"/>
            <w:tcBorders>
              <w:bottom w:val="single" w:sz="4" w:space="0" w:color="auto"/>
            </w:tcBorders>
            <w:shd w:val="clear" w:color="auto" w:fill="FFFFFF"/>
          </w:tcPr>
          <w:p w14:paraId="697E819D" w14:textId="77777777" w:rsidR="00093A32" w:rsidRDefault="00093A32">
            <w:pPr>
              <w:pStyle w:val="Other0"/>
              <w:spacing w:line="283" w:lineRule="auto"/>
              <w:ind w:left="380" w:hanging="100"/>
              <w:rPr>
                <w:sz w:val="16"/>
                <w:szCs w:val="16"/>
              </w:rPr>
            </w:pPr>
            <w:r>
              <w:rPr>
                <w:rFonts w:ascii="Times New Roman" w:eastAsia="Times New Roman" w:hAnsi="Times New Roman" w:cs="Times New Roman"/>
                <w:sz w:val="16"/>
                <w:szCs w:val="16"/>
              </w:rPr>
              <w:t>2 mg/kg de peso cuatro veces al día en las primeras seis semanas de vida</w:t>
            </w:r>
          </w:p>
        </w:tc>
      </w:tr>
    </w:tbl>
    <w:p w14:paraId="5B03D4B2" w14:textId="77777777" w:rsidR="00093A32" w:rsidRDefault="00093A32">
      <w:pPr>
        <w:pStyle w:val="Tablecaption0"/>
        <w:spacing w:line="240" w:lineRule="auto"/>
        <w:ind w:left="0"/>
      </w:pPr>
      <w:r>
        <w:rPr>
          <w:sz w:val="8"/>
          <w:szCs w:val="8"/>
          <w:vertAlign w:val="superscript"/>
        </w:rPr>
        <w:t>1</w:t>
      </w:r>
      <w:r>
        <w:rPr>
          <w:sz w:val="8"/>
          <w:szCs w:val="8"/>
        </w:rPr>
        <w:t xml:space="preserve"> </w:t>
      </w:r>
      <w:r>
        <w:t xml:space="preserve">Centers for Disease Control and Prevention. US Public Health Service Task Force recommendations for use of antiretroviral drugs in pregnant HIV-1 infected women for maternal health and for interventions to reduce perinatal HIV-1 transmission in the United States. </w:t>
      </w:r>
      <w:r>
        <w:rPr>
          <w:i/>
          <w:iCs/>
        </w:rPr>
        <w:t>MMWR Morb Mortal Wkly Rep.</w:t>
      </w:r>
      <w:r>
        <w:t xml:space="preserve"> 2002;51 (RR-18):1-38. Se puede obtener en línea directa (</w:t>
      </w:r>
      <w:hyperlink r:id="rId443" w:history="1">
        <w:r>
          <w:t>www.aidsinfo.nih.gov</w:t>
        </w:r>
      </w:hyperlink>
      <w:r>
        <w:t>) información sobre otros antirretrovíricos para disminuir la frecuencia de transmisión perinatal del virus de inmunodeficiencia humana.</w:t>
      </w:r>
    </w:p>
    <w:p w14:paraId="3D038AF4" w14:textId="77777777" w:rsidR="00093A32" w:rsidRDefault="00093A32">
      <w:pPr>
        <w:spacing w:after="479" w:line="1" w:lineRule="exact"/>
      </w:pPr>
    </w:p>
    <w:p w14:paraId="4BF687C2" w14:textId="77777777" w:rsidR="00093A32" w:rsidRDefault="00093A32">
      <w:pPr>
        <w:pStyle w:val="BodyText"/>
        <w:ind w:firstLine="0"/>
      </w:pPr>
      <w:r>
        <w:t xml:space="preserve">zidovudina como fármaco profiláctico. A pesar de ello, no se conoce el posible efecto que tienen los antirretrovíricos en el feto y el lactante, particularmente cuando se usan en combinación, y cualquier decisión en cuanto al empleo de dichos fármacos en el embarazo obliga a analizar sus beneficios conocidos y riesgos desconocidos para la gestante y el feto. En todo pequeño hijo de una mujer que haya recibido antirretrovíricos durante el embarazo se recomienda la vigilancia a largo plazo. También se recomienda que los profesionales asistenciales que tratan embarazadas infectadas por VIH-1 y sus neonatos, señalen las situaciones de exposición prenatal a los antirretrovíricos, al Registro de Antirretrovíricos en Embarazo (1-800-258-4263 o </w:t>
      </w:r>
      <w:hyperlink r:id="rId444" w:history="1">
        <w:r>
          <w:t>www.apregistry.com</w:t>
        </w:r>
      </w:hyperlink>
      <w:r>
        <w:t>).</w:t>
      </w:r>
    </w:p>
    <w:p w14:paraId="4BC30481" w14:textId="77777777" w:rsidR="00093A32" w:rsidRDefault="00093A32">
      <w:pPr>
        <w:pStyle w:val="BodyText"/>
        <w:ind w:firstLine="340"/>
      </w:pPr>
      <w:r>
        <w:t>Algunos estudios clínicos internacionales de profilaxia con antirretrovíricos a base de zidovudina, lamivudina y nevirapina solos o en combinación en diversas etapas preparto, durante el parto y en el posparto, han señalado disminución de la cifra de contagio perinatal de VIH.</w:t>
      </w:r>
      <w:r>
        <w:footnoteReference w:id="40"/>
      </w:r>
      <w:r>
        <w:t xml:space="preserve"> Estos regímenes “breves” apoyan la administración de agentes antirretrovíricos incluso en el caso de mujeres diagnosticadas tardíamente en el embarazo o en el propio parto, si bien los regímenes comentados al parecer son menos eficaces que el régimen completo de tres partes a base de zidovudina. El objetivo sería diagnosticar la infección por VIH en los comienzos del embarazo para así emprender la profilaxia contra zidovudina y saber si se necesitan otros medicamentos para tratar la infección de la madre.</w:t>
      </w:r>
    </w:p>
    <w:p w14:paraId="13909957" w14:textId="77777777" w:rsidR="00093A32" w:rsidRDefault="00093A32">
      <w:pPr>
        <w:pStyle w:val="BodyText"/>
        <w:ind w:firstLine="340"/>
      </w:pPr>
      <w:r>
        <w:t>En Estados Unidos, es necesario administrar antirretrovíricos a la mujer infectada por VIH, en su embarazo y en la primera y la segunda etapas del parto. Se administrará zidovudina a todo neonato en caso de identificar la exposición antes de los siete días de vida, incluso si su madre no recibió zidovudina. Se han planteado recomendaciones para utilizar los antirretrovíricos y así disminuir el riesgo de transmisión perinatal por VIH-1 en el caso de mujeres infectadas por dicho virus, en trabajos de parto que no habían recibido terapia y en el caso de pequeños hijos de madres que tampoco recibieron antirretrovíricos durante la gestación o durante el parto.</w:t>
      </w:r>
      <w:r>
        <w:footnoteReference w:id="41"/>
      </w:r>
    </w:p>
    <w:p w14:paraId="2D57553B" w14:textId="77777777" w:rsidR="00093A32" w:rsidRDefault="00093A32">
      <w:pPr>
        <w:pStyle w:val="BodyText"/>
        <w:spacing w:line="271" w:lineRule="auto"/>
        <w:ind w:firstLine="360"/>
      </w:pPr>
      <w:r>
        <w:t xml:space="preserve">Los datos de un metaanálisis han indicado que la tasa de transmisión disminuyó por mitad en ausencia de zidovudina cuando el pequeño nació por cesárea planeada antes de que se rompieran las membranas y comenzara la primera fase del parto. La cifra de transmisión disminuyó a 2% cuando la gestante había recibido antirretrovíricos y fue sometida a cesárea planeada antes de comenzar la primera fase del parto y antes de que se rompieran las membranas. El parto vaginal y la terapia antirretrovírica se acompañaron de índices de transmisión de 7%. Sin embargo, las cifras de transmisión de mujeres que recibieron antirretrovíricos por combinación en quienes el número de virus disminuyó a niveles por debajo de los de detección en cuantificaciones, quizá sea menor que en mujeres que recibieron la zidovudina como único fármaco. Se desconoce el beneficio extra de la cesárea para disminuir todavía más el riesgo de transmisión en las mujeres mencionadas, y quizá no rebase el posible riesgo del parto en la mujer infectada. En Estados Unidos, el </w:t>
      </w:r>
      <w:r>
        <w:rPr>
          <w:rFonts w:ascii="Times New Roman" w:eastAsia="Times New Roman" w:hAnsi="Times New Roman" w:cs="Times New Roman"/>
          <w:i/>
          <w:iCs/>
          <w:sz w:val="16"/>
          <w:szCs w:val="16"/>
        </w:rPr>
        <w:t>American College of Obstetricians and Gynecologists</w:t>
      </w:r>
      <w:r>
        <w:t xml:space="preserve"> recomienda orientar a toda embarazada infectada por VIH con una carga vírica de 1 000 partículas/ml o mayor, sobre el posible beneficio de que su hijo nazca por cesárea planeada, para así disminuir el riesgo de transmisión perinatal del virus.f</w:t>
      </w:r>
    </w:p>
    <w:p w14:paraId="0A6D7BDF" w14:textId="77777777" w:rsidR="00093A32" w:rsidRDefault="00093A32">
      <w:pPr>
        <w:pStyle w:val="BodyText"/>
        <w:spacing w:line="276" w:lineRule="auto"/>
        <w:ind w:firstLine="360"/>
        <w:rPr>
          <w:sz w:val="11"/>
          <w:szCs w:val="11"/>
        </w:rPr>
      </w:pPr>
      <w:r>
        <w:rPr>
          <w:rFonts w:ascii="Arial" w:eastAsia="Arial" w:hAnsi="Arial" w:cs="Arial"/>
          <w:b/>
          <w:bCs/>
          <w:i/>
          <w:iCs/>
          <w:sz w:val="15"/>
          <w:szCs w:val="15"/>
        </w:rPr>
        <w:t>Amamantamiento</w:t>
      </w:r>
      <w:r>
        <w:t xml:space="preserve"> (véase también “Leche materna”, sección 2). Se ha demostrado la transmisión del VIH en el amamantamiento, especialmente de mujeres que adquirieron la infección en el periodo posparto. En Estados Unidos, en que es fácil contar con alternativas seguras de alimentación, que pueden sufragarse y son aceptadas culturalmente, la mujer infectada por VIH debe recibir orientación para no amamantar a su hijo y que tampoco done la leche a un banco. Las directrices de la AAP para mujeres estadounidenses son:</w:t>
      </w:r>
      <w:r>
        <w:rPr>
          <w:rFonts w:ascii="Arial" w:eastAsia="Arial" w:hAnsi="Arial" w:cs="Arial"/>
          <w:sz w:val="11"/>
          <w:szCs w:val="11"/>
        </w:rPr>
        <w:t>*</w:t>
      </w:r>
    </w:p>
    <w:p w14:paraId="2535DFC6" w14:textId="77777777" w:rsidR="00093A32" w:rsidRDefault="00093A32">
      <w:pPr>
        <w:pStyle w:val="BodyText"/>
        <w:numPr>
          <w:ilvl w:val="0"/>
          <w:numId w:val="75"/>
        </w:numPr>
        <w:tabs>
          <w:tab w:val="left" w:pos="341"/>
        </w:tabs>
        <w:ind w:firstLine="0"/>
      </w:pPr>
      <w:bookmarkStart w:id="328" w:name="bookmark931"/>
      <w:bookmarkEnd w:id="328"/>
      <w:r>
        <w:t>Es importante que la mujer y los profesionales asistenciales que la cuidan conozcan</w:t>
      </w:r>
    </w:p>
    <w:p w14:paraId="1ED66687" w14:textId="77777777" w:rsidR="00093A32" w:rsidRDefault="00093A32">
      <w:pPr>
        <w:pStyle w:val="BodyText"/>
        <w:ind w:left="360" w:firstLine="0"/>
      </w:pPr>
      <w:r>
        <w:t>el posible peligro de transmitir la infección por VIH a los lactantes durante el embarazo y el periodo periobstétrico, y también por medio de la leche humana.</w:t>
      </w:r>
    </w:p>
    <w:p w14:paraId="22281A58" w14:textId="77777777" w:rsidR="00093A32" w:rsidRDefault="00093A32">
      <w:pPr>
        <w:pStyle w:val="BodyText"/>
        <w:numPr>
          <w:ilvl w:val="0"/>
          <w:numId w:val="75"/>
        </w:numPr>
        <w:tabs>
          <w:tab w:val="left" w:pos="341"/>
        </w:tabs>
        <w:ind w:left="360" w:hanging="360"/>
      </w:pPr>
      <w:bookmarkStart w:id="329" w:name="bookmark932"/>
      <w:bookmarkEnd w:id="329"/>
      <w:r>
        <w:t>En todas las mujeres, parte de la atención prenatal debe ser la práctica sistemática de métodos para detectar VIH, con el consentimiento de la persona. Cada mujer debe conocer su estado en cuanto a VIH y los métodos disponibles para evitar el contagio y la transmisión de VIH y saber si es apropiado el amamantamiento.</w:t>
      </w:r>
    </w:p>
    <w:p w14:paraId="77875883" w14:textId="77777777" w:rsidR="00093A32" w:rsidRDefault="00093A32">
      <w:pPr>
        <w:pStyle w:val="BodyText"/>
        <w:numPr>
          <w:ilvl w:val="0"/>
          <w:numId w:val="75"/>
        </w:numPr>
        <w:tabs>
          <w:tab w:val="left" w:pos="341"/>
        </w:tabs>
        <w:ind w:left="360" w:hanging="360"/>
      </w:pPr>
      <w:bookmarkStart w:id="330" w:name="bookmark933"/>
      <w:bookmarkEnd w:id="330"/>
      <w:r>
        <w:t>En la primera etapa del parto, si se desconoce el estado inmunológico (VIH) de la mujer en el embarazo presente, se recomienda decididamente que reciba orientación y se someta a las pruebas idóneas con la mayor rapidez posible. El conocimiento de su estado serológico permitirá a cada persona entender los beneficios para ella y para el pequeño. Es importante administrar antirretrovíricos durante la primera etapa del parto y también al producto en la mujer seropositiva, con la esperanza de evitar o disminuir la transmisión del virus. También es de gran trascendencia que la mujer sepa el estado de su infección por VIH en cuanto a nuevas decisiones sobre el amamantamiento. Por fortuna, por medio de la enseñanza se modificarán comportamientos que disminuyan la posibilidad de contagio y transmisión de virus de inmunodeficiencia humana.</w:t>
      </w:r>
    </w:p>
    <w:p w14:paraId="1E5BA2C9" w14:textId="77777777" w:rsidR="00093A32" w:rsidRDefault="00093A32">
      <w:pPr>
        <w:pStyle w:val="BodyText"/>
        <w:numPr>
          <w:ilvl w:val="0"/>
          <w:numId w:val="75"/>
        </w:numPr>
        <w:tabs>
          <w:tab w:val="left" w:pos="340"/>
        </w:tabs>
        <w:ind w:left="360" w:hanging="360"/>
      </w:pPr>
      <w:bookmarkStart w:id="331" w:name="bookmark934"/>
      <w:bookmarkEnd w:id="331"/>
      <w:r>
        <w:t>Se necesita que toda mujer que sepa que está infectada por VIH, entienda que no debe alimentar a su hijo ni dar su leche a un banco.</w:t>
      </w:r>
    </w:p>
    <w:p w14:paraId="3C80C2F9" w14:textId="77777777" w:rsidR="00093A32" w:rsidRDefault="00093A32">
      <w:pPr>
        <w:pStyle w:val="BodyText"/>
        <w:numPr>
          <w:ilvl w:val="0"/>
          <w:numId w:val="75"/>
        </w:numPr>
        <w:tabs>
          <w:tab w:val="left" w:pos="340"/>
        </w:tabs>
        <w:ind w:left="360" w:hanging="360"/>
      </w:pPr>
      <w:bookmarkStart w:id="332" w:name="bookmark935"/>
      <w:bookmarkEnd w:id="332"/>
      <w:r>
        <w:t>En términos generales, las mujeres que son seronegativas y lo saben, deben recibir estímulo para amamantar a su hijo. Sin embargo, las mujeres seronegativas pero que tienen compañeros sexuales seropositivos, o que sean usuarias activas de drogas, deben recibir información sobre el posible peligro de contagiar el virus por la leche materna y también conocer métodos que disminuyan el peligro de adquirir la infección.</w:t>
      </w:r>
    </w:p>
    <w:p w14:paraId="32C4AF03" w14:textId="77777777" w:rsidR="00093A32" w:rsidRDefault="00093A32">
      <w:pPr>
        <w:pStyle w:val="BodyText"/>
        <w:numPr>
          <w:ilvl w:val="0"/>
          <w:numId w:val="75"/>
        </w:numPr>
        <w:tabs>
          <w:tab w:val="left" w:pos="340"/>
        </w:tabs>
        <w:ind w:left="360" w:hanging="360"/>
      </w:pPr>
      <w:bookmarkStart w:id="333" w:name="bookmark936"/>
      <w:bookmarkEnd w:id="333"/>
      <w:r>
        <w:t>Es necesario informar a toda mujer que desconoce su estado respecto a VIH de la posibilidad de que si está infectada transmita el virus durante el periodo perinatal y por medio de la leche materna. También debe enterarse de los posibles beneficios que obtendrán ella y su pequeño si se conoce el estado serológico y entender la forma en que se contagia y transmite el virus. Se recomendará a toda mujer someterse a pruebas para así saber cual es su estado serológico. El personal asistencial debe hacer recomendaciones individualizadas que auxilien a la mujer en su decisión de alimentar a su hijo al seno.</w:t>
      </w:r>
    </w:p>
    <w:p w14:paraId="3E7AD6CA" w14:textId="77777777" w:rsidR="00093A32" w:rsidRDefault="00093A32">
      <w:pPr>
        <w:pStyle w:val="BodyText"/>
        <w:numPr>
          <w:ilvl w:val="0"/>
          <w:numId w:val="75"/>
        </w:numPr>
        <w:tabs>
          <w:tab w:val="left" w:pos="340"/>
        </w:tabs>
        <w:spacing w:line="276" w:lineRule="auto"/>
        <w:ind w:left="360" w:hanging="360"/>
      </w:pPr>
      <w:bookmarkStart w:id="334" w:name="bookmark937"/>
      <w:bookmarkEnd w:id="334"/>
      <w:r>
        <w:t xml:space="preserve">Las unidades de cuidado intensivo neonatal deben elaborar normas para utilizar la leche materna “obtenida por expresión” a todo neonato, y que sean congruentes con las recomendaciones. En Estados Unidos, las normas actuales de la </w:t>
      </w:r>
      <w:r>
        <w:rPr>
          <w:rFonts w:ascii="Times New Roman" w:eastAsia="Times New Roman" w:hAnsi="Times New Roman" w:cs="Times New Roman"/>
          <w:i/>
          <w:iCs/>
          <w:sz w:val="16"/>
          <w:szCs w:val="16"/>
        </w:rPr>
        <w:t>Occupational Safety and Health Administration</w:t>
      </w:r>
      <w:r>
        <w:t xml:space="preserve"> no exigen que se usen guantes para el manejo cotidiano de la leche humana obtenida por expresión. Sin embargo, el personal asistencial debe usar los guantes si la exposición a la lecha será frecuente o duradera como en los bancos de tal líquido.</w:t>
      </w:r>
    </w:p>
    <w:p w14:paraId="098ECEEA" w14:textId="77777777" w:rsidR="00093A32" w:rsidRDefault="00093A32">
      <w:pPr>
        <w:pStyle w:val="BodyText"/>
        <w:numPr>
          <w:ilvl w:val="0"/>
          <w:numId w:val="75"/>
        </w:numPr>
        <w:tabs>
          <w:tab w:val="left" w:pos="340"/>
        </w:tabs>
        <w:spacing w:line="288" w:lineRule="auto"/>
        <w:ind w:left="360" w:hanging="360"/>
      </w:pPr>
      <w:bookmarkStart w:id="335" w:name="bookmark938"/>
      <w:bookmarkEnd w:id="335"/>
      <w:r>
        <w:t xml:space="preserve">Los bancos de leche materna deben cumplir con las directrices elaboradas por el </w:t>
      </w:r>
      <w:r>
        <w:rPr>
          <w:rFonts w:ascii="Times New Roman" w:eastAsia="Times New Roman" w:hAnsi="Times New Roman" w:cs="Times New Roman"/>
          <w:i/>
          <w:iCs/>
          <w:sz w:val="16"/>
          <w:szCs w:val="16"/>
        </w:rPr>
        <w:t>Public Health Service</w:t>
      </w:r>
      <w:r>
        <w:t xml:space="preserve"> de Estados Unidos, que incluirán la detección sistemática de infección por VIH en toda donante, la evaluación de los factores de peligro que predisponen a la infección y la pasteurización de toda la leche donada. </w:t>
      </w:r>
      <w:r>
        <w:rPr>
          <w:rFonts w:ascii="Arial" w:eastAsia="Arial" w:hAnsi="Arial" w:cs="Arial"/>
          <w:b/>
          <w:bCs/>
          <w:i/>
          <w:iCs/>
          <w:sz w:val="15"/>
          <w:szCs w:val="15"/>
        </w:rPr>
        <w:t>Enseñanza de adolescentes.</w:t>
      </w:r>
      <w:r>
        <w:t xml:space="preserve"> Los jóvenes sexualmente activos o que utilizan drogas</w:t>
      </w:r>
    </w:p>
    <w:p w14:paraId="46A49E14" w14:textId="77777777" w:rsidR="00093A32" w:rsidRDefault="00093A32">
      <w:pPr>
        <w:pStyle w:val="BodyText"/>
        <w:ind w:firstLine="0"/>
      </w:pPr>
      <w:r>
        <w:t>ilícitas inyectables están en peligro de contraer la infección por VIH. Es necesario enseñarles todo lo referente a la infección por el virus y que tengan acceso a la práctica de métodos para identificarlo y así conocer su estado serológico. Se hará todo intento particular para que los adolescentes que no tienen acceso a atención corriente en el área de la salud, la tengan por parte de profesionales en ella. Se necesita el consentimiento informado para la práctica de pruebas o para la transmisión de información en cuanto al estado serológico.</w:t>
      </w:r>
    </w:p>
    <w:p w14:paraId="34515283" w14:textId="77777777" w:rsidR="00093A32" w:rsidRDefault="00093A32">
      <w:pPr>
        <w:pStyle w:val="BodyText"/>
        <w:ind w:firstLine="360"/>
      </w:pPr>
      <w:r>
        <w:t>Entre las recomendaciones específicas de la AAP para pediatras que atienden adolescentes están:</w:t>
      </w:r>
      <w:r>
        <w:footnoteReference w:id="42"/>
      </w:r>
    </w:p>
    <w:p w14:paraId="2ED73EFD" w14:textId="77777777" w:rsidR="00093A32" w:rsidRDefault="00093A32">
      <w:pPr>
        <w:pStyle w:val="BodyText"/>
        <w:numPr>
          <w:ilvl w:val="0"/>
          <w:numId w:val="75"/>
        </w:numPr>
        <w:tabs>
          <w:tab w:val="left" w:pos="340"/>
        </w:tabs>
        <w:ind w:left="360" w:hanging="360"/>
      </w:pPr>
      <w:bookmarkStart w:id="336" w:name="bookmark939"/>
      <w:bookmarkEnd w:id="336"/>
      <w:r>
        <w:t>Es importante considerar como parte esencial de la orientación anticipatoria que dan los pediatras a todos los adolescentes, los datos sobre la infección por VIH y SIDA y la disponibilidad de pruebas para detectar el virus. La orientación debe incluir información en cuanto a las formas de prevención y contagio de VIH, así como las consecuencias de la infección.</w:t>
      </w:r>
    </w:p>
    <w:p w14:paraId="129829C2" w14:textId="77777777" w:rsidR="00093A32" w:rsidRDefault="00093A32">
      <w:pPr>
        <w:pStyle w:val="BodyText"/>
        <w:numPr>
          <w:ilvl w:val="0"/>
          <w:numId w:val="75"/>
        </w:numPr>
        <w:tabs>
          <w:tab w:val="left" w:pos="340"/>
        </w:tabs>
        <w:ind w:left="360" w:hanging="360"/>
      </w:pPr>
      <w:bookmarkStart w:id="337" w:name="bookmark940"/>
      <w:bookmarkEnd w:id="337"/>
      <w:r>
        <w:t>La orientación preventiva debe incluir formas de auxiliar a los adolescentes para que entiendan y acepten las responsabilidades de ser sexualmente activos. También se darán datos sobre la abstinencia sexual y el uso de prácticas más seguras para disminuir el peligro de un embarazo no planeado y de enfermedades de transmisión sexual, incluida la causada por VIH. Habrá que orientar a todos los adolescentes sobre el uso constante y correcto de condones de látex para disminuir el peligro de infección.</w:t>
      </w:r>
    </w:p>
    <w:p w14:paraId="7286B3A4" w14:textId="77777777" w:rsidR="00093A32" w:rsidRDefault="00093A32">
      <w:pPr>
        <w:pStyle w:val="BodyText"/>
        <w:numPr>
          <w:ilvl w:val="0"/>
          <w:numId w:val="75"/>
        </w:numPr>
        <w:tabs>
          <w:tab w:val="left" w:pos="340"/>
        </w:tabs>
        <w:ind w:left="360" w:hanging="360"/>
      </w:pPr>
      <w:bookmarkStart w:id="338" w:name="bookmark941"/>
      <w:bookmarkEnd w:id="338"/>
      <w:r>
        <w:t>Habrá que comentar con todos los adolescentes la posibilidad de que se practiquen las pruebas para identificar VIH, y también se motivará a los jóvenes sexualmente activos o que consumen drogas a que se realicen dichos estudios, con su consentimiento.</w:t>
      </w:r>
    </w:p>
    <w:p w14:paraId="34A69550" w14:textId="77777777" w:rsidR="00093A32" w:rsidRDefault="00093A32">
      <w:pPr>
        <w:pStyle w:val="BodyText"/>
        <w:numPr>
          <w:ilvl w:val="0"/>
          <w:numId w:val="75"/>
        </w:numPr>
        <w:tabs>
          <w:tab w:val="left" w:pos="340"/>
        </w:tabs>
        <w:ind w:left="360" w:hanging="360"/>
      </w:pPr>
      <w:bookmarkStart w:id="339" w:name="bookmark942"/>
      <w:bookmarkEnd w:id="339"/>
      <w:r>
        <w:t>Un objetivo deseable sería que los padres participaran en la asistencia clínica de los adolescentes, pero el consentimiento del joven o la joven solos debe bastar para emprender la valoración y el tratamiento en casos de sospecha de infección por VIH o cuando se ha confirmado ésta.</w:t>
      </w:r>
    </w:p>
    <w:p w14:paraId="75BAE5EA" w14:textId="77777777" w:rsidR="00093A32" w:rsidRDefault="00093A32">
      <w:pPr>
        <w:pStyle w:val="BodyText"/>
        <w:numPr>
          <w:ilvl w:val="0"/>
          <w:numId w:val="75"/>
        </w:numPr>
        <w:tabs>
          <w:tab w:val="left" w:pos="340"/>
        </w:tabs>
        <w:ind w:left="360" w:hanging="360"/>
      </w:pPr>
      <w:bookmarkStart w:id="340" w:name="bookmark943"/>
      <w:bookmarkEnd w:id="340"/>
      <w:r>
        <w:t>La negatividad de una prueba para detectar VIH puede disipar la ansiedad que causa un suceso de alto riesgo o comportamientos de gran peligrosidad y constituye una buena oportunidad para orientar hacia las formas de desterrar o disminuir los comportamientos de alto riesgo y así reducir peligros futuros.</w:t>
      </w:r>
    </w:p>
    <w:p w14:paraId="1E1349A1" w14:textId="77777777" w:rsidR="00093A32" w:rsidRDefault="00093A32">
      <w:pPr>
        <w:pStyle w:val="BodyText"/>
        <w:numPr>
          <w:ilvl w:val="0"/>
          <w:numId w:val="75"/>
        </w:numPr>
        <w:tabs>
          <w:tab w:val="left" w:pos="340"/>
        </w:tabs>
        <w:ind w:left="360" w:hanging="360"/>
      </w:pPr>
      <w:bookmarkStart w:id="341" w:name="bookmark944"/>
      <w:bookmarkEnd w:id="341"/>
      <w:r>
        <w:t>Si los resultados de las pruebas son positivos en cuanto a VIH, es importante dar apoyo, satisfacer las necesidades médicas y psicosociales del adolescente y obtener contactos para lograr atención apropiada.</w:t>
      </w:r>
    </w:p>
    <w:p w14:paraId="64FC76A2" w14:textId="77777777" w:rsidR="00093A32" w:rsidRDefault="00093A32">
      <w:pPr>
        <w:pStyle w:val="BodyText"/>
        <w:numPr>
          <w:ilvl w:val="0"/>
          <w:numId w:val="75"/>
        </w:numPr>
        <w:tabs>
          <w:tab w:val="left" w:pos="340"/>
        </w:tabs>
        <w:ind w:left="360" w:hanging="360"/>
      </w:pPr>
      <w:bookmarkStart w:id="342" w:name="bookmark945"/>
      <w:bookmarkEnd w:id="342"/>
      <w:r>
        <w:t>Los pediatras deben auxiliar a todo adolescente con infección por VIH para que comprenda la importancia de señalar a sus compañeros sexuales la posible exposición al virus. También dichos profesionistas pueden brindar esta ayuda en forma directa o recurriendo a un programa del departamento sanitario estatal o local que corresponda al compañero sexual.</w:t>
      </w:r>
    </w:p>
    <w:p w14:paraId="44601A30" w14:textId="77777777" w:rsidR="00093A32" w:rsidRDefault="00093A32">
      <w:pPr>
        <w:pStyle w:val="BodyText"/>
        <w:numPr>
          <w:ilvl w:val="0"/>
          <w:numId w:val="75"/>
        </w:numPr>
        <w:tabs>
          <w:tab w:val="left" w:pos="340"/>
        </w:tabs>
        <w:ind w:left="360" w:hanging="360"/>
      </w:pPr>
      <w:bookmarkStart w:id="343" w:name="bookmark946"/>
      <w:bookmarkEnd w:id="343"/>
      <w:r>
        <w:t>Los pediatras deben apoyar las necesidades especiales de los adolescentes en cuanto a información sobre VIH, al acceso a pruebas de detección y orientación y al tratamiento de la infección por el virus.</w:t>
      </w:r>
    </w:p>
    <w:p w14:paraId="35D98E83" w14:textId="77777777" w:rsidR="00093A32" w:rsidRDefault="00093A32">
      <w:pPr>
        <w:pStyle w:val="BodyText"/>
        <w:spacing w:line="276" w:lineRule="auto"/>
        <w:ind w:firstLine="0"/>
      </w:pPr>
      <w:r>
        <w:rPr>
          <w:rFonts w:ascii="Arial" w:eastAsia="Arial" w:hAnsi="Arial" w:cs="Arial"/>
          <w:b/>
          <w:bCs/>
          <w:i/>
          <w:iCs/>
          <w:sz w:val="15"/>
          <w:szCs w:val="15"/>
        </w:rPr>
        <w:t>Asistencia a la escuela y enseñanza de niños con infección por VIH.</w:t>
      </w:r>
      <w:r>
        <w:rPr>
          <w:rFonts w:ascii="Arial" w:eastAsia="Arial" w:hAnsi="Arial" w:cs="Arial"/>
          <w:b/>
          <w:bCs/>
          <w:i/>
          <w:iCs/>
          <w:sz w:val="15"/>
          <w:szCs w:val="15"/>
        </w:rPr>
        <w:footnoteReference w:id="43"/>
      </w:r>
      <w:r>
        <w:t xml:space="preserve"> De no haber exposición a la sangre, los tipos de contacto que suelen ocurrir en el entorno escolar, incluidas la saliva o las lágrimas, no permiten el contagio de la infección por VIH. Por tal motivo, los niños con infección por el virus no deben ser excluidos de la escuela para proteger a otros menores o el personal escolar, y tampoco se necesita revelar que se tiene la infección. Estas son las recomendaciones específicas en cuanto a la asistencia escolar de niños y adolescentes con infección por VIH:</w:t>
      </w:r>
    </w:p>
    <w:p w14:paraId="763D00B8" w14:textId="77777777" w:rsidR="00093A32" w:rsidRDefault="00093A32">
      <w:pPr>
        <w:pStyle w:val="BodyText"/>
        <w:numPr>
          <w:ilvl w:val="0"/>
          <w:numId w:val="75"/>
        </w:numPr>
        <w:tabs>
          <w:tab w:val="left" w:pos="340"/>
        </w:tabs>
        <w:ind w:left="360" w:hanging="360"/>
      </w:pPr>
      <w:bookmarkStart w:id="344" w:name="bookmark947"/>
      <w:bookmarkEnd w:id="344"/>
      <w:r>
        <w:t>Casi todos los escolares y los adolescentes infectados podrán seguir acudiendo a la escuela, sin restricciones, siempre y cuando lo apruebe el médico que los atiende. La necesidad de un entorno escolar más restringido para el niño infectado que pudiera mostrar una mayor tendencia a exponer a sus compañeros al contagio debe ser valorado de manera individual por dicho facultativo. Las lesiones exudativas de la piel o un comportamiento agresivo con mordidas son ejemplo de situaciones en que hay un mayor riesgo teórico de exposición.</w:t>
      </w:r>
    </w:p>
    <w:p w14:paraId="1D51777A" w14:textId="77777777" w:rsidR="00093A32" w:rsidRDefault="00093A32">
      <w:pPr>
        <w:pStyle w:val="BodyText"/>
        <w:numPr>
          <w:ilvl w:val="0"/>
          <w:numId w:val="75"/>
        </w:numPr>
        <w:tabs>
          <w:tab w:val="left" w:pos="340"/>
        </w:tabs>
        <w:ind w:left="360" w:hanging="360"/>
      </w:pPr>
      <w:bookmarkStart w:id="345" w:name="bookmark948"/>
      <w:bookmarkEnd w:id="345"/>
      <w:r>
        <w:t>Sólo los progenitores, otros tutores o el médico tienen la necesidad absoluta de saber que el niño está infectado. El número de personas enteradas del problema del menor debe ser el mínimo necesario para asegurar la atención apropiada. La familia tiene el derecho, pero no está obligada a informar a las autoridades escolares. Las personas que intervienen en la atención y la enseñanza de un estudiante infectado deben respetar el derecho que él posee a la intimidad.</w:t>
      </w:r>
    </w:p>
    <w:p w14:paraId="596134B2" w14:textId="77777777" w:rsidR="00093A32" w:rsidRDefault="00093A32">
      <w:pPr>
        <w:pStyle w:val="BodyText"/>
        <w:numPr>
          <w:ilvl w:val="0"/>
          <w:numId w:val="75"/>
        </w:numPr>
        <w:tabs>
          <w:tab w:val="left" w:pos="335"/>
        </w:tabs>
        <w:ind w:left="360" w:hanging="360"/>
      </w:pPr>
      <w:bookmarkStart w:id="346" w:name="bookmark949"/>
      <w:bookmarkEnd w:id="346"/>
      <w:r>
        <w:t>Todas las escuelas deben adoptar los métodos corrientes para manipular sangre o líquidos sanguinolentos, que incluyan la eliminación del papel sanitario, independientemente de que acudan a tal servicio los estudiantes con infección por VIH. Es importante que profesionales de atención escolar, maestros, administradores y otros empleados reciban enseñanza respecto a tales procedimientos (véase después en este resumen “Medidas de limpieza en la eliminación de sangre y líquidos corporales”).</w:t>
      </w:r>
    </w:p>
    <w:p w14:paraId="012F8568" w14:textId="77777777" w:rsidR="00093A32" w:rsidRDefault="00093A32">
      <w:pPr>
        <w:pStyle w:val="BodyText"/>
        <w:numPr>
          <w:ilvl w:val="0"/>
          <w:numId w:val="75"/>
        </w:numPr>
        <w:tabs>
          <w:tab w:val="left" w:pos="335"/>
        </w:tabs>
        <w:ind w:left="360" w:hanging="360"/>
      </w:pPr>
      <w:bookmarkStart w:id="347" w:name="bookmark950"/>
      <w:bookmarkEnd w:id="347"/>
      <w:r>
        <w:t>Los niños infectados pueden estar expuestos a un mayor peligro de sufrir complicaciones graves por infecciones como varicela, tuberculosis, sarampión, CMV y virus de herpes simple. En la escuela se establecerán métodos para notificar a todos los padres sobre las enfermedades contagiosas, como la varicela o el sarampión.</w:t>
      </w:r>
    </w:p>
    <w:p w14:paraId="171D9A1C" w14:textId="77777777" w:rsidR="00093A32" w:rsidRDefault="00093A32">
      <w:pPr>
        <w:pStyle w:val="BodyText"/>
        <w:numPr>
          <w:ilvl w:val="0"/>
          <w:numId w:val="75"/>
        </w:numPr>
        <w:tabs>
          <w:tab w:val="left" w:pos="335"/>
        </w:tabs>
        <w:ind w:firstLine="0"/>
      </w:pPr>
      <w:bookmarkStart w:id="348" w:name="bookmark951"/>
      <w:bookmarkEnd w:id="348"/>
      <w:r>
        <w:t>No se recomienda la detección sistemática de infección de VIH en los escolares.</w:t>
      </w:r>
    </w:p>
    <w:p w14:paraId="65ADE7E8" w14:textId="77777777" w:rsidR="00093A32" w:rsidRDefault="00093A32">
      <w:pPr>
        <w:pStyle w:val="BodyText"/>
        <w:ind w:firstLine="360"/>
      </w:pPr>
      <w:r>
        <w:t>Al prolongarse la esperanza de vida de los niños y de los adolescentes infectados también aumentará la población escolar de unos y otros con la enfermedad. El conocimiento de los efectos de la enfermedad crónica y la identificación de los problemas en el desarrollo del sistema nervioso en alguno de los menores son esenciales para brindar programas educativos apropiados. Se exponen a continuación algunas de las recomendaciones de la AAP en cuanto a la enseñanza de niños infectados:*</w:t>
      </w:r>
    </w:p>
    <w:p w14:paraId="5BA69C6A" w14:textId="77777777" w:rsidR="00093A32" w:rsidRDefault="00093A32">
      <w:pPr>
        <w:pStyle w:val="BodyText"/>
        <w:numPr>
          <w:ilvl w:val="0"/>
          <w:numId w:val="75"/>
        </w:numPr>
        <w:tabs>
          <w:tab w:val="left" w:pos="335"/>
        </w:tabs>
        <w:ind w:left="360" w:hanging="360"/>
      </w:pPr>
      <w:bookmarkStart w:id="349" w:name="bookmark952"/>
      <w:bookmarkEnd w:id="349"/>
      <w:r>
        <w:t>Todos los niños infectados deben recibir educación apropiada, adaptada a sus necesidades especiales en evolución. La variedad de tales necesidades difiere con la etapa de la enfermedad y la edad del menor.</w:t>
      </w:r>
    </w:p>
    <w:p w14:paraId="21CB6AAC" w14:textId="77777777" w:rsidR="00093A32" w:rsidRDefault="00093A32">
      <w:pPr>
        <w:pStyle w:val="BodyText"/>
        <w:numPr>
          <w:ilvl w:val="0"/>
          <w:numId w:val="75"/>
        </w:numPr>
        <w:tabs>
          <w:tab w:val="left" w:pos="335"/>
        </w:tabs>
        <w:ind w:left="360" w:hanging="360"/>
      </w:pPr>
      <w:bookmarkStart w:id="350" w:name="bookmark953"/>
      <w:bookmarkEnd w:id="350"/>
      <w:r>
        <w:t>La infección por VIH debe ser tratada como se hace con otras enfermedades crónicas en que se necesitan enseñanza especializada y otros servicios similares.</w:t>
      </w:r>
    </w:p>
    <w:p w14:paraId="13C80BFF" w14:textId="77777777" w:rsidR="00093A32" w:rsidRDefault="00093A32">
      <w:pPr>
        <w:pStyle w:val="BodyText"/>
        <w:numPr>
          <w:ilvl w:val="0"/>
          <w:numId w:val="75"/>
        </w:numPr>
        <w:tabs>
          <w:tab w:val="left" w:pos="335"/>
        </w:tabs>
        <w:ind w:firstLine="0"/>
      </w:pPr>
      <w:bookmarkStart w:id="351" w:name="bookmark954"/>
      <w:bookmarkEnd w:id="351"/>
      <w:r>
        <w:t>Es necesario asegurar, en la escuela o en el hogar, la continuidad de la enseñanza.</w:t>
      </w:r>
    </w:p>
    <w:p w14:paraId="7C81025C" w14:textId="77777777" w:rsidR="00093A32" w:rsidRDefault="00093A32">
      <w:pPr>
        <w:pStyle w:val="BodyText"/>
        <w:numPr>
          <w:ilvl w:val="0"/>
          <w:numId w:val="75"/>
        </w:numPr>
        <w:tabs>
          <w:tab w:val="left" w:pos="335"/>
        </w:tabs>
        <w:ind w:left="360" w:hanging="360"/>
      </w:pPr>
      <w:bookmarkStart w:id="352" w:name="bookmark955"/>
      <w:bookmarkEnd w:id="352"/>
      <w:r>
        <w:t>Ante el estigma que se impone a la enfermedad, es esencial conservar el aspecto confidencial de ella. La información se revelará sólo con el consentimiento informado de los padres o tutores y la aceptación del estudiante (apropiada a su edad).</w:t>
      </w:r>
    </w:p>
    <w:p w14:paraId="7C44839F" w14:textId="77777777" w:rsidR="00093A32" w:rsidRDefault="00093A32">
      <w:pPr>
        <w:pStyle w:val="BodyText"/>
        <w:spacing w:line="276" w:lineRule="auto"/>
        <w:ind w:firstLine="360"/>
      </w:pPr>
      <w:r>
        <w:rPr>
          <w:rFonts w:ascii="Arial" w:eastAsia="Arial" w:hAnsi="Arial" w:cs="Arial"/>
          <w:b/>
          <w:bCs/>
          <w:i/>
          <w:iCs/>
          <w:sz w:val="15"/>
          <w:szCs w:val="15"/>
        </w:rPr>
        <w:t>Virus de inmunodeficiencia humana en los deportes.</w:t>
      </w:r>
      <w:r>
        <w:t xml:space="preserve"> Los deportes y el personal de programas de este tipo pueden estar expuestos al contacto con sangre durante las actividades mencionadas. AAP ha elaborado recomendaciones para evitar la transmisión de VIH y otros patógenos hematógenos en los deportes (véase “Infecciones diseminadas por la sangre y líquidos corporales” en Salud escolar, sección 2).</w:t>
      </w:r>
    </w:p>
    <w:p w14:paraId="6B7A62DF" w14:textId="77777777" w:rsidR="00093A32" w:rsidRDefault="00093A32">
      <w:pPr>
        <w:pStyle w:val="BodyText"/>
        <w:spacing w:line="298" w:lineRule="auto"/>
        <w:ind w:firstLine="360"/>
        <w:rPr>
          <w:sz w:val="11"/>
          <w:szCs w:val="11"/>
        </w:rPr>
      </w:pPr>
      <w:r>
        <w:rPr>
          <w:rFonts w:ascii="Arial" w:eastAsia="Arial" w:hAnsi="Arial" w:cs="Arial"/>
          <w:b/>
          <w:bCs/>
          <w:i/>
          <w:iCs/>
          <w:sz w:val="15"/>
          <w:szCs w:val="15"/>
        </w:rPr>
        <w:t>Atención de menores y casas de adopción.</w:t>
      </w:r>
      <w:r>
        <w:rPr>
          <w:i/>
          <w:iCs/>
          <w:smallCaps/>
          <w:sz w:val="18"/>
          <w:szCs w:val="18"/>
        </w:rPr>
        <w:t>ï</w:t>
      </w:r>
      <w:r>
        <w:t xml:space="preserve"> Las recomendaciones actuales de la AAP en este campo son:</w:t>
      </w:r>
      <w:r>
        <w:rPr>
          <w:rFonts w:ascii="Times New Roman" w:eastAsia="Times New Roman" w:hAnsi="Times New Roman" w:cs="Times New Roman"/>
          <w:sz w:val="11"/>
          <w:szCs w:val="11"/>
        </w:rPr>
        <w:t>§</w:t>
      </w:r>
    </w:p>
    <w:p w14:paraId="512FE572" w14:textId="77777777" w:rsidR="00093A32" w:rsidRDefault="00093A32">
      <w:pPr>
        <w:pStyle w:val="BodyText"/>
        <w:numPr>
          <w:ilvl w:val="0"/>
          <w:numId w:val="75"/>
        </w:numPr>
        <w:tabs>
          <w:tab w:val="left" w:pos="335"/>
        </w:tabs>
        <w:ind w:left="360" w:hanging="360"/>
      </w:pPr>
      <w:bookmarkStart w:id="353" w:name="bookmark956"/>
      <w:bookmarkEnd w:id="353"/>
      <w:r>
        <w:t xml:space="preserve">No existe razón para restringir la atención en hogares adoptivos o la adopción de niños que tienen infección por VIH, para proteger la salud de otros miembros de la </w:t>
      </w:r>
      <w:r>
        <w:rPr>
          <w:vertAlign w:val="superscript"/>
        </w:rPr>
        <w:footnoteReference w:id="44"/>
      </w:r>
      <w:r>
        <w:rPr>
          <w:vertAlign w:val="superscript"/>
        </w:rPr>
        <w:t xml:space="preserve"> </w:t>
      </w:r>
      <w:r>
        <w:rPr>
          <w:vertAlign w:val="superscript"/>
        </w:rPr>
        <w:footnoteReference w:id="45"/>
      </w:r>
      <w:r>
        <w:rPr>
          <w:vertAlign w:val="superscript"/>
        </w:rPr>
        <w:t xml:space="preserve"> </w:t>
      </w:r>
      <w:r>
        <w:rPr>
          <w:vertAlign w:val="superscript"/>
        </w:rPr>
        <w:footnoteReference w:id="46"/>
      </w:r>
      <w:r>
        <w:rPr>
          <w:vertAlign w:val="superscript"/>
        </w:rPr>
        <w:t xml:space="preserve"> </w:t>
      </w:r>
      <w:r>
        <w:rPr>
          <w:vertAlign w:val="superscript"/>
        </w:rPr>
        <w:footnoteReference w:id="47"/>
      </w:r>
      <w:r>
        <w:t xml:space="preserve"> familia. Es insignificante el riesgo de transmisión de la infección en el entorno familiar.</w:t>
      </w:r>
    </w:p>
    <w:p w14:paraId="35821790" w14:textId="77777777" w:rsidR="00093A32" w:rsidRDefault="00093A32">
      <w:pPr>
        <w:pStyle w:val="BodyText"/>
        <w:numPr>
          <w:ilvl w:val="0"/>
          <w:numId w:val="75"/>
        </w:numPr>
        <w:tabs>
          <w:tab w:val="left" w:pos="339"/>
        </w:tabs>
        <w:ind w:left="360" w:hanging="360"/>
      </w:pPr>
      <w:bookmarkStart w:id="354" w:name="bookmark957"/>
      <w:bookmarkEnd w:id="354"/>
      <w:r>
        <w:t>No existe necesidad alguna de restringir la colocación de los niños infectados en instituciones de asistencia infantil, para proteger al personal y a otros menores, dado que el peligro de transmisión del virus en tales entornos es insignificante.</w:t>
      </w:r>
    </w:p>
    <w:p w14:paraId="5ACEBE49" w14:textId="77777777" w:rsidR="00093A32" w:rsidRDefault="00093A32">
      <w:pPr>
        <w:pStyle w:val="BodyText"/>
        <w:numPr>
          <w:ilvl w:val="0"/>
          <w:numId w:val="75"/>
        </w:numPr>
        <w:tabs>
          <w:tab w:val="left" w:pos="339"/>
        </w:tabs>
        <w:ind w:left="360" w:hanging="360"/>
      </w:pPr>
      <w:bookmarkStart w:id="355" w:name="bookmark958"/>
      <w:bookmarkEnd w:id="355"/>
      <w:r>
        <w:t>No es necesario informar a quienes cuidan de los niños sobre el estado serológico (VIH) del menor para proteger la salud de los cuidadores u otros menores en el entorno pediátrico. En algunas jurisdicciones es imposible divulgar el diagnóstico sin el consentimiento escrito de los progenitores o el tutor. Los progenitores pueden informar del diagnóstico a quien cuida del menor, para atender la solicitud de que el cuidador observe de cerca al pequeño en busca de signos de enfermedad que obliguen a prestar atención médica, y también para ayudar a los progenitores en las necesidades emocionales y sociales especiales de su hijo.</w:t>
      </w:r>
    </w:p>
    <w:p w14:paraId="4866E198" w14:textId="77777777" w:rsidR="00093A32" w:rsidRDefault="00093A32">
      <w:pPr>
        <w:pStyle w:val="BodyText"/>
        <w:numPr>
          <w:ilvl w:val="0"/>
          <w:numId w:val="75"/>
        </w:numPr>
        <w:tabs>
          <w:tab w:val="left" w:pos="339"/>
        </w:tabs>
        <w:ind w:left="360" w:hanging="360"/>
      </w:pPr>
      <w:bookmarkStart w:id="356" w:name="bookmark959"/>
      <w:bookmarkEnd w:id="356"/>
      <w:r>
        <w:t>Es importante cumplir con las precauciones estándar recomendadas en todos los centros e instituciones que atienden niños, cuando se manejan sangre o líquidos corporales sanguinolentos, para llevar al mínimo el contagio de enfermedades hematógenas (véase después en este resumen “Medidas de limpieza en la eliminación de sangre y líquidos corporales”).</w:t>
      </w:r>
    </w:p>
    <w:p w14:paraId="2DE94D5A" w14:textId="77777777" w:rsidR="00093A32" w:rsidRDefault="00093A32">
      <w:pPr>
        <w:pStyle w:val="BodyText"/>
        <w:numPr>
          <w:ilvl w:val="0"/>
          <w:numId w:val="75"/>
        </w:numPr>
        <w:tabs>
          <w:tab w:val="left" w:pos="339"/>
        </w:tabs>
        <w:ind w:left="360" w:hanging="360"/>
      </w:pPr>
      <w:bookmarkStart w:id="357" w:name="bookmark960"/>
      <w:bookmarkEnd w:id="357"/>
      <w:r>
        <w:t>Es necesario que todos los programas de asistencia preescolar informen sistemáticamente a la familia, del surgimiento y ataque de cualquier enfermedad muy contagiosa, como varicela o sarampión, en cualquier menor en tales instituciones. La medida en cuestión permitirá que la familia proteja a sus hijos inmunodeficientes.</w:t>
      </w:r>
    </w:p>
    <w:p w14:paraId="6A4933F5" w14:textId="77777777" w:rsidR="00093A32" w:rsidRDefault="00093A32">
      <w:pPr>
        <w:pStyle w:val="BodyText"/>
        <w:numPr>
          <w:ilvl w:val="0"/>
          <w:numId w:val="75"/>
        </w:numPr>
        <w:tabs>
          <w:tab w:val="left" w:pos="339"/>
        </w:tabs>
        <w:ind w:left="360" w:hanging="360"/>
      </w:pPr>
      <w:bookmarkStart w:id="358" w:name="bookmark961"/>
      <w:bookmarkEnd w:id="358"/>
      <w:r>
        <w:t>Se recomienda la valoración del estado serológico (VIH) de todas las embarazadas y sus recién nacidos; el conocimiento en cuestión facilitará la atención en hogares adoptivos o la adopción de los pequeños.</w:t>
      </w:r>
    </w:p>
    <w:p w14:paraId="155B3C09" w14:textId="77777777" w:rsidR="00093A32" w:rsidRDefault="00093A32">
      <w:pPr>
        <w:pStyle w:val="BodyText"/>
        <w:spacing w:line="276" w:lineRule="auto"/>
        <w:ind w:firstLine="360"/>
      </w:pPr>
      <w:r>
        <w:rPr>
          <w:rFonts w:ascii="Arial" w:eastAsia="Arial" w:hAnsi="Arial" w:cs="Arial"/>
          <w:b/>
          <w:bCs/>
          <w:i/>
          <w:iCs/>
          <w:sz w:val="15"/>
          <w:szCs w:val="15"/>
        </w:rPr>
        <w:t>Adultos con infección por VIH que trabajan en instituciones de asistencia infantil o escuelas.</w:t>
      </w:r>
      <w:r>
        <w:t xml:space="preserve"> Los adultos infectados pero asintomáticos pueden atender niños en escuelas o instituciones de atención infantil a condición de que no participen en situaciones que permitan el contacto con sus líquidos corporales. Ningún dato indica que los adultos infectados hayan transmitido el VIH durante sus tareas cotidianas de atención a los niños o de tipo escolar. Los adultos con infección sintomática por VIH muestran inmunodeficiencia y están expuestos a un mayor peligro de complicaciones si se contagian de enfermedades infecciosas de niños de corta edad. Es necesario que consulten a su médico sobre la seguridad de continuar con sus labores de atención infantil o en el entorno escolar.</w:t>
      </w:r>
    </w:p>
    <w:p w14:paraId="681AECAD" w14:textId="77777777" w:rsidR="00093A32" w:rsidRDefault="00093A32">
      <w:pPr>
        <w:pStyle w:val="BodyText"/>
        <w:spacing w:line="276" w:lineRule="auto"/>
        <w:ind w:firstLine="360"/>
      </w:pPr>
      <w:r>
        <w:rPr>
          <w:rFonts w:ascii="Arial" w:eastAsia="Arial" w:hAnsi="Arial" w:cs="Arial"/>
          <w:b/>
          <w:bCs/>
          <w:i/>
          <w:iCs/>
          <w:sz w:val="15"/>
          <w:szCs w:val="15"/>
        </w:rPr>
        <w:t>Medidas de limpieza en la eliminación de sangre y líquidos corporales.</w:t>
      </w:r>
      <w:r>
        <w:t xml:space="preserve"> En términos generales, las medidas de limpieza corrientes que utilizan un líquido comercial (detergente, desinfectante-detergente o germicida químico) compatible con diversas superficies, son satisfactorias para limpiar vómitos, orina y heces derramadas. Las secreciones nasales pueden ser limpiadas con pañuelitos higiénicos y descartadas en recipientes para basura. En el caso de material disperso que tenga sangre u otros líquidos corporales, habrá que limpiar el material orgánico y desinfectar la superficie con un producto recién diluido (1:10). Es conveniente usar guantes de caucho no desechables para limpiar grandes “derrames” y así evitar la contaminación de las manos de la persona encargada de la limpieza, pero no son esenciales los guantes para limpiar cantidades pequeñas de sangre, que pueden ser contenidas fácilmente por el material utilizado en tal maniobra. Las personas que intervienen en la limpieza de superficies contaminadas evitarán la exposición de lesiones cutáneas abiertas o mucosas, a la sangre o líquido sanguinolento. En la medida de lo posible hay que utilizar y desechar de manera adecuada, pañuelos o toallas desechables, y los trapeadores deben ser humedecidos en desinfectante. Después de la limpieza y de que la persona se quitó los guantes, se lavará lo mejor posible las manos con jabón y agua. No está indicado el uso de guantes para la limpieza corriente en que no haya contacto con secreciones corporales, como trapear suelos o quitar polvo.</w:t>
      </w:r>
    </w:p>
    <w:p w14:paraId="6BF686A8" w14:textId="77777777" w:rsidR="00093A32" w:rsidRDefault="00093A32">
      <w:pPr>
        <w:pStyle w:val="BodyText"/>
        <w:spacing w:line="276" w:lineRule="auto"/>
        <w:ind w:firstLine="360"/>
      </w:pPr>
      <w:r>
        <w:rPr>
          <w:rFonts w:ascii="Arial" w:eastAsia="Arial" w:hAnsi="Arial" w:cs="Arial"/>
          <w:b/>
          <w:bCs/>
          <w:i/>
          <w:iCs/>
          <w:sz w:val="15"/>
          <w:szCs w:val="15"/>
        </w:rPr>
        <w:t>Tratamiento y orientación de familias.</w:t>
      </w:r>
      <w:r>
        <w:rPr>
          <w:i/>
          <w:iCs/>
        </w:rPr>
        <w:footnoteReference w:id="48"/>
      </w:r>
      <w:r>
        <w:t xml:space="preserve"> Se recomienda la detección sistemática de tipo serológico de VIH en los hermanos y padres cuando se identifica el virus en un menor. En cada caso el médico brindará enseñanza y consejo constante en cuanto a los problemas del contagio con tal partícula, así como su transmisión, y definirá precauciones que habrá que seguir dentro del núcleo familiar y la comunidad para evitar la propagación de VIH.</w:t>
      </w:r>
    </w:p>
    <w:p w14:paraId="6B98C4C1" w14:textId="77777777" w:rsidR="00093A32" w:rsidRDefault="00093A32">
      <w:pPr>
        <w:pStyle w:val="BodyText"/>
        <w:ind w:firstLine="360"/>
      </w:pPr>
      <w:r>
        <w:t>Es importante señalar a las mujeres infectadas los peligros de procrear un hijo afectado en caso de que se embaracen, y se les enviará para recibir consejo en planificación familiar. Los sujetos infectados no deben donar sangre, plasma, semen, órganos, córneas, huesos u otros tejidos o leche materna.</w:t>
      </w:r>
    </w:p>
    <w:p w14:paraId="5EC10557" w14:textId="77777777" w:rsidR="00093A32" w:rsidRDefault="00093A32">
      <w:pPr>
        <w:pStyle w:val="BodyText"/>
        <w:ind w:firstLine="360"/>
      </w:pPr>
      <w:r>
        <w:t>Es necesario enseñar a todo niño infectado medidas de higiene y comportamiento apropiados. El volumen de información que se le dará sobre su enfermedad depende de su edad y nivel de madurez. Los niños de mayor edad y los adolescentes deben saber que la enfermedad se transmite por contacto sexual y en este sentido se les aconsejará en forma apropiada. Muchas familias no tienen la voluntad de comunicar a terceros el diagnóstico porque puede generar aislamiento social.</w:t>
      </w:r>
    </w:p>
    <w:p w14:paraId="2DF6C3BB" w14:textId="77777777" w:rsidR="00093A32" w:rsidRDefault="00093A32">
      <w:pPr>
        <w:pStyle w:val="BodyText"/>
        <w:spacing w:line="276" w:lineRule="auto"/>
        <w:ind w:firstLine="360"/>
      </w:pPr>
      <w:r>
        <w:rPr>
          <w:rFonts w:ascii="Arial" w:eastAsia="Arial" w:hAnsi="Arial" w:cs="Arial"/>
          <w:b/>
          <w:bCs/>
          <w:i/>
          <w:iCs/>
          <w:sz w:val="15"/>
          <w:szCs w:val="15"/>
        </w:rPr>
        <w:t>Abuso sexual.</w:t>
      </w:r>
      <w:r>
        <w:t xml:space="preserve"> Después de situaciones como la mencionada, habrá que practicar pruebas serológicas en el niño a la mayor brevedad posible y de manera periódica durante seis meses (a las cuatro a seis semanas, 12 semanas y seis meses después del contacto sexual) (véase “Enfermedades de transmisión sexual”, sección 2). Se intentará la valoración serológica del agresor en busca de VIH, aunque tal medida no siempre se logra en una fecha muy cercana al abuso y a menudo es imposible hasta que ya se ha llegado a una acusación legal. Es importante brindar asesoría al niño y a sus parientes (véase “Enfermedades de transmisión sexual”, sección 2).</w:t>
      </w:r>
    </w:p>
    <w:p w14:paraId="6EBFB0B3" w14:textId="77777777" w:rsidR="00093A32" w:rsidRDefault="00093A32">
      <w:pPr>
        <w:pStyle w:val="BodyText"/>
        <w:spacing w:line="276" w:lineRule="auto"/>
        <w:ind w:firstLine="360"/>
      </w:pPr>
      <w:r>
        <w:rPr>
          <w:rFonts w:ascii="Arial" w:eastAsia="Arial" w:hAnsi="Arial" w:cs="Arial"/>
          <w:b/>
          <w:bCs/>
          <w:i/>
          <w:iCs/>
          <w:sz w:val="15"/>
          <w:szCs w:val="15"/>
        </w:rPr>
        <w:t>Profilaxia después de posible exposición sexual a VIH u otra no ocupacional.</w:t>
      </w:r>
      <w:r>
        <w:t xml:space="preserve"> Las decisiones para administrar antirretrovíricos a personas después de posible exposición no ocupacional al virus deben incluir una valoración de los posibles beneficios y riesgos. Entre las consideraciones por evaluar en el uso de antirretrovíricos profilácticos en tales situaciones están la posibilidad de que el “punto de origen” esté infectado por VIH, la posibilidad de transmisión por una exposición particular, el intervalo entre la exposición y el comienzo del tratamiento, la eficacia de los fármacos usados y el cumplimiento de las órdenes de farmacoterapia por parte del paciente.</w:t>
      </w:r>
    </w:p>
    <w:p w14:paraId="4AEAC614" w14:textId="77777777" w:rsidR="00093A32" w:rsidRDefault="00093A32">
      <w:pPr>
        <w:pStyle w:val="BodyText"/>
        <w:ind w:firstLine="360"/>
      </w:pPr>
      <w:r>
        <w:t xml:space="preserve">El peligro calculado de transmisión por cada episodio de exposición percutánea (pinchazo de aguja en la exposición no ocupacional) a sangre infectada por VIH es de 0.49% (límite superior del intervalo de confianza de 95% </w:t>
      </w:r>
      <w:r>
        <w:rPr>
          <w:i/>
          <w:iCs/>
        </w:rPr>
        <w:t>[</w:t>
      </w:r>
      <w:r>
        <w:rPr>
          <w:rFonts w:ascii="Times New Roman" w:eastAsia="Times New Roman" w:hAnsi="Times New Roman" w:cs="Times New Roman"/>
          <w:i/>
          <w:iCs/>
          <w:sz w:val="16"/>
          <w:szCs w:val="16"/>
        </w:rPr>
        <w:t>confidence interval</w:t>
      </w:r>
      <w:r>
        <w:rPr>
          <w:i/>
          <w:iCs/>
        </w:rPr>
        <w:t xml:space="preserve">, </w:t>
      </w:r>
      <w:r>
        <w:t>CI] = 0.8%). El peligro estimado de transmisión de VIH por episodio de exposición sexual con un caso de penetración anal con el pene es de 0.1 a 3%; el peligro calculado por episodio después de exposición vaginal receptiva, es de 0.1 a 0.2%. Se desconocen los riesgos reales que imponen el pinchazo de aguja o el abuso sexual a un lactante o a un niño. Sin embargo, hasta la fecha no se ha sabido de contagio de VIH por pinchazo accidental con aguja en situaciones no ocupacionales.</w:t>
      </w:r>
    </w:p>
    <w:p w14:paraId="2BBDBB44" w14:textId="77777777" w:rsidR="00093A32" w:rsidRDefault="00093A32">
      <w:pPr>
        <w:pStyle w:val="BodyText"/>
        <w:ind w:firstLine="360"/>
      </w:pPr>
      <w:r>
        <w:t>En 1995, se utilizaron datos de vigilancia de personal asistencial en un estudio de casos-testigos, que sugirieron que el uso de zidovudina se acompaña de una disminución de 81% (CI de 95 = 48-94%) en el peligro de infección por VIH después de exposición percutánea a sangre infectada por el virus. La cifra anterior quizá estime en demasía los beneficios, por limitaciones metodológicas.</w:t>
      </w:r>
    </w:p>
    <w:p w14:paraId="28C5FCEA" w14:textId="77777777" w:rsidR="00093A32" w:rsidRDefault="00093A32">
      <w:pPr>
        <w:pStyle w:val="BodyText"/>
        <w:ind w:firstLine="360"/>
      </w:pPr>
      <w:r>
        <w:t>Todos los agentes antirretrovíricos ocasionan efectos adversos. Se sabe que 24 a 36% de los adultos dejan de consumir los fármacos en la combinación, al aparecer tales efectos. Se ha notificado entre los efectos graves, nefrolitiasis, nefrotoxicidad, pancreatitis, pancitopenia o hepatotoxicidad.</w:t>
      </w:r>
    </w:p>
    <w:p w14:paraId="4E847559" w14:textId="77777777" w:rsidR="00093A32" w:rsidRDefault="00093A32">
      <w:pPr>
        <w:pStyle w:val="BodyText"/>
        <w:ind w:firstLine="360"/>
      </w:pPr>
      <w:r>
        <w:t>Es mejor no utilizar, en términos generales, los antirretrovíricos si es poco el peligro de contagio (como sería el pinchazo de aguja de origen no ocupacional desconocido) o si la persona solicita atención después de que han transcurrido más de 72 h de la exposición notificada.</w:t>
      </w:r>
      <w:r>
        <w:footnoteReference w:id="49"/>
      </w:r>
      <w:r>
        <w:t xml:space="preserve"> El médico y el paciente o sus padres deben decidir si es grande el peligro de infección, si se necesita intervención rápida y si hay posibilidades de que se cumplan las órdenes médicas. Es esencial la consulta con un pediatra experto en atención de niños con virus de inmunodeficiencia humana.</w:t>
      </w:r>
    </w:p>
    <w:p w14:paraId="4A96B717" w14:textId="77777777" w:rsidR="00093A32" w:rsidRDefault="00093A32">
      <w:pPr>
        <w:pStyle w:val="BodyText"/>
        <w:spacing w:line="276" w:lineRule="auto"/>
        <w:ind w:firstLine="360"/>
      </w:pPr>
      <w:r>
        <w:rPr>
          <w:rFonts w:ascii="Arial" w:eastAsia="Arial" w:hAnsi="Arial" w:cs="Arial"/>
          <w:b/>
          <w:bCs/>
          <w:i/>
          <w:iCs/>
          <w:sz w:val="15"/>
          <w:szCs w:val="15"/>
        </w:rPr>
        <w:t>Sangre, hemoderivados y factores de coagulación.</w:t>
      </w:r>
      <w:r>
        <w:t xml:space="preserve"> La detección de anticuerpos contra VIH en sangre y plasma ha disminuido impresionantemente el peligro de infección (véase “Aspectos de seguridad en el uso de sangre y hemoderivados: disminución del riesgo de infecciones transmitidas en transfusiones”, sección 2). Sin embargo, es importante el escrutinio minucioso de las necesidades de sangre, hemoderivados o factores de coagulación, por parte del paciente.</w:t>
      </w:r>
    </w:p>
    <w:p w14:paraId="12FACC71" w14:textId="77777777" w:rsidR="00093A32" w:rsidRDefault="00093A32">
      <w:pPr>
        <w:pStyle w:val="BodyText"/>
        <w:spacing w:line="276" w:lineRule="auto"/>
        <w:ind w:firstLine="360"/>
        <w:sectPr w:rsidR="00093A32" w:rsidSect="00093A32">
          <w:headerReference w:type="even" r:id="rId445"/>
          <w:headerReference w:type="default" r:id="rId446"/>
          <w:footerReference w:type="even" r:id="rId447"/>
          <w:footerReference w:type="default" r:id="rId448"/>
          <w:footnotePr>
            <w:numFmt w:val="chicago"/>
          </w:footnotePr>
          <w:pgSz w:w="8501" w:h="13022"/>
          <w:pgMar w:top="710" w:right="796" w:bottom="428" w:left="783" w:header="0" w:footer="3" w:gutter="0"/>
          <w:pgNumType w:start="429"/>
          <w:cols w:space="720"/>
          <w:noEndnote/>
          <w:docGrid w:linePitch="360"/>
          <w15:footnoteColumns w:val="1"/>
        </w:sectPr>
      </w:pPr>
      <w:r>
        <w:rPr>
          <w:rFonts w:ascii="Arial" w:eastAsia="Arial" w:hAnsi="Arial" w:cs="Arial"/>
          <w:b/>
          <w:bCs/>
          <w:i/>
          <w:iCs/>
          <w:sz w:val="15"/>
          <w:szCs w:val="15"/>
        </w:rPr>
        <w:t>Personal asistencial expuesto al virus de inmunodeficiencia humana.</w:t>
      </w:r>
      <w:r>
        <w:t xml:space="preserve"> La exposición accidental del personal mencionado, al virus de inmunodeficiencia humana, como sería después de lesiones por pinchazo de aguja o sangre infectada por el virus, rara vez ha originado infección por él. El peligro de infección varía con la gravedad y el tipo de exposición. El riesgo de infección después de exposición percutánea a sangre infectada con VIH es de 0.3%. El riesgo después de contacto de las mucosas y la piel expuestas a la sangre infectada son de 0.1% y menos de 0.1%, respectivamente. Muchos de los casos identificados pudieron haber sido evitados por el cumplimiento cuidadoso de las medidas de erradicación de la infección (véase antes en este resumen “Medidas de erradicación”). La persona que atiende pacientes y que ha estado expuesta en zonas percutáneas o de mucosas a sangre o secreciones sanguinolentas de un paciente seropositivo debe recibir orientación y ser valorado médicamente a la brevedad posible después de tal incidente. Habrá que practicar una primera prueba en busca de anticuerpos contra VIH y también investigar el estado serológico de la persona de la que provino la sangre. El trabajador asistencial seronegativo debe ser sometido de nuevo a pruebas serológicas cuatro a seis semanas, 12 semanas y seis meses después de la exposición para saber si ha ocurrido el contagio. Muchas de las personas expuestas que terminaron por ser infectadas mostrarán seroconversión en los primeros tres meses después de la exposición.</w:t>
      </w:r>
    </w:p>
    <w:p w14:paraId="3A81D1C9" w14:textId="77777777" w:rsidR="00093A32" w:rsidRDefault="00093A32">
      <w:pPr>
        <w:pStyle w:val="BodyText"/>
        <w:ind w:firstLine="360"/>
      </w:pPr>
      <w:r>
        <w:t>En Estados Unidos en el año 2001,</w:t>
      </w:r>
      <w:r>
        <w:footnoteReference w:id="50"/>
      </w:r>
      <w:r>
        <w:t xml:space="preserve"> el </w:t>
      </w:r>
      <w:r>
        <w:rPr>
          <w:rFonts w:ascii="Times New Roman" w:eastAsia="Times New Roman" w:hAnsi="Times New Roman" w:cs="Times New Roman"/>
          <w:i/>
          <w:iCs/>
          <w:sz w:val="16"/>
          <w:szCs w:val="16"/>
        </w:rPr>
        <w:t>Public Health Service</w:t>
      </w:r>
      <w:r>
        <w:t xml:space="preserve"> distribuyó recomendaciones revisadas para profilaxia después de exposiciones; entre ellas estaba un régimen básico de cuatro semanas, con uso de dos fármacos (zidovudina y lamivudina; estavudina y lamivudina, o estavudina y didanosina) en casi todos los casos de exposición al virus, y un régimen ampliado que agregaba un tercer antirretrovírico en situaciones de exposición al virus que conlleva un mayor peligro de contagio. Si se había identificado el virus de la persona que fue punto de origen del contacto, o se sospechaba que era resistente a uno o más de los fármacos incluidos para la profilaxia, se recomendaba escoger fármacos en que hubiera poca posibilidad de resistencia del virus de la persona de “origen”. Los clínicos también recibirán auxilio y orientación si se comunican al </w:t>
      </w:r>
      <w:r>
        <w:rPr>
          <w:rFonts w:ascii="Times New Roman" w:eastAsia="Times New Roman" w:hAnsi="Times New Roman" w:cs="Times New Roman"/>
          <w:i/>
          <w:iCs/>
          <w:sz w:val="16"/>
          <w:szCs w:val="16"/>
        </w:rPr>
        <w:t>National HIV/AIDS Clinicians’ Consulting Center</w:t>
      </w:r>
      <w:r>
        <w:rPr>
          <w:i/>
          <w:iCs/>
        </w:rPr>
        <w:t>,</w:t>
      </w:r>
      <w:r>
        <w:t xml:space="preserve"> 888-448-4911.</w:t>
      </w:r>
    </w:p>
    <w:p w14:paraId="2159D17B" w14:textId="77777777" w:rsidR="00093A32" w:rsidRDefault="00093A32">
      <w:pPr>
        <w:pStyle w:val="BodyText"/>
        <w:spacing w:after="100"/>
        <w:ind w:firstLine="360"/>
      </w:pPr>
      <w:r>
        <w:rPr>
          <w:rFonts w:ascii="Arial" w:eastAsia="Arial" w:hAnsi="Arial" w:cs="Arial"/>
          <w:b/>
          <w:bCs/>
          <w:i/>
          <w:iCs/>
          <w:sz w:val="15"/>
          <w:szCs w:val="15"/>
        </w:rPr>
        <w:t>Notificación de casos.</w:t>
      </w:r>
      <w:r>
        <w:t xml:space="preserve"> Es necesario notificar al departamento sanitario indicado de todos los estados, los casos que cumplen con los criterios establecidos para SIDA (véanse cuadros 3-32 y 3-33). En muchos estados también habrá que notificar la infección por VIH con la exposición perinatal a dicho virus. La AAP recomienda la notificación sistemática de exposiciones perinatales al virus, infección y presencia del síndrome de inmunodeficiencia adquirida.</w:t>
      </w:r>
    </w:p>
    <w:p w14:paraId="0DC61DC6" w14:textId="77777777" w:rsidR="00093A32" w:rsidRDefault="00093A32">
      <w:pPr>
        <w:pStyle w:val="BodyText"/>
        <w:spacing w:line="257" w:lineRule="auto"/>
        <w:ind w:firstLine="0"/>
      </w:pPr>
      <w:r>
        <w:rPr>
          <w:rFonts w:ascii="Arial" w:eastAsia="Arial" w:hAnsi="Arial" w:cs="Arial"/>
          <w:b/>
          <w:bCs/>
          <w:w w:val="70"/>
          <w:sz w:val="32"/>
          <w:szCs w:val="32"/>
        </w:rPr>
        <w:t xml:space="preserve">Humano, virus herpético 6 (incluido el de roséola) y 7 </w:t>
      </w:r>
      <w:r>
        <w:rPr>
          <w:b/>
          <w:bCs/>
        </w:rPr>
        <w:t>M</w:t>
      </w:r>
      <w:r>
        <w:rPr>
          <w:b/>
          <w:bCs/>
          <w:sz w:val="13"/>
          <w:szCs w:val="13"/>
        </w:rPr>
        <w:t>ANIFESTACIONES CLÍNICAS</w:t>
      </w:r>
      <w:r>
        <w:rPr>
          <w:b/>
          <w:bCs/>
        </w:rPr>
        <w:t xml:space="preserve">: </w:t>
      </w:r>
      <w:r>
        <w:t>Entre las manifestaciones clínicas de infección primaria por el virus herpético humano (human herpesvirus, HHV)-6 están roséola (exantema súbito, sexta enfermedad) en alrededor de 20% de niños infectados, un cuadro febril indiferenciado sin erupciones ni signos de localización y otras enfermedades febriles agudas a menudo acompañadas de linfadenopatía cervical y retrooccipital, signos de vías gastrointestinales o respiratorias e inflamación de la membrana timpánica. De manera característica, la fiebre es alta (&gt;39.5°C) y persiste tres a siete días. En la roséola, después de la fiebre surgen maculopápulas eritematosas que duran horas a días. En el periodo febril, en 10 a 15% de las infecciones primarias surgen convulsiones. A veces se observa prominencia de la fontanela anterior y encefalopatía. El virus persiste y puede reactivarse. Las circunstancias clínicas y las manifestaciones de reactivación en personas sanas no han sido claras. La enfermedad que surge con la reactivación principalmente en hospedadores inmunosuprimidos, se ha descrito acompañada de manifestaciones como fiebre, hepatitis, supresión de médula ósea, neumonía y encefalitis.</w:t>
      </w:r>
    </w:p>
    <w:p w14:paraId="0470F05A" w14:textId="77777777" w:rsidR="00093A32" w:rsidRDefault="00093A32">
      <w:pPr>
        <w:pStyle w:val="BodyText"/>
        <w:ind w:firstLine="360"/>
      </w:pPr>
      <w:r>
        <w:t>Está en marcha la identificación de las manifestaciones clínicas variadas de la infección por HHV-7. Muchas de las infecciones primarias por dicho virus (tal vez todas) pueden ser asintomáticas o leves; el cuadro inicial en algunas es la roséola típica y pudieran explicar los casos recurrentes o “de segunda vez” de la roséola. Se ha informado de casos de enfermedades febriles acompañadas de convulsiones. Algunos investigadores sugieren que el vínculo de HHV-7 con tales manifestaciones clínicas es consecuencia de la capacidad del virus de reactivar HHV-6 de su estado de latencia.</w:t>
      </w:r>
    </w:p>
    <w:p w14:paraId="7BC161BE" w14:textId="77777777" w:rsidR="00093A32" w:rsidRDefault="00093A32">
      <w:pPr>
        <w:pStyle w:val="BodyText"/>
        <w:spacing w:after="40"/>
        <w:ind w:firstLine="0"/>
        <w:sectPr w:rsidR="00093A32" w:rsidSect="00093A32">
          <w:headerReference w:type="even" r:id="rId449"/>
          <w:headerReference w:type="default" r:id="rId450"/>
          <w:footerReference w:type="even" r:id="rId451"/>
          <w:footerReference w:type="default" r:id="rId452"/>
          <w:footnotePr>
            <w:numFmt w:val="chicago"/>
          </w:footnotePr>
          <w:type w:val="continuous"/>
          <w:pgSz w:w="8501" w:h="13022"/>
          <w:pgMar w:top="710" w:right="796" w:bottom="428" w:left="783" w:header="0" w:footer="0" w:gutter="0"/>
          <w:cols w:space="720"/>
          <w:noEndnote/>
          <w:docGrid w:linePitch="360"/>
          <w15:footnoteColumns w:val="1"/>
        </w:sectPr>
      </w:pPr>
      <w:r>
        <w:rPr>
          <w:b/>
          <w:bCs/>
        </w:rPr>
        <w:t>C</w:t>
      </w:r>
      <w:r>
        <w:rPr>
          <w:b/>
          <w:bCs/>
          <w:sz w:val="13"/>
          <w:szCs w:val="13"/>
        </w:rPr>
        <w:t>AUSAS</w:t>
      </w:r>
      <w:r>
        <w:rPr>
          <w:b/>
          <w:bCs/>
        </w:rPr>
        <w:t xml:space="preserve">: </w:t>
      </w:r>
      <w:r>
        <w:t>Los virus herpéticos humanos 6 y 7 son miembros muy similares de la familia Herpesviridae. Las cepas de HHV-6 pertenecen a uno de dos grandes grupos que son las variantes A y B. Casi todas las infecciones primarias en niños son causadas por cepas B variantes.</w:t>
      </w:r>
    </w:p>
    <w:p w14:paraId="44CFA6F1" w14:textId="77777777" w:rsidR="00093A32" w:rsidRDefault="00093A32">
      <w:pPr>
        <w:pStyle w:val="BodyText"/>
        <w:ind w:firstLine="0"/>
      </w:pPr>
      <w:r>
        <w:t xml:space="preserve">virus en cuestión en sujetos con infección por el virus de inmunodeficiencia humana (VIH) o sin ella, con linfomas primarios y derrame en la cavidad abdominal; con el síndrome linfoproliferativo (aunque con menor frecuencia que el virus de Epstein-Barr </w:t>
      </w:r>
      <w:r>
        <w:rPr>
          <w:i/>
          <w:iCs/>
        </w:rPr>
        <w:t>[</w:t>
      </w:r>
      <w:r>
        <w:rPr>
          <w:rFonts w:ascii="Times New Roman" w:eastAsia="Times New Roman" w:hAnsi="Times New Roman" w:cs="Times New Roman"/>
          <w:i/>
          <w:iCs/>
          <w:sz w:val="16"/>
          <w:szCs w:val="16"/>
        </w:rPr>
        <w:t>Epstein-Barr virus</w:t>
      </w:r>
      <w:r>
        <w:rPr>
          <w:i/>
          <w:iCs/>
        </w:rPr>
        <w:t>,</w:t>
      </w:r>
      <w:r>
        <w:t xml:space="preserve"> EBV]) y con la enfermedad multicéntrica de Castleman. Son escasas las pruebas de infección por HHV-8 en niños, y no se han detectado “vínculos” o asociaciones clínicas.</w:t>
      </w:r>
    </w:p>
    <w:p w14:paraId="6D443B32" w14:textId="77777777" w:rsidR="00093A32" w:rsidRDefault="00093A32">
      <w:pPr>
        <w:pStyle w:val="BodyText"/>
        <w:ind w:firstLine="0"/>
      </w:pPr>
      <w:r>
        <w:rPr>
          <w:b/>
          <w:bCs/>
        </w:rPr>
        <w:t>C</w:t>
      </w:r>
      <w:r>
        <w:rPr>
          <w:b/>
          <w:bCs/>
          <w:sz w:val="13"/>
          <w:szCs w:val="13"/>
        </w:rPr>
        <w:t>AUSAS</w:t>
      </w:r>
      <w:r>
        <w:rPr>
          <w:b/>
          <w:bCs/>
        </w:rPr>
        <w:t xml:space="preserve">: </w:t>
      </w:r>
      <w:r>
        <w:t>El virus herpético humano 8 es miembro de la familia Herpesviridae, que es la subfamilia gammaherpesvirus muy similar al herpesvirus saimiri de monos y al virus de Epstein-Barr.</w:t>
      </w:r>
    </w:p>
    <w:p w14:paraId="6D9FF096" w14:textId="77777777" w:rsidR="00093A32" w:rsidRDefault="00093A32">
      <w:pPr>
        <w:pStyle w:val="BodyText"/>
        <w:ind w:firstLine="0"/>
      </w:pPr>
      <w:r>
        <w:rPr>
          <w:b/>
          <w:bCs/>
        </w:rPr>
        <w:t>A</w:t>
      </w:r>
      <w:r>
        <w:rPr>
          <w:b/>
          <w:bCs/>
          <w:sz w:val="13"/>
          <w:szCs w:val="13"/>
        </w:rPr>
        <w:t>SPECTOS EPIDEMIOLÓGICOS</w:t>
      </w:r>
      <w:r>
        <w:rPr>
          <w:b/>
          <w:bCs/>
        </w:rPr>
        <w:t xml:space="preserve">: </w:t>
      </w:r>
      <w:r>
        <w:t>Son pocos los conocimientos sobre los aspectos epidemiológicos y la transmisión del virus en cuestión. Sin embargo, se ha dicho que permanece latente en los leucocitos mononucleares en la sangre periférica y en el tejido linfoide de personas inmunodeficientes y algunos sujetos sanos, lo que sugiere que podría transmitirse por medio de la sangre o de secreciones. En Estados Unidos, en individuos con VIH, la infección por HHV-8 al parecer no surge sino después de la adolescencia.</w:t>
      </w:r>
    </w:p>
    <w:p w14:paraId="2BDD9B69" w14:textId="77777777" w:rsidR="00093A32" w:rsidRDefault="00093A32">
      <w:pPr>
        <w:pStyle w:val="BodyText"/>
        <w:ind w:firstLine="360"/>
      </w:pPr>
      <w:r>
        <w:t xml:space="preserve">Se desconoce el </w:t>
      </w:r>
      <w:r>
        <w:rPr>
          <w:b/>
          <w:bCs/>
        </w:rPr>
        <w:t xml:space="preserve">periodo de incubación </w:t>
      </w:r>
      <w:r>
        <w:t>del virus herpético humano 8.</w:t>
      </w:r>
    </w:p>
    <w:p w14:paraId="6F9FDACA" w14:textId="77777777" w:rsidR="00093A32" w:rsidRDefault="00093A32">
      <w:pPr>
        <w:pStyle w:val="BodyText"/>
        <w:ind w:firstLine="0"/>
      </w:pPr>
      <w:r>
        <w:rPr>
          <w:b/>
          <w:bCs/>
        </w:rPr>
        <w:t>M</w:t>
      </w:r>
      <w:r>
        <w:rPr>
          <w:b/>
          <w:bCs/>
          <w:sz w:val="13"/>
          <w:szCs w:val="13"/>
        </w:rPr>
        <w:t>ÉTODOS DIAGNÓSTICOS</w:t>
      </w:r>
      <w:r>
        <w:rPr>
          <w:b/>
          <w:bCs/>
        </w:rPr>
        <w:t xml:space="preserve">: </w:t>
      </w:r>
      <w:r>
        <w:t>Los estudios diagnósticos para detectar las infecciones por el virus se circunscriben a laboratorios de investigación; existe el problema de hacer una diferenciación fiable de la infección primaria y de la latente.</w:t>
      </w:r>
    </w:p>
    <w:p w14:paraId="62997ACE" w14:textId="77777777" w:rsidR="00093A32" w:rsidRDefault="00093A32">
      <w:pPr>
        <w:pStyle w:val="BodyText"/>
        <w:ind w:firstLine="0"/>
      </w:pPr>
      <w:r>
        <w:rPr>
          <w:b/>
          <w:bCs/>
        </w:rPr>
        <w:t>T</w:t>
      </w:r>
      <w:r>
        <w:rPr>
          <w:b/>
          <w:bCs/>
          <w:sz w:val="13"/>
          <w:szCs w:val="13"/>
        </w:rPr>
        <w:t>RATAMIENTO</w:t>
      </w:r>
      <w:r>
        <w:rPr>
          <w:b/>
          <w:bCs/>
        </w:rPr>
        <w:t xml:space="preserve">: </w:t>
      </w:r>
      <w:r>
        <w:t>No se cuenta con ningún tratamiento efectivo.</w:t>
      </w:r>
    </w:p>
    <w:p w14:paraId="350921C1"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3A60B8B0" w14:textId="77777777" w:rsidR="00093A32" w:rsidRDefault="00093A32">
      <w:pPr>
        <w:pStyle w:val="Other0"/>
        <w:spacing w:after="120" w:line="240" w:lineRule="auto"/>
        <w:ind w:firstLine="0"/>
      </w:pPr>
      <w:r>
        <w:rPr>
          <w:b/>
          <w:bCs/>
        </w:rPr>
        <w:t>M</w:t>
      </w:r>
      <w:r>
        <w:rPr>
          <w:b/>
          <w:bCs/>
          <w:sz w:val="13"/>
          <w:szCs w:val="13"/>
        </w:rPr>
        <w:t>EDIDAS PREVENTIVAS</w:t>
      </w:r>
      <w:r>
        <w:rPr>
          <w:b/>
          <w:bCs/>
        </w:rPr>
        <w:t xml:space="preserve">: </w:t>
      </w:r>
      <w:r>
        <w:t>Ninguna.</w:t>
      </w:r>
    </w:p>
    <w:p w14:paraId="2B9A0E08" w14:textId="77777777" w:rsidR="00093A32" w:rsidRDefault="00093A32">
      <w:pPr>
        <w:pStyle w:val="Bodytext70"/>
        <w:spacing w:after="220"/>
      </w:pPr>
      <w:r>
        <w:t>Influenza</w:t>
      </w:r>
    </w:p>
    <w:p w14:paraId="5019176E" w14:textId="77777777" w:rsidR="00093A32" w:rsidRDefault="00093A32">
      <w:pPr>
        <w:pStyle w:val="BodyText"/>
        <w:ind w:firstLine="0"/>
      </w:pPr>
      <w:r>
        <w:rPr>
          <w:b/>
          <w:bCs/>
        </w:rPr>
        <w:t>M</w:t>
      </w:r>
      <w:r>
        <w:rPr>
          <w:b/>
          <w:bCs/>
          <w:sz w:val="13"/>
          <w:szCs w:val="13"/>
        </w:rPr>
        <w:t>ANIFESTACIONES CLÍNICAS</w:t>
      </w:r>
      <w:r>
        <w:rPr>
          <w:b/>
          <w:bCs/>
        </w:rPr>
        <w:t xml:space="preserve">: </w:t>
      </w:r>
      <w:r>
        <w:t>De manera clásica la influenza se caracteriza por fiebre de comienzo repentino a menudo con escalofríos o contracciones musculares, cefaleas, malestar general, mialgias difusas y tos no productiva. Más adelante, los signos de vías respiratorias como faringitis, congestión nasal, rinitis y tos, se tornan intensos. Se observan a veces hiperemia de conjuntivas, dolor abdominal, náuseas y vómito. En algunos niños la influenza se manifiesta en la forma de infección de vías respiratorias altas o un cuadro febril con pocos signos de vías respiratorias. En lactantes de corta edad la influenza puede producir un cuadro similar a sepsis, y a veces causa laringotraqueítis (crup), bronquiolitis o pulmonía. La miositis aguda, caracterizada por adolorimiento de las pantorrillas y rechazo de la ambulación, surge a veces después de varios días del cuadro de influenza, particularmente en la infección por tipo B. El síndrome de Reye se ha vinculado con infección por influenza, más bien la de tipo B. La enfermedad puede alterar el metabolismo de algunos medicamentos, en particular la teofilina, y a veces ocasiona la aparición de efectos tóxicos por concentraciones séricas altas.</w:t>
      </w:r>
    </w:p>
    <w:p w14:paraId="6DA4BE96" w14:textId="77777777" w:rsidR="00093A32" w:rsidRDefault="00093A32">
      <w:pPr>
        <w:pStyle w:val="BodyText"/>
        <w:ind w:firstLine="0"/>
      </w:pPr>
      <w:r>
        <w:rPr>
          <w:b/>
          <w:bCs/>
        </w:rPr>
        <w:t>C</w:t>
      </w:r>
      <w:r>
        <w:rPr>
          <w:b/>
          <w:bCs/>
          <w:sz w:val="13"/>
          <w:szCs w:val="13"/>
        </w:rPr>
        <w:t>AUSAS</w:t>
      </w:r>
      <w:r>
        <w:rPr>
          <w:b/>
          <w:bCs/>
        </w:rPr>
        <w:t xml:space="preserve">: </w:t>
      </w:r>
      <w:r>
        <w:t xml:space="preserve">Los virus de influenza son ortomixovirus de tres tipos antigénicos (A, B y C). El cuadro epidémico es causado por los tipos A y B. Los virus de tipo A se subclasifican con base en dos antígenos de superficie que son hemaglutinina (HA) y neuraminidasa (NA). Se ha sabido que los virus que poseen tres subtipos de hemaglutinina (H1, H2 y H3) inmunológicamente diferentes y dos subtipos de neuraminidasa (N1 y N2) originan epidemias globales en seres humanos. Entre los determinantes importantes de inmunidad están los anticuerpos específicos contra varios de los antígenos comentados, en particular la hemaglutinina. Se denomina </w:t>
      </w:r>
      <w:r>
        <w:rPr>
          <w:rFonts w:ascii="Times New Roman" w:eastAsia="Times New Roman" w:hAnsi="Times New Roman" w:cs="Times New Roman"/>
          <w:i/>
          <w:iCs/>
          <w:sz w:val="16"/>
          <w:szCs w:val="16"/>
        </w:rPr>
        <w:t>variaciones antigénicas mayores</w:t>
      </w:r>
      <w:r>
        <w:t xml:space="preserve"> a los cambios importantes que culminan en la aparición de una nueva hemaglutinina, como H1 o H2, o de una hemaglutinina o una neuraminidasa nuevas; las </w:t>
      </w:r>
      <w:r>
        <w:rPr>
          <w:rFonts w:ascii="Times New Roman" w:eastAsia="Times New Roman" w:hAnsi="Times New Roman" w:cs="Times New Roman"/>
          <w:i/>
          <w:iCs/>
          <w:sz w:val="16"/>
          <w:szCs w:val="16"/>
        </w:rPr>
        <w:t>variaciones antigénicas menores</w:t>
      </w:r>
      <w:r>
        <w:t xml:space="preserve"> dentro de los mismos subtipos han recibido el nombre de “desplazamientos” antigénicos. Las variaciones mayores se han observado sólo en el virus de influenza A, pero a intervalos irregulares de 10 años o más. Las variaciones menores acaecen continuamente y ocasionan virus variantes de influenza A y B. Los virus de influenza B cambian con mayor lentitud y no se dividen en subtipos. </w:t>
      </w:r>
      <w:r>
        <w:rPr>
          <w:b/>
          <w:bCs/>
        </w:rPr>
        <w:t>A</w:t>
      </w:r>
      <w:r>
        <w:rPr>
          <w:b/>
          <w:bCs/>
          <w:sz w:val="13"/>
          <w:szCs w:val="13"/>
        </w:rPr>
        <w:t>SPECTOS EPIDEMIOLÓGICOS</w:t>
      </w:r>
      <w:r>
        <w:rPr>
          <w:b/>
          <w:bCs/>
        </w:rPr>
        <w:t xml:space="preserve">: </w:t>
      </w:r>
      <w:r>
        <w:t>La influenza se disemina de una persona a otra por medio de gotículas o contacto directo con artículos recién contaminados por secreciones nasofaríngeas. Durante brotes de influenza en las comunidades, los índices más altos de ataques se observan en niños escolares. Es frecuente que haya contagio secundario a adultos y otros niños del núcleo familiar. Las tasas de ataques dependen en parte de la inmunidad que ha surgido anteriormente (por enfermedad natural o vacunación), con la cepa circulante u otra similar. Las variaciones menores antigénicas de la cepa circulante guardan relación con epidemias estacionales, en tanto que las variaciones mayores desencadenan pandemias. En climas templados, las epidemias estacionales aparecen más bien en los meses de invierno. Los brotes en la comunidad pueden alcanzar su máximo en término de dos semanas del comienzo y durar cuatro a ocho semanas o más. La circulación de dos o tres cepas de virus de influenza en una comunidad puede originar una estación duradera de ataque, de tres meses o más con “picos” bimodales de actividad. La influenza es muy contagiosa, particularmente en poblaciones semicerradas en diversas instituciones. Los pacientes son más infectantes en las primeras 24 h antes de comenzar los síntomas y durante el periodo más sintomático. La dispersión de virus por las secreciones nasales suele cesar en término de siete días del comienzo de la enfermedad, pero puede prolongarse en niños de corta edad y sujetos inmunodeficientes.</w:t>
      </w:r>
    </w:p>
    <w:p w14:paraId="64306259" w14:textId="77777777" w:rsidR="00093A32" w:rsidRDefault="00093A32">
      <w:pPr>
        <w:pStyle w:val="BodyText"/>
        <w:ind w:firstLine="360"/>
      </w:pPr>
      <w:r>
        <w:t>Se ha calculado que los índices de ataque de niños sanos va de 10 a 40% cada año, y que alrededor de 1% de ese total culmina en hospitalización. El riesgo de enfermedad de vías respiratorias bajas como complicación de la influenza en niños, predominantemente neumonía, laringotraqueítis, sibilancias y bronquiolitis, ha variado de 0.2 a 25%. Surgen a veces complicaciones de muy diversa índole, como síndrome de Reye, miositis y ataque del sistema nervioso central (SNC). En años recientes ha disminuido el peligro del síndrome de Reye que afecta predominantemente a escolares, quizá como consecuencia de la disminución del consumo de salicilato. Dado que otros virus de vías respiratorias (como el virus sincitial respiratorio y el virus de parainfluenza) también causan un cuadro intenso en niños de corta edad, es difícil conocer las cifras exactas de morbilidad y mortalidad atribuibles a la influenza, salvo que se busque en todas las infecciones el diagnóstico etiológico específico.</w:t>
      </w:r>
    </w:p>
    <w:p w14:paraId="2F39D2DD" w14:textId="77777777" w:rsidR="00093A32" w:rsidRDefault="00093A32">
      <w:pPr>
        <w:pStyle w:val="BodyText"/>
        <w:ind w:firstLine="360"/>
      </w:pPr>
      <w:r>
        <w:t>Se ha corroborado cifras excesivas de hospitalización atribuibles a infecciones por virus de influenza en niños menores de cinco años, por lo demás sanos. Las cifras de hospitalización y morbilidad atribuibles a complicaciones como bronquitis y neumonía son aún mayores en niños con hemoglobinopatía, displasia broncopulmonar, asma, fibrosis quística, cánceres, diabetes mellitus, nefropatías crónicas y cardiopatías congénitas. La infección en neonatos también se ha vinculado con una cifra importante de morbilidad, que incluye un síndrome similar a sepsis, apnea y ataque de vías respiratorias bajas.</w:t>
      </w:r>
    </w:p>
    <w:p w14:paraId="585B3CA7" w14:textId="77777777" w:rsidR="00093A32" w:rsidRDefault="00093A32">
      <w:pPr>
        <w:pStyle w:val="BodyText"/>
        <w:ind w:firstLine="360"/>
      </w:pPr>
      <w:r>
        <w:rPr>
          <w:rFonts w:ascii="Arial" w:eastAsia="Arial" w:hAnsi="Arial" w:cs="Arial"/>
          <w:b/>
          <w:bCs/>
          <w:i/>
          <w:iCs/>
          <w:sz w:val="15"/>
          <w:szCs w:val="15"/>
        </w:rPr>
        <w:t>Pandemias.</w:t>
      </w:r>
      <w:r>
        <w:t xml:space="preserve"> Cuando surge un nuevo subtipo del virus de influenza A y se propaga ampliamente, ocurren pandemias globales que ocasionan cifras mayores de morbilidad y mortalidad. En el siglo XX hubo tres pandemias de influenza, que incluyeron la de 1918 en que murieron más de 20 millones de personas a nivel mundial, y de ellas, 500 000 fueron estadounidenses, muchos adultos jóvenes. Las cifras de mortalidad en las pandemias de 1957 y 1968 fueron menores, en parte por el uso de antimicrobianos contra infecciones bacterianas secundarias y por medidas más intensivas de sostén. La experiencia indica que las pandemias surgen a intervalos irregulares e impredecibles y tienen la posibilidad de transformarse en verdaderas emergencias sanitarias públicas. Afrontar la siguiente pandemia necesitará el empleo extenso de vacunas y antimicrobianos y la creación de normas de selección para el aprovechamiento de servicios hospitalarios y cuidados intensivos. En Estados Unidos, un grupo federal interorganizacional que incluye miembros de la </w:t>
      </w:r>
      <w:r>
        <w:rPr>
          <w:rFonts w:ascii="Times New Roman" w:eastAsia="Times New Roman" w:hAnsi="Times New Roman" w:cs="Times New Roman"/>
          <w:i/>
          <w:iCs/>
          <w:sz w:val="16"/>
          <w:szCs w:val="16"/>
        </w:rPr>
        <w:t>American Academy of Pediatrics</w:t>
      </w:r>
      <w:r>
        <w:rPr>
          <w:i/>
          <w:iCs/>
        </w:rPr>
        <w:t>,</w:t>
      </w:r>
      <w:r>
        <w:t xml:space="preserve"> prepara un plan para las medidas de salud pública que se adoptarán contra la próxima pandemia.</w:t>
      </w:r>
    </w:p>
    <w:p w14:paraId="3F32C0BD" w14:textId="77777777" w:rsidR="00093A32" w:rsidRDefault="00093A32">
      <w:pPr>
        <w:pStyle w:val="BodyText"/>
        <w:ind w:firstLine="360"/>
      </w:pPr>
      <w:r>
        <w:t xml:space="preserve">El </w:t>
      </w:r>
      <w:r>
        <w:rPr>
          <w:b/>
          <w:bCs/>
        </w:rPr>
        <w:t xml:space="preserve">periodo de incubación </w:t>
      </w:r>
      <w:r>
        <w:t>va de uno a tres días.</w:t>
      </w:r>
    </w:p>
    <w:p w14:paraId="1918E5FC" w14:textId="77777777" w:rsidR="00093A32" w:rsidRDefault="00093A32">
      <w:pPr>
        <w:pStyle w:val="BodyText"/>
        <w:ind w:firstLine="0"/>
      </w:pPr>
      <w:r>
        <w:rPr>
          <w:b/>
          <w:bCs/>
        </w:rPr>
        <w:t>M</w:t>
      </w:r>
      <w:r>
        <w:rPr>
          <w:b/>
          <w:bCs/>
          <w:sz w:val="13"/>
          <w:szCs w:val="13"/>
        </w:rPr>
        <w:t>ÉTODOS DIAGNÓSTICOS</w:t>
      </w:r>
      <w:r>
        <w:rPr>
          <w:b/>
          <w:bCs/>
        </w:rPr>
        <w:t xml:space="preserve">: </w:t>
      </w:r>
      <w:r>
        <w:t>En caso de practicar cultivos de virus o estudios diagnósticos rápidos, habrá que obtener las muestras en las primeras 72 h de la enfermedad porque el número de virus “secretados” o dispersados disminuye rápidamente a partir de ese momento. Es importante colocar en un medio adecuado de transporte para el cultivo, las muestras de secreción nasofaríngea obtenidas por aplicador o aspiración. Después de inoculación en huevos o cultivo celular, por lo común se aísla el virus en término de dos a seis días. En el comienzo se cuenta con métodos de diagnóstico rápido para identificar los antígenos de influenza A y B en secreciones nasofaríngeas, aunque son variables su sensibilidad (45 a 90%) y especificidad (60 a 95%) notificadas en comparación con los cultivos de virus, y difieren con base en el método y el tipo de muestra. El diagnóstico serológico se puede definir en sentido retrospectivo con el incremento cuádruple o mayor del título de anticuerpos en muestras de suero obtenidas en las fases aguda y de convalecencia, tal como se valora por métodos de inhibición de la hemaglutinación, fijación de complemento, neutralización o inmunoanálisis enzimático; sin embargo, las pruebas serológicas rara vez son útiles en el tratamiento de los enfermos.</w:t>
      </w:r>
    </w:p>
    <w:p w14:paraId="6B3BA76C" w14:textId="77777777" w:rsidR="00093A32" w:rsidRDefault="00093A32">
      <w:pPr>
        <w:pStyle w:val="BodyText"/>
        <w:ind w:firstLine="0"/>
      </w:pPr>
      <w:r>
        <w:rPr>
          <w:b/>
          <w:bCs/>
        </w:rPr>
        <w:t>T</w:t>
      </w:r>
      <w:r>
        <w:rPr>
          <w:b/>
          <w:bCs/>
          <w:sz w:val="13"/>
          <w:szCs w:val="13"/>
        </w:rPr>
        <w:t>RATAMIENTO</w:t>
      </w:r>
      <w:r>
        <w:rPr>
          <w:b/>
          <w:bCs/>
        </w:rPr>
        <w:t xml:space="preserve">: </w:t>
      </w:r>
      <w:r>
        <w:t>Se ha aprobado el uso de los clorhidratos de amantadina y rimantadina para tratar la influenza A en adultos, pero en Estados Unidos se ha aprobado únicamente la amantadina para tratar niños (cuadro 3-37). Son escasos los estudios que valoran la eficacia de uno y otro antivíricos en niños, pero indican que el uso de uno y otro fármacos disminuye la gravedad de la infección por influenza A si se administran en término de 48 h de haber comenzado la enfermedad. Ninguno de los dos fármacos es eficaz contra la infección por influenza B. En Estados Unidos se ha aprobado el uso de dos productos de otra clase de antivíricos, los inhibidores de neuraminidasa, para tratar la influenza A y B no complicada en los pacientes, en término de dos días de haber comenzado los síntomas.</w:t>
      </w:r>
      <w:r>
        <w:footnoteReference w:id="51"/>
      </w:r>
      <w:r>
        <w:t xml:space="preserve"> Los fármacos en cuestión actúan al disminuir la liberación de virus desde las células infectadas. Se ha aprobado el uso de zanamivir para</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37"/>
        <w:gridCol w:w="1454"/>
        <w:gridCol w:w="1306"/>
        <w:gridCol w:w="1190"/>
        <w:gridCol w:w="1934"/>
      </w:tblGrid>
      <w:tr w:rsidR="00093A32" w14:paraId="1AFE989D" w14:textId="77777777">
        <w:tblPrEx>
          <w:tblCellMar>
            <w:top w:w="0" w:type="dxa"/>
            <w:bottom w:w="0" w:type="dxa"/>
          </w:tblCellMar>
        </w:tblPrEx>
        <w:trPr>
          <w:trHeight w:hRule="exact" w:val="605"/>
          <w:jc w:val="center"/>
        </w:trPr>
        <w:tc>
          <w:tcPr>
            <w:tcW w:w="6921" w:type="dxa"/>
            <w:gridSpan w:val="5"/>
            <w:tcBorders>
              <w:top w:val="single" w:sz="4" w:space="0" w:color="auto"/>
            </w:tcBorders>
            <w:shd w:val="clear" w:color="auto" w:fill="FFFFFF"/>
            <w:vAlign w:val="bottom"/>
          </w:tcPr>
          <w:p w14:paraId="6A92C0E2" w14:textId="77777777" w:rsidR="00093A32" w:rsidRDefault="00093A32">
            <w:pPr>
              <w:pStyle w:val="Other0"/>
              <w:spacing w:line="240" w:lineRule="auto"/>
              <w:ind w:firstLine="0"/>
              <w:jc w:val="center"/>
              <w:rPr>
                <w:sz w:val="26"/>
                <w:szCs w:val="26"/>
              </w:rPr>
            </w:pPr>
            <w:r>
              <w:rPr>
                <w:rFonts w:ascii="Arial" w:eastAsia="Arial" w:hAnsi="Arial" w:cs="Arial"/>
                <w:w w:val="70"/>
                <w:sz w:val="26"/>
                <w:szCs w:val="26"/>
              </w:rPr>
              <w:t xml:space="preserve">Cuadro 3.37. </w:t>
            </w:r>
            <w:r>
              <w:rPr>
                <w:rFonts w:ascii="Arial" w:eastAsia="Arial" w:hAnsi="Arial" w:cs="Arial"/>
                <w:b/>
                <w:bCs/>
                <w:w w:val="70"/>
                <w:sz w:val="26"/>
                <w:szCs w:val="26"/>
              </w:rPr>
              <w:t>Fármacos antivíricos contra la influenza</w:t>
            </w:r>
          </w:p>
        </w:tc>
      </w:tr>
      <w:tr w:rsidR="00093A32" w14:paraId="0BAFB200" w14:textId="77777777">
        <w:tblPrEx>
          <w:tblCellMar>
            <w:top w:w="0" w:type="dxa"/>
            <w:bottom w:w="0" w:type="dxa"/>
          </w:tblCellMar>
        </w:tblPrEx>
        <w:trPr>
          <w:trHeight w:hRule="exact" w:val="264"/>
          <w:jc w:val="center"/>
        </w:trPr>
        <w:tc>
          <w:tcPr>
            <w:tcW w:w="1037" w:type="dxa"/>
            <w:shd w:val="clear" w:color="auto" w:fill="231F20"/>
          </w:tcPr>
          <w:p w14:paraId="343171D6" w14:textId="77777777" w:rsidR="00093A32" w:rsidRDefault="00093A32">
            <w:pPr>
              <w:rPr>
                <w:sz w:val="10"/>
                <w:szCs w:val="10"/>
              </w:rPr>
            </w:pPr>
          </w:p>
        </w:tc>
        <w:tc>
          <w:tcPr>
            <w:tcW w:w="1454" w:type="dxa"/>
            <w:shd w:val="clear" w:color="auto" w:fill="231F20"/>
          </w:tcPr>
          <w:p w14:paraId="67E8FE6C"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60"/>
              <w:rPr>
                <w:sz w:val="24"/>
                <w:szCs w:val="24"/>
              </w:rPr>
            </w:pPr>
            <w:r>
              <w:rPr>
                <w:rFonts w:ascii="Arial" w:eastAsia="Arial" w:hAnsi="Arial" w:cs="Arial"/>
                <w:b/>
                <w:bCs/>
                <w:color w:val="FFFFFF"/>
                <w:w w:val="70"/>
                <w:sz w:val="24"/>
                <w:szCs w:val="24"/>
              </w:rPr>
              <w:t>Amantadina</w:t>
            </w:r>
          </w:p>
        </w:tc>
        <w:tc>
          <w:tcPr>
            <w:tcW w:w="1306" w:type="dxa"/>
            <w:shd w:val="clear" w:color="auto" w:fill="231F20"/>
          </w:tcPr>
          <w:p w14:paraId="707573B6"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Rimantadina</w:t>
            </w:r>
          </w:p>
        </w:tc>
        <w:tc>
          <w:tcPr>
            <w:tcW w:w="1190" w:type="dxa"/>
            <w:shd w:val="clear" w:color="auto" w:fill="231F20"/>
          </w:tcPr>
          <w:p w14:paraId="64E4FE55"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Zanamivir</w:t>
            </w:r>
          </w:p>
        </w:tc>
        <w:tc>
          <w:tcPr>
            <w:tcW w:w="1934" w:type="dxa"/>
            <w:shd w:val="clear" w:color="auto" w:fill="231F20"/>
          </w:tcPr>
          <w:p w14:paraId="3FFDEE67"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Oseltamivir</w:t>
            </w:r>
          </w:p>
        </w:tc>
      </w:tr>
      <w:tr w:rsidR="00093A32" w14:paraId="790B4690" w14:textId="77777777">
        <w:tblPrEx>
          <w:tblCellMar>
            <w:top w:w="0" w:type="dxa"/>
            <w:bottom w:w="0" w:type="dxa"/>
          </w:tblCellMar>
        </w:tblPrEx>
        <w:trPr>
          <w:trHeight w:hRule="exact" w:val="274"/>
          <w:jc w:val="center"/>
        </w:trPr>
        <w:tc>
          <w:tcPr>
            <w:tcW w:w="1037" w:type="dxa"/>
            <w:shd w:val="clear" w:color="auto" w:fill="FFFFFF"/>
            <w:vAlign w:val="bottom"/>
          </w:tcPr>
          <w:p w14:paraId="6E4C4F8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Virus</w:t>
            </w:r>
          </w:p>
        </w:tc>
        <w:tc>
          <w:tcPr>
            <w:tcW w:w="1454" w:type="dxa"/>
            <w:shd w:val="clear" w:color="auto" w:fill="FFFFFF"/>
            <w:vAlign w:val="bottom"/>
          </w:tcPr>
          <w:p w14:paraId="00943B0D"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A</w:t>
            </w:r>
          </w:p>
        </w:tc>
        <w:tc>
          <w:tcPr>
            <w:tcW w:w="1306" w:type="dxa"/>
            <w:shd w:val="clear" w:color="auto" w:fill="FFFFFF"/>
            <w:vAlign w:val="bottom"/>
          </w:tcPr>
          <w:p w14:paraId="51AA140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w:t>
            </w:r>
          </w:p>
        </w:tc>
        <w:tc>
          <w:tcPr>
            <w:tcW w:w="1190" w:type="dxa"/>
            <w:shd w:val="clear" w:color="auto" w:fill="FFFFFF"/>
            <w:vAlign w:val="bottom"/>
          </w:tcPr>
          <w:p w14:paraId="04CE194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Ay B</w:t>
            </w:r>
          </w:p>
        </w:tc>
        <w:tc>
          <w:tcPr>
            <w:tcW w:w="1934" w:type="dxa"/>
            <w:shd w:val="clear" w:color="auto" w:fill="FFFFFF"/>
            <w:vAlign w:val="bottom"/>
          </w:tcPr>
          <w:p w14:paraId="71AC4621"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Ay B</w:t>
            </w:r>
          </w:p>
        </w:tc>
      </w:tr>
      <w:tr w:rsidR="00093A32" w14:paraId="6B25C3EF" w14:textId="77777777">
        <w:tblPrEx>
          <w:tblCellMar>
            <w:top w:w="0" w:type="dxa"/>
            <w:bottom w:w="0" w:type="dxa"/>
          </w:tblCellMar>
        </w:tblPrEx>
        <w:trPr>
          <w:trHeight w:hRule="exact" w:val="216"/>
          <w:jc w:val="center"/>
        </w:trPr>
        <w:tc>
          <w:tcPr>
            <w:tcW w:w="2491" w:type="dxa"/>
            <w:gridSpan w:val="2"/>
            <w:shd w:val="clear" w:color="auto" w:fill="FFFFFF"/>
          </w:tcPr>
          <w:p w14:paraId="409EF5C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Administración Oral</w:t>
            </w:r>
          </w:p>
        </w:tc>
        <w:tc>
          <w:tcPr>
            <w:tcW w:w="1306" w:type="dxa"/>
            <w:shd w:val="clear" w:color="auto" w:fill="FFFFFF"/>
          </w:tcPr>
          <w:p w14:paraId="2D47A9B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Oral</w:t>
            </w:r>
          </w:p>
        </w:tc>
        <w:tc>
          <w:tcPr>
            <w:tcW w:w="1190" w:type="dxa"/>
            <w:shd w:val="clear" w:color="auto" w:fill="FFFFFF"/>
          </w:tcPr>
          <w:p w14:paraId="314588F9"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Inhalación</w:t>
            </w:r>
          </w:p>
        </w:tc>
        <w:tc>
          <w:tcPr>
            <w:tcW w:w="1934" w:type="dxa"/>
            <w:shd w:val="clear" w:color="auto" w:fill="FFFFFF"/>
          </w:tcPr>
          <w:p w14:paraId="53A48F99"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Oral</w:t>
            </w:r>
          </w:p>
        </w:tc>
      </w:tr>
      <w:tr w:rsidR="00093A32" w14:paraId="53A05C4F" w14:textId="77777777">
        <w:tblPrEx>
          <w:tblCellMar>
            <w:top w:w="0" w:type="dxa"/>
            <w:bottom w:w="0" w:type="dxa"/>
          </w:tblCellMar>
        </w:tblPrEx>
        <w:trPr>
          <w:trHeight w:hRule="exact" w:val="240"/>
          <w:jc w:val="center"/>
        </w:trPr>
        <w:tc>
          <w:tcPr>
            <w:tcW w:w="1037" w:type="dxa"/>
            <w:shd w:val="clear" w:color="auto" w:fill="FFFFFF"/>
          </w:tcPr>
          <w:p w14:paraId="22DAA27C"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Indicaciones</w:t>
            </w:r>
          </w:p>
        </w:tc>
        <w:tc>
          <w:tcPr>
            <w:tcW w:w="1454" w:type="dxa"/>
            <w:shd w:val="clear" w:color="auto" w:fill="FFFFFF"/>
          </w:tcPr>
          <w:p w14:paraId="38982FDC"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Un año de edad</w:t>
            </w:r>
          </w:p>
        </w:tc>
        <w:tc>
          <w:tcPr>
            <w:tcW w:w="1306" w:type="dxa"/>
            <w:shd w:val="clear" w:color="auto" w:fill="FFFFFF"/>
          </w:tcPr>
          <w:p w14:paraId="4170E955"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13 años de edad</w:t>
            </w:r>
          </w:p>
        </w:tc>
        <w:tc>
          <w:tcPr>
            <w:tcW w:w="3124" w:type="dxa"/>
            <w:gridSpan w:val="2"/>
            <w:shd w:val="clear" w:color="auto" w:fill="FFFFFF"/>
          </w:tcPr>
          <w:p w14:paraId="23B436A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Siete años de vida Un año de edad y más</w:t>
            </w:r>
          </w:p>
        </w:tc>
      </w:tr>
      <w:tr w:rsidR="00093A32" w14:paraId="49FCECBA" w14:textId="77777777">
        <w:tblPrEx>
          <w:tblCellMar>
            <w:top w:w="0" w:type="dxa"/>
            <w:bottom w:w="0" w:type="dxa"/>
          </w:tblCellMar>
        </w:tblPrEx>
        <w:trPr>
          <w:trHeight w:hRule="exact" w:val="202"/>
          <w:jc w:val="center"/>
        </w:trPr>
        <w:tc>
          <w:tcPr>
            <w:tcW w:w="1037" w:type="dxa"/>
            <w:shd w:val="clear" w:color="auto" w:fill="FFFFFF"/>
          </w:tcPr>
          <w:p w14:paraId="4A0227C7"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para el</w:t>
            </w:r>
          </w:p>
        </w:tc>
        <w:tc>
          <w:tcPr>
            <w:tcW w:w="1454" w:type="dxa"/>
            <w:shd w:val="clear" w:color="auto" w:fill="FFFFFF"/>
          </w:tcPr>
          <w:p w14:paraId="4FBCD868"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o más</w:t>
            </w:r>
          </w:p>
        </w:tc>
        <w:tc>
          <w:tcPr>
            <w:tcW w:w="1306" w:type="dxa"/>
            <w:shd w:val="clear" w:color="auto" w:fill="FFFFFF"/>
          </w:tcPr>
          <w:p w14:paraId="1AC6E2D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 más</w:t>
            </w:r>
          </w:p>
        </w:tc>
        <w:tc>
          <w:tcPr>
            <w:tcW w:w="1190" w:type="dxa"/>
            <w:shd w:val="clear" w:color="auto" w:fill="FFFFFF"/>
          </w:tcPr>
          <w:p w14:paraId="5AF898B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 más</w:t>
            </w:r>
          </w:p>
        </w:tc>
        <w:tc>
          <w:tcPr>
            <w:tcW w:w="1934" w:type="dxa"/>
            <w:shd w:val="clear" w:color="auto" w:fill="FFFFFF"/>
          </w:tcPr>
          <w:p w14:paraId="0E0752B7" w14:textId="77777777" w:rsidR="00093A32" w:rsidRDefault="00093A32">
            <w:pPr>
              <w:rPr>
                <w:sz w:val="10"/>
                <w:szCs w:val="10"/>
              </w:rPr>
            </w:pPr>
          </w:p>
        </w:tc>
      </w:tr>
      <w:tr w:rsidR="00093A32" w14:paraId="642C20C6" w14:textId="77777777">
        <w:tblPrEx>
          <w:tblCellMar>
            <w:top w:w="0" w:type="dxa"/>
            <w:bottom w:w="0" w:type="dxa"/>
          </w:tblCellMar>
        </w:tblPrEx>
        <w:trPr>
          <w:trHeight w:hRule="exact" w:val="216"/>
          <w:jc w:val="center"/>
        </w:trPr>
        <w:tc>
          <w:tcPr>
            <w:tcW w:w="1037" w:type="dxa"/>
            <w:shd w:val="clear" w:color="auto" w:fill="FFFFFF"/>
            <w:vAlign w:val="bottom"/>
          </w:tcPr>
          <w:p w14:paraId="071288E5"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tratamiento</w:t>
            </w:r>
          </w:p>
        </w:tc>
        <w:tc>
          <w:tcPr>
            <w:tcW w:w="1454" w:type="dxa"/>
            <w:shd w:val="clear" w:color="auto" w:fill="FFFFFF"/>
          </w:tcPr>
          <w:p w14:paraId="6D1A6D30" w14:textId="77777777" w:rsidR="00093A32" w:rsidRDefault="00093A32">
            <w:pPr>
              <w:pStyle w:val="Other0"/>
              <w:spacing w:line="240" w:lineRule="auto"/>
              <w:ind w:firstLine="0"/>
              <w:rPr>
                <w:sz w:val="10"/>
                <w:szCs w:val="10"/>
              </w:rPr>
            </w:pPr>
            <w:r>
              <w:rPr>
                <w:rFonts w:ascii="Times New Roman" w:eastAsia="Times New Roman" w:hAnsi="Times New Roman" w:cs="Times New Roman"/>
                <w:sz w:val="10"/>
                <w:szCs w:val="10"/>
              </w:rPr>
              <w:t>1</w:t>
            </w:r>
          </w:p>
        </w:tc>
        <w:tc>
          <w:tcPr>
            <w:tcW w:w="1306" w:type="dxa"/>
            <w:shd w:val="clear" w:color="auto" w:fill="FFFFFF"/>
          </w:tcPr>
          <w:p w14:paraId="29DBCCE4" w14:textId="77777777" w:rsidR="00093A32" w:rsidRDefault="00093A32">
            <w:pPr>
              <w:rPr>
                <w:sz w:val="10"/>
                <w:szCs w:val="10"/>
              </w:rPr>
            </w:pPr>
          </w:p>
        </w:tc>
        <w:tc>
          <w:tcPr>
            <w:tcW w:w="1190" w:type="dxa"/>
            <w:shd w:val="clear" w:color="auto" w:fill="FFFFFF"/>
          </w:tcPr>
          <w:p w14:paraId="70500371" w14:textId="77777777" w:rsidR="00093A32" w:rsidRDefault="00093A32">
            <w:pPr>
              <w:rPr>
                <w:sz w:val="10"/>
                <w:szCs w:val="10"/>
              </w:rPr>
            </w:pPr>
          </w:p>
        </w:tc>
        <w:tc>
          <w:tcPr>
            <w:tcW w:w="1934" w:type="dxa"/>
            <w:shd w:val="clear" w:color="auto" w:fill="FFFFFF"/>
          </w:tcPr>
          <w:p w14:paraId="48A1043B" w14:textId="77777777" w:rsidR="00093A32" w:rsidRDefault="00093A32">
            <w:pPr>
              <w:rPr>
                <w:sz w:val="10"/>
                <w:szCs w:val="10"/>
              </w:rPr>
            </w:pPr>
          </w:p>
        </w:tc>
      </w:tr>
      <w:tr w:rsidR="00093A32" w14:paraId="1EEC99E5" w14:textId="77777777">
        <w:tblPrEx>
          <w:tblCellMar>
            <w:top w:w="0" w:type="dxa"/>
            <w:bottom w:w="0" w:type="dxa"/>
          </w:tblCellMar>
        </w:tblPrEx>
        <w:trPr>
          <w:trHeight w:hRule="exact" w:val="245"/>
          <w:jc w:val="center"/>
        </w:trPr>
        <w:tc>
          <w:tcPr>
            <w:tcW w:w="1037" w:type="dxa"/>
            <w:shd w:val="clear" w:color="auto" w:fill="FFFFFF"/>
          </w:tcPr>
          <w:p w14:paraId="0BF247D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Indicaciones</w:t>
            </w:r>
          </w:p>
        </w:tc>
        <w:tc>
          <w:tcPr>
            <w:tcW w:w="1454" w:type="dxa"/>
            <w:shd w:val="clear" w:color="auto" w:fill="FFFFFF"/>
          </w:tcPr>
          <w:p w14:paraId="68BBAD65"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Un año de edad</w:t>
            </w:r>
          </w:p>
        </w:tc>
        <w:tc>
          <w:tcPr>
            <w:tcW w:w="1306" w:type="dxa"/>
            <w:shd w:val="clear" w:color="auto" w:fill="FFFFFF"/>
          </w:tcPr>
          <w:p w14:paraId="02F7D9C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Un año de edad</w:t>
            </w:r>
          </w:p>
        </w:tc>
        <w:tc>
          <w:tcPr>
            <w:tcW w:w="1190" w:type="dxa"/>
            <w:shd w:val="clear" w:color="auto" w:fill="FFFFFF"/>
          </w:tcPr>
          <w:p w14:paraId="796B6CB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No aprobada</w:t>
            </w:r>
          </w:p>
        </w:tc>
        <w:tc>
          <w:tcPr>
            <w:tcW w:w="1934" w:type="dxa"/>
            <w:shd w:val="clear" w:color="auto" w:fill="FFFFFF"/>
          </w:tcPr>
          <w:p w14:paraId="2936306D"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13 años de edad y más</w:t>
            </w:r>
          </w:p>
        </w:tc>
      </w:tr>
      <w:tr w:rsidR="00093A32" w14:paraId="76F675F5" w14:textId="77777777">
        <w:tblPrEx>
          <w:tblCellMar>
            <w:top w:w="0" w:type="dxa"/>
            <w:bottom w:w="0" w:type="dxa"/>
          </w:tblCellMar>
        </w:tblPrEx>
        <w:trPr>
          <w:trHeight w:hRule="exact" w:val="211"/>
          <w:jc w:val="center"/>
        </w:trPr>
        <w:tc>
          <w:tcPr>
            <w:tcW w:w="1037" w:type="dxa"/>
            <w:shd w:val="clear" w:color="auto" w:fill="FFFFFF"/>
          </w:tcPr>
          <w:p w14:paraId="75D8A6ED"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para la</w:t>
            </w:r>
          </w:p>
        </w:tc>
        <w:tc>
          <w:tcPr>
            <w:tcW w:w="1454" w:type="dxa"/>
            <w:shd w:val="clear" w:color="auto" w:fill="FFFFFF"/>
          </w:tcPr>
          <w:p w14:paraId="1388CFE8"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o más</w:t>
            </w:r>
          </w:p>
        </w:tc>
        <w:tc>
          <w:tcPr>
            <w:tcW w:w="1306" w:type="dxa"/>
            <w:shd w:val="clear" w:color="auto" w:fill="FFFFFF"/>
          </w:tcPr>
          <w:p w14:paraId="029CA9DD"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o más</w:t>
            </w:r>
          </w:p>
        </w:tc>
        <w:tc>
          <w:tcPr>
            <w:tcW w:w="1190" w:type="dxa"/>
            <w:shd w:val="clear" w:color="auto" w:fill="FFFFFF"/>
          </w:tcPr>
          <w:p w14:paraId="4F2D27B3" w14:textId="77777777" w:rsidR="00093A32" w:rsidRDefault="00093A32">
            <w:pPr>
              <w:rPr>
                <w:sz w:val="10"/>
                <w:szCs w:val="10"/>
              </w:rPr>
            </w:pPr>
          </w:p>
        </w:tc>
        <w:tc>
          <w:tcPr>
            <w:tcW w:w="1934" w:type="dxa"/>
            <w:shd w:val="clear" w:color="auto" w:fill="FFFFFF"/>
          </w:tcPr>
          <w:p w14:paraId="1258E283" w14:textId="77777777" w:rsidR="00093A32" w:rsidRDefault="00093A32">
            <w:pPr>
              <w:rPr>
                <w:sz w:val="10"/>
                <w:szCs w:val="10"/>
              </w:rPr>
            </w:pPr>
          </w:p>
        </w:tc>
      </w:tr>
      <w:tr w:rsidR="00093A32" w14:paraId="0E653A12" w14:textId="77777777">
        <w:tblPrEx>
          <w:tblCellMar>
            <w:top w:w="0" w:type="dxa"/>
            <w:bottom w:w="0" w:type="dxa"/>
          </w:tblCellMar>
        </w:tblPrEx>
        <w:trPr>
          <w:trHeight w:hRule="exact" w:val="221"/>
          <w:jc w:val="center"/>
        </w:trPr>
        <w:tc>
          <w:tcPr>
            <w:tcW w:w="1037" w:type="dxa"/>
            <w:shd w:val="clear" w:color="auto" w:fill="FFFFFF"/>
            <w:vAlign w:val="bottom"/>
          </w:tcPr>
          <w:p w14:paraId="681824F3"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profilaxia</w:t>
            </w:r>
            <w:r>
              <w:rPr>
                <w:rFonts w:ascii="Times New Roman" w:eastAsia="Times New Roman" w:hAnsi="Times New Roman" w:cs="Times New Roman"/>
                <w:sz w:val="16"/>
                <w:szCs w:val="16"/>
                <w:vertAlign w:val="superscript"/>
              </w:rPr>
              <w:t>1</w:t>
            </w:r>
          </w:p>
        </w:tc>
        <w:tc>
          <w:tcPr>
            <w:tcW w:w="1454" w:type="dxa"/>
            <w:shd w:val="clear" w:color="auto" w:fill="FFFFFF"/>
          </w:tcPr>
          <w:p w14:paraId="014E5C51" w14:textId="77777777" w:rsidR="00093A32" w:rsidRDefault="00093A32">
            <w:pPr>
              <w:rPr>
                <w:sz w:val="10"/>
                <w:szCs w:val="10"/>
              </w:rPr>
            </w:pPr>
          </w:p>
        </w:tc>
        <w:tc>
          <w:tcPr>
            <w:tcW w:w="1306" w:type="dxa"/>
            <w:shd w:val="clear" w:color="auto" w:fill="FFFFFF"/>
          </w:tcPr>
          <w:p w14:paraId="36384154" w14:textId="77777777" w:rsidR="00093A32" w:rsidRDefault="00093A32">
            <w:pPr>
              <w:rPr>
                <w:sz w:val="10"/>
                <w:szCs w:val="10"/>
              </w:rPr>
            </w:pPr>
          </w:p>
        </w:tc>
        <w:tc>
          <w:tcPr>
            <w:tcW w:w="1190" w:type="dxa"/>
            <w:shd w:val="clear" w:color="auto" w:fill="FFFFFF"/>
          </w:tcPr>
          <w:p w14:paraId="272F0C4F" w14:textId="77777777" w:rsidR="00093A32" w:rsidRDefault="00093A32">
            <w:pPr>
              <w:rPr>
                <w:sz w:val="10"/>
                <w:szCs w:val="10"/>
              </w:rPr>
            </w:pPr>
          </w:p>
        </w:tc>
        <w:tc>
          <w:tcPr>
            <w:tcW w:w="1934" w:type="dxa"/>
            <w:shd w:val="clear" w:color="auto" w:fill="FFFFFF"/>
          </w:tcPr>
          <w:p w14:paraId="52F7FB01" w14:textId="77777777" w:rsidR="00093A32" w:rsidRDefault="00093A32">
            <w:pPr>
              <w:rPr>
                <w:sz w:val="10"/>
                <w:szCs w:val="10"/>
              </w:rPr>
            </w:pPr>
          </w:p>
        </w:tc>
      </w:tr>
      <w:tr w:rsidR="00093A32" w14:paraId="76D3BAB8" w14:textId="77777777">
        <w:tblPrEx>
          <w:tblCellMar>
            <w:top w:w="0" w:type="dxa"/>
            <w:bottom w:w="0" w:type="dxa"/>
          </w:tblCellMar>
        </w:tblPrEx>
        <w:trPr>
          <w:trHeight w:hRule="exact" w:val="192"/>
          <w:jc w:val="center"/>
        </w:trPr>
        <w:tc>
          <w:tcPr>
            <w:tcW w:w="1037" w:type="dxa"/>
            <w:shd w:val="clear" w:color="auto" w:fill="FFFFFF"/>
          </w:tcPr>
          <w:p w14:paraId="5C717CCF"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Efectos</w:t>
            </w:r>
          </w:p>
        </w:tc>
        <w:tc>
          <w:tcPr>
            <w:tcW w:w="1454" w:type="dxa"/>
            <w:shd w:val="clear" w:color="auto" w:fill="FFFFFF"/>
          </w:tcPr>
          <w:p w14:paraId="08CDFADA" w14:textId="77777777" w:rsidR="00093A32" w:rsidRDefault="00093A32">
            <w:pPr>
              <w:pStyle w:val="Other0"/>
              <w:spacing w:line="240" w:lineRule="auto"/>
              <w:ind w:firstLine="160"/>
              <w:rPr>
                <w:sz w:val="16"/>
                <w:szCs w:val="16"/>
              </w:rPr>
            </w:pPr>
            <w:r>
              <w:rPr>
                <w:rFonts w:ascii="Times New Roman" w:eastAsia="Times New Roman" w:hAnsi="Times New Roman" w:cs="Times New Roman"/>
                <w:sz w:val="16"/>
                <w:szCs w:val="16"/>
              </w:rPr>
              <w:t>Sistema nervioso</w:t>
            </w:r>
          </w:p>
        </w:tc>
        <w:tc>
          <w:tcPr>
            <w:tcW w:w="1306" w:type="dxa"/>
            <w:shd w:val="clear" w:color="auto" w:fill="FFFFFF"/>
          </w:tcPr>
          <w:p w14:paraId="611D3504"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Sistema nervioso</w:t>
            </w:r>
          </w:p>
        </w:tc>
        <w:tc>
          <w:tcPr>
            <w:tcW w:w="1190" w:type="dxa"/>
            <w:shd w:val="clear" w:color="auto" w:fill="FFFFFF"/>
          </w:tcPr>
          <w:p w14:paraId="3887C0A8"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Broncospasmo</w:t>
            </w:r>
          </w:p>
        </w:tc>
        <w:tc>
          <w:tcPr>
            <w:tcW w:w="1934" w:type="dxa"/>
            <w:shd w:val="clear" w:color="auto" w:fill="FFFFFF"/>
          </w:tcPr>
          <w:p w14:paraId="4AF6BD94" w14:textId="77777777" w:rsidR="00093A32" w:rsidRDefault="00093A32">
            <w:pPr>
              <w:pStyle w:val="Other0"/>
              <w:spacing w:line="240" w:lineRule="auto"/>
              <w:ind w:firstLine="140"/>
              <w:rPr>
                <w:sz w:val="16"/>
                <w:szCs w:val="16"/>
              </w:rPr>
            </w:pPr>
            <w:r>
              <w:rPr>
                <w:rFonts w:ascii="Times New Roman" w:eastAsia="Times New Roman" w:hAnsi="Times New Roman" w:cs="Times New Roman"/>
                <w:sz w:val="16"/>
                <w:szCs w:val="16"/>
              </w:rPr>
              <w:t>Náusea, vómito</w:t>
            </w:r>
          </w:p>
        </w:tc>
      </w:tr>
      <w:tr w:rsidR="00093A32" w14:paraId="7916639A" w14:textId="77777777">
        <w:tblPrEx>
          <w:tblCellMar>
            <w:top w:w="0" w:type="dxa"/>
            <w:bottom w:w="0" w:type="dxa"/>
          </w:tblCellMar>
        </w:tblPrEx>
        <w:trPr>
          <w:trHeight w:hRule="exact" w:val="331"/>
          <w:jc w:val="center"/>
        </w:trPr>
        <w:tc>
          <w:tcPr>
            <w:tcW w:w="1037" w:type="dxa"/>
            <w:tcBorders>
              <w:bottom w:val="single" w:sz="4" w:space="0" w:color="auto"/>
            </w:tcBorders>
            <w:shd w:val="clear" w:color="auto" w:fill="FFFFFF"/>
          </w:tcPr>
          <w:p w14:paraId="33AF0A86" w14:textId="77777777" w:rsidR="00093A32" w:rsidRDefault="00093A32">
            <w:pPr>
              <w:pStyle w:val="Other0"/>
              <w:spacing w:line="240" w:lineRule="auto"/>
              <w:ind w:firstLine="200"/>
              <w:rPr>
                <w:sz w:val="16"/>
                <w:szCs w:val="16"/>
              </w:rPr>
            </w:pPr>
            <w:r>
              <w:rPr>
                <w:rFonts w:ascii="Times New Roman" w:eastAsia="Times New Roman" w:hAnsi="Times New Roman" w:cs="Times New Roman"/>
                <w:sz w:val="16"/>
                <w:szCs w:val="16"/>
              </w:rPr>
              <w:t>adversos</w:t>
            </w:r>
          </w:p>
        </w:tc>
        <w:tc>
          <w:tcPr>
            <w:tcW w:w="1454" w:type="dxa"/>
            <w:tcBorders>
              <w:bottom w:val="single" w:sz="4" w:space="0" w:color="auto"/>
            </w:tcBorders>
            <w:shd w:val="clear" w:color="auto" w:fill="FFFFFF"/>
          </w:tcPr>
          <w:p w14:paraId="5D337CE3" w14:textId="77777777" w:rsidR="00093A32" w:rsidRDefault="00093A32">
            <w:pPr>
              <w:pStyle w:val="Other0"/>
              <w:spacing w:line="240" w:lineRule="auto"/>
              <w:ind w:firstLine="280"/>
              <w:rPr>
                <w:sz w:val="16"/>
                <w:szCs w:val="16"/>
              </w:rPr>
            </w:pPr>
            <w:r>
              <w:rPr>
                <w:rFonts w:ascii="Times New Roman" w:eastAsia="Times New Roman" w:hAnsi="Times New Roman" w:cs="Times New Roman"/>
                <w:sz w:val="16"/>
                <w:szCs w:val="16"/>
              </w:rPr>
              <w:t>central, ansiedad</w:t>
            </w:r>
          </w:p>
        </w:tc>
        <w:tc>
          <w:tcPr>
            <w:tcW w:w="1306" w:type="dxa"/>
            <w:tcBorders>
              <w:bottom w:val="single" w:sz="4" w:space="0" w:color="auto"/>
            </w:tcBorders>
            <w:shd w:val="clear" w:color="auto" w:fill="FFFFFF"/>
          </w:tcPr>
          <w:p w14:paraId="1B4AF1E0"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central, ansiedad</w:t>
            </w:r>
          </w:p>
        </w:tc>
        <w:tc>
          <w:tcPr>
            <w:tcW w:w="1190" w:type="dxa"/>
            <w:tcBorders>
              <w:bottom w:val="single" w:sz="4" w:space="0" w:color="auto"/>
            </w:tcBorders>
            <w:shd w:val="clear" w:color="auto" w:fill="FFFFFF"/>
          </w:tcPr>
          <w:p w14:paraId="252DD6F3" w14:textId="77777777" w:rsidR="00093A32" w:rsidRDefault="00093A32">
            <w:pPr>
              <w:rPr>
                <w:sz w:val="10"/>
                <w:szCs w:val="10"/>
              </w:rPr>
            </w:pPr>
          </w:p>
        </w:tc>
        <w:tc>
          <w:tcPr>
            <w:tcW w:w="1934" w:type="dxa"/>
            <w:tcBorders>
              <w:bottom w:val="single" w:sz="4" w:space="0" w:color="auto"/>
            </w:tcBorders>
            <w:shd w:val="clear" w:color="auto" w:fill="FFFFFF"/>
          </w:tcPr>
          <w:p w14:paraId="6A9BE112" w14:textId="77777777" w:rsidR="00093A32" w:rsidRDefault="00093A32">
            <w:pPr>
              <w:rPr>
                <w:sz w:val="10"/>
                <w:szCs w:val="10"/>
              </w:rPr>
            </w:pPr>
          </w:p>
        </w:tc>
      </w:tr>
    </w:tbl>
    <w:p w14:paraId="6AF7F2A5" w14:textId="77777777" w:rsidR="00093A32" w:rsidRDefault="00093A32">
      <w:pPr>
        <w:pStyle w:val="Tablecaption0"/>
        <w:spacing w:line="240" w:lineRule="auto"/>
        <w:ind w:left="91"/>
      </w:pPr>
      <w:r>
        <w:rPr>
          <w:sz w:val="8"/>
          <w:szCs w:val="8"/>
          <w:vertAlign w:val="superscript"/>
        </w:rPr>
        <w:t>1</w:t>
      </w:r>
      <w:r>
        <w:rPr>
          <w:sz w:val="8"/>
          <w:szCs w:val="8"/>
        </w:rPr>
        <w:t xml:space="preserve"> </w:t>
      </w:r>
      <w:r>
        <w:t>Edades aprobadas.</w:t>
      </w:r>
    </w:p>
    <w:p w14:paraId="45248CC4" w14:textId="77777777" w:rsidR="00093A32" w:rsidRDefault="00093A32">
      <w:pPr>
        <w:spacing w:after="359" w:line="1" w:lineRule="exact"/>
      </w:pPr>
    </w:p>
    <w:p w14:paraId="2639198A" w14:textId="77777777" w:rsidR="00093A32" w:rsidRDefault="00093A32">
      <w:pPr>
        <w:pStyle w:val="BodyText"/>
        <w:ind w:firstLine="0"/>
      </w:pPr>
      <w:r>
        <w:t>niños de siete años y mayores. Se le presenta en polvo para inhalación que se aplica dos veces al día durante cinco días, para lo cual se usa un inhalador especial de plástico activado por la inspiración. Oseltamivir ha sido aprobado para niños de un año de vida y mayores y se ingiere dos veces al día durante cinco días. En una investigación sobre eficacia en niños de cinco a 12 años de edad, cuando se emprendió el uso del zanamivir en término de 36 h de haber comenzado el cuadro, disminuyó un día el lapso en que duraron los síntomas, en comparación con el placebo. No se han definido la inocuidad y la eficacia de ambos fármacos en niños expuestos a alto riesgo de tener cuadros médicos primarios. En niños de uno a 12 años, oseltamivir acortó la duración de los síntomas, 1.5 cinco días. Los inhibidores de neuraminidasa son los únicos agentes antivíricos que son activos contra la influenza B, aunque se necesitan más estudios de su utilidad en el tratamiento de los niños.</w:t>
      </w:r>
    </w:p>
    <w:p w14:paraId="779590E8" w14:textId="77777777" w:rsidR="00093A32" w:rsidRDefault="00093A32">
      <w:pPr>
        <w:pStyle w:val="BodyText"/>
        <w:ind w:firstLine="380"/>
      </w:pPr>
      <w:r>
        <w:t xml:space="preserve">Hay que valorar el tratamiento contra la infección por virus de influenza en: 1) pacientes en los que se puede obtener beneficios particulares al acortar o aplacar los síntomas clínicos, como los niños expuestos a un mayor peligro de infección grave o complicada por influenza; 2) niños sanos con enfermedad grave y 3) personas con situaciones especiales de tipo ambiental, familiar o social en que sería nociva la persistencia de la enfermedad. El virus de influenza A puede tornarse rápidamente resistente a la amantadina y la rimantadina durante su administración, pero ello al parecer no menoscaba sus beneficios clínicos. No se ha demostrado que el virus resistente se disemine con mayor facilidad u origine un cuadro más grave, y tampoco se ha sabido que persista en la población, en caso de no emprender farmacoterapia antivírica. A pesar de todo, no se conocen las consecuencias epidemiológicas de la resistencia del virus de influenza A contra los antivíricos. Cualquier virus de influenza aislado de un sujeto mientras recibe profilaxia con tal enfermedad debe ser enviado a los </w:t>
      </w:r>
      <w:r>
        <w:rPr>
          <w:rFonts w:ascii="Times New Roman" w:eastAsia="Times New Roman" w:hAnsi="Times New Roman" w:cs="Times New Roman"/>
          <w:i/>
          <w:iCs/>
          <w:sz w:val="16"/>
          <w:szCs w:val="16"/>
        </w:rPr>
        <w:t>Centers for Disease Control and Prevention</w:t>
      </w:r>
      <w:r>
        <w:t xml:space="preserve"> (CDC) para valorar su susceptibilidad a antivíricos, a través de un departamento de sanidad estatal. Se ha identificado la aparición de resistencia a zanamivir y oseltamivir durante el tratamiento, pero al parecer no es frecuente, si bien no se ha definido en detalle la importancia clínica de la resistencia a los inhibidores de neuraminidasa.</w:t>
      </w:r>
    </w:p>
    <w:p w14:paraId="3FE502F3" w14:textId="77777777" w:rsidR="00093A32" w:rsidRDefault="00093A32">
      <w:pPr>
        <w:pStyle w:val="BodyText"/>
        <w:ind w:firstLine="380"/>
      </w:pPr>
      <w:r>
        <w:t>Si se ordena la administración de antivíricos, el tratamiento se iniciará con la mayor prontitud posible después de haber comenzado los síntomas, y se interrumpirá 24 a 48 h después de su resolución (amantadina o rimantadina) o después de un ciclo de cinco días (inhibidores de neuraminidasa). En el cuadro 4-8 se incluyen las dosis recomendadas de fármacos para el tratamiento y la profilaxia de la influenza. Es importante vigilar a todo sujeto con cualquier disfunción renal en busca de reacciones adversas. Sólo el zanamivir no necesita ajuste en sus dosis en el caso de personas con disfunción renal grave. La amantadina y la rimantadina, en particular la primera, puede causar síntomas de SNC que cederán una vez que se interrumpe su uso. Se ha señalado una mayor incidencia de convulsiones en niños epilépticos que reciben amantadina, y en menor magnitud entre quienes reciben rimantadina. Los principales efectos adversos del oseltamivir son náuseas y vómito. El uso del zanamivir se ha vinculado con broncospasmo en algunas personas, pero son raros los efectos adversos a nivel sistémico. En términos generales, no se recomienda el zanamivir en personas con enfermedades primarias de vías respiratorias.</w:t>
      </w:r>
    </w:p>
    <w:p w14:paraId="4FAF090E" w14:textId="77777777" w:rsidR="00093A32" w:rsidRDefault="00093A32">
      <w:pPr>
        <w:pStyle w:val="BodyText"/>
        <w:ind w:firstLine="360"/>
      </w:pPr>
      <w:r>
        <w:t xml:space="preserve">En niños de corta edad puede ser importante controlar la fiebre con acetaminofén u otros antipiréticos apropiados porque dicho signo y otros de la influenza pudieran exacerbar un cuadro crónico primario. Niños y adolescentes con influenza no deben recibir salicilatos porque se agrava el riesgo de que surja el síndrome de Reye.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las que se siguen para evitar la transmisión por gotículas, en niños hospitalizados con influenza o un cuadro similar a ella durante todo lo que dura la enfermedad. Hay que considerar como infectantes las secreciones de vías respiratorias y recurrir a métodos de higiene estricta de las manos.</w:t>
      </w:r>
    </w:p>
    <w:p w14:paraId="08FB43B1" w14:textId="77777777" w:rsidR="00093A32" w:rsidRDefault="00093A3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2A609C78" w14:textId="77777777" w:rsidR="00093A32" w:rsidRDefault="00093A32">
      <w:pPr>
        <w:pStyle w:val="BodyText"/>
        <w:spacing w:line="276" w:lineRule="auto"/>
        <w:ind w:firstLine="0"/>
      </w:pPr>
      <w:r>
        <w:rPr>
          <w:rFonts w:ascii="Arial" w:eastAsia="Arial" w:hAnsi="Arial" w:cs="Arial"/>
          <w:b/>
          <w:bCs/>
          <w:i/>
          <w:iCs/>
          <w:sz w:val="15"/>
          <w:szCs w:val="15"/>
        </w:rPr>
        <w:t>Vacuna contra la influenza.</w:t>
      </w:r>
      <w:r>
        <w:t xml:space="preserve"> Las vacunas de virus inactivados producidos en embriones de pollo son inmunógenas y se acompañan de mínimos efectos adversos. Los preparados multivalentes en cuestión contienen tres cepas de virus (por lo común dos de tipo A y uno de tipo B). En forma típica, cada año se cambian una o dos cepas en anticipación de las cepas predominantes que circularán en Estados Unidos en el invierno siguiente. La vacuna de virus inactivados que se distribuye en Estados Unidos utiliza subviriones, preparados al romper la membrana lípida del virus, o bien una vacuna hecha de antígeno de superficie purificado. Ya no se distribuye en Estados Unidos la vacuna hecha de todo el virus de influenza que se obtenía antes del 2001. Se ha preparado por redistribución vírica una vacuna hecha de virus atenuados, que es trivalente y crioadaptada, y se aplica por vía intranasal; tal vacuna está en etapa de aprobación por la </w:t>
      </w:r>
      <w:r>
        <w:rPr>
          <w:rFonts w:ascii="Times New Roman" w:eastAsia="Times New Roman" w:hAnsi="Times New Roman" w:cs="Times New Roman"/>
          <w:i/>
          <w:iCs/>
          <w:sz w:val="16"/>
          <w:szCs w:val="16"/>
        </w:rPr>
        <w:t>Food and Drug Administration (FDA)</w:t>
      </w:r>
      <w:r>
        <w:t xml:space="preserve"> en Estados Unidos.</w:t>
      </w:r>
    </w:p>
    <w:p w14:paraId="575F5FCA" w14:textId="77777777" w:rsidR="00093A32" w:rsidRDefault="00093A32">
      <w:pPr>
        <w:pStyle w:val="BodyText"/>
        <w:spacing w:line="276" w:lineRule="auto"/>
        <w:ind w:firstLine="360"/>
      </w:pPr>
      <w:r>
        <w:rPr>
          <w:rFonts w:ascii="Arial" w:eastAsia="Arial" w:hAnsi="Arial" w:cs="Arial"/>
          <w:b/>
          <w:bCs/>
          <w:i/>
          <w:iCs/>
          <w:sz w:val="15"/>
          <w:szCs w:val="15"/>
        </w:rPr>
        <w:t>Capacidad inmunógena en niños.</w:t>
      </w:r>
      <w:r>
        <w:t xml:space="preserve"> Los niños menores de nueve años, al tener poca experiencia inmunológica con la influenza necesitan dos dosis de la vacuna, aplicadas con un mes de diferencia para producir una respuesta satisfactoria de anticuerpos (véase cuadro 3-38). Los niños que han tenido experiencia con una cepa similar del virus por infección o vacunación desencadenan una respuesta intensa e inmediata de anticuerpos a una dosis de la vacuna.</w:t>
      </w:r>
    </w:p>
    <w:p w14:paraId="00EAAB11" w14:textId="77777777" w:rsidR="00093A32" w:rsidRDefault="00093A32">
      <w:pPr>
        <w:pStyle w:val="BodyText"/>
        <w:spacing w:line="276" w:lineRule="auto"/>
        <w:ind w:firstLine="360"/>
      </w:pPr>
      <w:r>
        <w:rPr>
          <w:rFonts w:ascii="Arial" w:eastAsia="Arial" w:hAnsi="Arial" w:cs="Arial"/>
          <w:b/>
          <w:bCs/>
          <w:i/>
          <w:iCs/>
          <w:sz w:val="15"/>
          <w:szCs w:val="15"/>
        </w:rPr>
        <w:t>Eficacia de la vacuna.</w:t>
      </w:r>
      <w:r>
        <w:t xml:space="preserve"> La eficacia de la vacuna contra la influenza en el caso de enfermedades agudas de vías respiratorias no se advierte tanto en los niños como en los adultos, por la frecuencia de infecciones de vías respiratorias superiores y cuadros similares de influenza causados por otros virus en niños de corta edad. En sujetos sanos la protección va de 70 a 80%, con límites de 50 a 95%, y ello varía con la cercanía del “igualamiento” de la cepa de la vacuna, con la cepa natural. Por lo general, se supone que la protección dura menos de un año. No se ha valorado la eficacia en lactantes vacunados en los primeros seis meses de vida, y las vacunas que se distribuyen en</w:t>
      </w:r>
    </w:p>
    <w:p w14:paraId="45B1671E" w14:textId="77777777" w:rsidR="00093A32" w:rsidRDefault="00093A32">
      <w:pPr>
        <w:pStyle w:val="Heading31"/>
        <w:keepNext/>
        <w:keepLines/>
        <w:spacing w:after="40" w:line="221" w:lineRule="auto"/>
        <w:jc w:val="center"/>
      </w:pPr>
      <w:bookmarkStart w:id="359" w:name="bookmark962"/>
      <w:bookmarkStart w:id="360" w:name="bookmark963"/>
      <w:bookmarkStart w:id="361" w:name="bookmark964"/>
      <w:r>
        <w:rPr>
          <w:b w:val="0"/>
          <w:bCs w:val="0"/>
        </w:rPr>
        <w:t xml:space="preserve">Cuadro 3.38. </w:t>
      </w:r>
      <w:r>
        <w:t>Plan para la administración de vacuna de virus de influenza,</w:t>
      </w:r>
      <w:r>
        <w:br/>
        <w:t>inactivados, según edades</w:t>
      </w:r>
      <w:r>
        <w:rPr>
          <w:vertAlign w:val="superscript"/>
        </w:rPr>
        <w:t>1</w:t>
      </w:r>
      <w:bookmarkEnd w:id="359"/>
      <w:bookmarkEnd w:id="360"/>
      <w:bookmarkEnd w:id="361"/>
    </w:p>
    <w:tbl>
      <w:tblPr>
        <w:tblOverlap w:val="never"/>
        <w:tblW w:w="0" w:type="auto"/>
        <w:jc w:val="center"/>
        <w:tblLayout w:type="fixed"/>
        <w:tblCellMar>
          <w:left w:w="10" w:type="dxa"/>
          <w:right w:w="10" w:type="dxa"/>
        </w:tblCellMar>
        <w:tblLook w:val="04A0" w:firstRow="1" w:lastRow="0" w:firstColumn="1" w:lastColumn="0" w:noHBand="0" w:noVBand="1"/>
      </w:tblPr>
      <w:tblGrid>
        <w:gridCol w:w="1507"/>
        <w:gridCol w:w="1613"/>
        <w:gridCol w:w="1690"/>
        <w:gridCol w:w="2030"/>
      </w:tblGrid>
      <w:tr w:rsidR="00093A32" w14:paraId="4E54B110" w14:textId="77777777">
        <w:tblPrEx>
          <w:tblCellMar>
            <w:top w:w="0" w:type="dxa"/>
            <w:bottom w:w="0" w:type="dxa"/>
          </w:tblCellMar>
        </w:tblPrEx>
        <w:trPr>
          <w:trHeight w:hRule="exact" w:val="278"/>
          <w:jc w:val="center"/>
        </w:trPr>
        <w:tc>
          <w:tcPr>
            <w:tcW w:w="1507" w:type="dxa"/>
            <w:shd w:val="clear" w:color="auto" w:fill="231F20"/>
          </w:tcPr>
          <w:p w14:paraId="41CDCFBA"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Edad</w:t>
            </w:r>
          </w:p>
        </w:tc>
        <w:tc>
          <w:tcPr>
            <w:tcW w:w="1613" w:type="dxa"/>
            <w:shd w:val="clear" w:color="auto" w:fill="231F20"/>
          </w:tcPr>
          <w:p w14:paraId="0FA6F21B"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8"/>
                <w:szCs w:val="8"/>
              </w:rPr>
            </w:pPr>
            <w:r>
              <w:rPr>
                <w:rFonts w:ascii="Arial" w:eastAsia="Arial" w:hAnsi="Arial" w:cs="Arial"/>
                <w:b/>
                <w:bCs/>
                <w:color w:val="FFFFFF"/>
                <w:w w:val="70"/>
                <w:sz w:val="24"/>
                <w:szCs w:val="24"/>
              </w:rPr>
              <w:t>Dosis en ml</w:t>
            </w:r>
            <w:r>
              <w:rPr>
                <w:rFonts w:ascii="Times New Roman" w:eastAsia="Times New Roman" w:hAnsi="Times New Roman" w:cs="Times New Roman"/>
                <w:color w:val="FFFFFF"/>
                <w:sz w:val="8"/>
                <w:szCs w:val="8"/>
                <w:vertAlign w:val="superscript"/>
              </w:rPr>
              <w:t>2</w:t>
            </w:r>
          </w:p>
        </w:tc>
        <w:tc>
          <w:tcPr>
            <w:tcW w:w="1690" w:type="dxa"/>
            <w:shd w:val="clear" w:color="auto" w:fill="231F20"/>
          </w:tcPr>
          <w:p w14:paraId="12A2BFFE"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20"/>
              <w:rPr>
                <w:sz w:val="24"/>
                <w:szCs w:val="24"/>
              </w:rPr>
            </w:pPr>
            <w:r>
              <w:rPr>
                <w:rFonts w:ascii="Arial" w:eastAsia="Arial" w:hAnsi="Arial" w:cs="Arial"/>
                <w:b/>
                <w:bCs/>
                <w:color w:val="FFFFFF"/>
                <w:w w:val="70"/>
                <w:sz w:val="24"/>
                <w:szCs w:val="24"/>
              </w:rPr>
              <w:t>No. de dosis</w:t>
            </w:r>
          </w:p>
        </w:tc>
        <w:tc>
          <w:tcPr>
            <w:tcW w:w="2030" w:type="dxa"/>
            <w:shd w:val="clear" w:color="auto" w:fill="231F20"/>
          </w:tcPr>
          <w:p w14:paraId="08AC2002" w14:textId="77777777" w:rsidR="00093A32" w:rsidRDefault="00093A3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20"/>
              <w:rPr>
                <w:sz w:val="8"/>
                <w:szCs w:val="8"/>
              </w:rPr>
            </w:pPr>
            <w:r>
              <w:rPr>
                <w:rFonts w:ascii="Arial" w:eastAsia="Arial" w:hAnsi="Arial" w:cs="Arial"/>
                <w:b/>
                <w:bCs/>
                <w:color w:val="FFFFFF"/>
                <w:w w:val="70"/>
                <w:sz w:val="24"/>
                <w:szCs w:val="24"/>
              </w:rPr>
              <w:t>Vía</w:t>
            </w:r>
            <w:r>
              <w:rPr>
                <w:rFonts w:ascii="Times New Roman" w:eastAsia="Times New Roman" w:hAnsi="Times New Roman" w:cs="Times New Roman"/>
                <w:color w:val="FFFFFF"/>
                <w:sz w:val="8"/>
                <w:szCs w:val="8"/>
                <w:vertAlign w:val="superscript"/>
              </w:rPr>
              <w:t>3</w:t>
            </w:r>
          </w:p>
        </w:tc>
      </w:tr>
      <w:tr w:rsidR="00093A32" w14:paraId="40934318" w14:textId="77777777">
        <w:tblPrEx>
          <w:tblCellMar>
            <w:top w:w="0" w:type="dxa"/>
            <w:bottom w:w="0" w:type="dxa"/>
          </w:tblCellMar>
        </w:tblPrEx>
        <w:trPr>
          <w:trHeight w:hRule="exact" w:val="288"/>
          <w:jc w:val="center"/>
        </w:trPr>
        <w:tc>
          <w:tcPr>
            <w:tcW w:w="1507" w:type="dxa"/>
            <w:shd w:val="clear" w:color="auto" w:fill="FFFFFF"/>
            <w:vAlign w:val="bottom"/>
          </w:tcPr>
          <w:p w14:paraId="22197F77"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6-35 meses</w:t>
            </w:r>
          </w:p>
        </w:tc>
        <w:tc>
          <w:tcPr>
            <w:tcW w:w="1613" w:type="dxa"/>
            <w:shd w:val="clear" w:color="auto" w:fill="FFFFFF"/>
            <w:vAlign w:val="bottom"/>
          </w:tcPr>
          <w:p w14:paraId="473BCB1A"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0.25</w:t>
            </w:r>
          </w:p>
        </w:tc>
        <w:tc>
          <w:tcPr>
            <w:tcW w:w="1690" w:type="dxa"/>
            <w:shd w:val="clear" w:color="auto" w:fill="FFFFFF"/>
            <w:vAlign w:val="bottom"/>
          </w:tcPr>
          <w:p w14:paraId="5BEB7A3D"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1-2</w:t>
            </w:r>
            <w:r>
              <w:rPr>
                <w:rFonts w:ascii="Times New Roman" w:eastAsia="Times New Roman" w:hAnsi="Times New Roman" w:cs="Times New Roman"/>
                <w:sz w:val="16"/>
                <w:szCs w:val="16"/>
                <w:vertAlign w:val="superscript"/>
              </w:rPr>
              <w:t>4</w:t>
            </w:r>
          </w:p>
        </w:tc>
        <w:tc>
          <w:tcPr>
            <w:tcW w:w="2030" w:type="dxa"/>
            <w:shd w:val="clear" w:color="auto" w:fill="FFFFFF"/>
            <w:vAlign w:val="bottom"/>
          </w:tcPr>
          <w:p w14:paraId="73BD4F2C"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Intramuscular</w:t>
            </w:r>
          </w:p>
        </w:tc>
      </w:tr>
      <w:tr w:rsidR="00093A32" w14:paraId="739941D8" w14:textId="77777777">
        <w:tblPrEx>
          <w:tblCellMar>
            <w:top w:w="0" w:type="dxa"/>
            <w:bottom w:w="0" w:type="dxa"/>
          </w:tblCellMar>
        </w:tblPrEx>
        <w:trPr>
          <w:trHeight w:hRule="exact" w:val="216"/>
          <w:jc w:val="center"/>
        </w:trPr>
        <w:tc>
          <w:tcPr>
            <w:tcW w:w="1507" w:type="dxa"/>
            <w:shd w:val="clear" w:color="auto" w:fill="FFFFFF"/>
            <w:vAlign w:val="bottom"/>
          </w:tcPr>
          <w:p w14:paraId="6C81D026"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3-8 años</w:t>
            </w:r>
          </w:p>
        </w:tc>
        <w:tc>
          <w:tcPr>
            <w:tcW w:w="1613" w:type="dxa"/>
            <w:shd w:val="clear" w:color="auto" w:fill="FFFFFF"/>
            <w:vAlign w:val="bottom"/>
          </w:tcPr>
          <w:p w14:paraId="4B1B393D"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0.5</w:t>
            </w:r>
          </w:p>
        </w:tc>
        <w:tc>
          <w:tcPr>
            <w:tcW w:w="1690" w:type="dxa"/>
            <w:shd w:val="clear" w:color="auto" w:fill="FFFFFF"/>
            <w:vAlign w:val="bottom"/>
          </w:tcPr>
          <w:p w14:paraId="6E6FC7AD"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1-2</w:t>
            </w:r>
            <w:r>
              <w:rPr>
                <w:rFonts w:ascii="Times New Roman" w:eastAsia="Times New Roman" w:hAnsi="Times New Roman" w:cs="Times New Roman"/>
                <w:sz w:val="16"/>
                <w:szCs w:val="16"/>
                <w:vertAlign w:val="superscript"/>
              </w:rPr>
              <w:t>4</w:t>
            </w:r>
          </w:p>
        </w:tc>
        <w:tc>
          <w:tcPr>
            <w:tcW w:w="2030" w:type="dxa"/>
            <w:shd w:val="clear" w:color="auto" w:fill="FFFFFF"/>
            <w:vAlign w:val="bottom"/>
          </w:tcPr>
          <w:p w14:paraId="514C34FA"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Intramuscular</w:t>
            </w:r>
          </w:p>
        </w:tc>
      </w:tr>
      <w:tr w:rsidR="00093A32" w14:paraId="65A27166" w14:textId="77777777">
        <w:tblPrEx>
          <w:tblCellMar>
            <w:top w:w="0" w:type="dxa"/>
            <w:bottom w:w="0" w:type="dxa"/>
          </w:tblCellMar>
        </w:tblPrEx>
        <w:trPr>
          <w:trHeight w:hRule="exact" w:val="245"/>
          <w:jc w:val="center"/>
        </w:trPr>
        <w:tc>
          <w:tcPr>
            <w:tcW w:w="1507" w:type="dxa"/>
            <w:tcBorders>
              <w:bottom w:val="single" w:sz="4" w:space="0" w:color="auto"/>
            </w:tcBorders>
            <w:shd w:val="clear" w:color="auto" w:fill="FFFFFF"/>
          </w:tcPr>
          <w:p w14:paraId="597FF24E" w14:textId="77777777" w:rsidR="00093A32" w:rsidRDefault="00093A32">
            <w:pPr>
              <w:pStyle w:val="Other0"/>
              <w:spacing w:line="240" w:lineRule="auto"/>
              <w:ind w:firstLine="0"/>
              <w:rPr>
                <w:sz w:val="16"/>
                <w:szCs w:val="16"/>
              </w:rPr>
            </w:pPr>
            <w:r>
              <w:rPr>
                <w:rFonts w:ascii="Times New Roman" w:eastAsia="Times New Roman" w:hAnsi="Times New Roman" w:cs="Times New Roman"/>
                <w:sz w:val="16"/>
                <w:szCs w:val="16"/>
              </w:rPr>
              <w:t>9 años y mayores</w:t>
            </w:r>
          </w:p>
        </w:tc>
        <w:tc>
          <w:tcPr>
            <w:tcW w:w="1613" w:type="dxa"/>
            <w:tcBorders>
              <w:bottom w:val="single" w:sz="4" w:space="0" w:color="auto"/>
            </w:tcBorders>
            <w:shd w:val="clear" w:color="auto" w:fill="FFFFFF"/>
          </w:tcPr>
          <w:p w14:paraId="1C7F7779" w14:textId="77777777" w:rsidR="00093A32" w:rsidRDefault="00093A32">
            <w:pPr>
              <w:pStyle w:val="Other0"/>
              <w:spacing w:line="240" w:lineRule="auto"/>
              <w:ind w:firstLine="240"/>
              <w:rPr>
                <w:sz w:val="16"/>
                <w:szCs w:val="16"/>
              </w:rPr>
            </w:pPr>
            <w:r>
              <w:rPr>
                <w:rFonts w:ascii="Times New Roman" w:eastAsia="Times New Roman" w:hAnsi="Times New Roman" w:cs="Times New Roman"/>
                <w:sz w:val="16"/>
                <w:szCs w:val="16"/>
              </w:rPr>
              <w:t>0.5</w:t>
            </w:r>
          </w:p>
        </w:tc>
        <w:tc>
          <w:tcPr>
            <w:tcW w:w="1690" w:type="dxa"/>
            <w:tcBorders>
              <w:bottom w:val="single" w:sz="4" w:space="0" w:color="auto"/>
            </w:tcBorders>
            <w:shd w:val="clear" w:color="auto" w:fill="FFFFFF"/>
          </w:tcPr>
          <w:p w14:paraId="61172E54"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1</w:t>
            </w:r>
          </w:p>
        </w:tc>
        <w:tc>
          <w:tcPr>
            <w:tcW w:w="2030" w:type="dxa"/>
            <w:tcBorders>
              <w:bottom w:val="single" w:sz="4" w:space="0" w:color="auto"/>
            </w:tcBorders>
            <w:shd w:val="clear" w:color="auto" w:fill="FFFFFF"/>
          </w:tcPr>
          <w:p w14:paraId="51593065" w14:textId="77777777" w:rsidR="00093A32" w:rsidRDefault="00093A32">
            <w:pPr>
              <w:pStyle w:val="Other0"/>
              <w:spacing w:line="240" w:lineRule="auto"/>
              <w:ind w:firstLine="320"/>
              <w:rPr>
                <w:sz w:val="16"/>
                <w:szCs w:val="16"/>
              </w:rPr>
            </w:pPr>
            <w:r>
              <w:rPr>
                <w:rFonts w:ascii="Times New Roman" w:eastAsia="Times New Roman" w:hAnsi="Times New Roman" w:cs="Times New Roman"/>
                <w:sz w:val="16"/>
                <w:szCs w:val="16"/>
              </w:rPr>
              <w:t>Intramuscular</w:t>
            </w:r>
          </w:p>
        </w:tc>
      </w:tr>
    </w:tbl>
    <w:p w14:paraId="23E546AD" w14:textId="77777777" w:rsidR="00093A32" w:rsidRDefault="00093A32">
      <w:pPr>
        <w:pStyle w:val="Tablecaption0"/>
        <w:numPr>
          <w:ilvl w:val="0"/>
          <w:numId w:val="77"/>
        </w:numPr>
        <w:tabs>
          <w:tab w:val="left" w:pos="22"/>
        </w:tabs>
        <w:spacing w:line="240" w:lineRule="auto"/>
        <w:ind w:left="43"/>
      </w:pPr>
      <w:r>
        <w:t>Los fabricantes incluyen Aventis Pasteur (Fluzon, vacuna de fracciones de virus, aprobada para niños de seis meses de edad y mayores) y Evans Vaccines Ltd (Fluvirin, antígeno de superficie purificado, aprobado para niños de cuatro años de edad y mayores). No se fabrica ya Flushield (Wyeth-Lederle).</w:t>
      </w:r>
    </w:p>
    <w:p w14:paraId="2DD50E8D" w14:textId="77777777" w:rsidR="00093A32" w:rsidRDefault="00093A32">
      <w:pPr>
        <w:pStyle w:val="Tablecaption0"/>
        <w:numPr>
          <w:ilvl w:val="0"/>
          <w:numId w:val="77"/>
        </w:numPr>
        <w:tabs>
          <w:tab w:val="left" w:pos="41"/>
        </w:tabs>
        <w:spacing w:line="326" w:lineRule="auto"/>
        <w:ind w:left="43"/>
      </w:pPr>
      <w:r>
        <w:t>Las dosis son las recomendadas en años recientes. Conviene que los médicos consulten la circular anual de los productos para asegurar que aplican las dosis apropiadas.</w:t>
      </w:r>
    </w:p>
    <w:p w14:paraId="619BF76F" w14:textId="77777777" w:rsidR="00093A32" w:rsidRDefault="00093A32">
      <w:pPr>
        <w:pStyle w:val="Tablecaption0"/>
        <w:numPr>
          <w:ilvl w:val="0"/>
          <w:numId w:val="77"/>
        </w:numPr>
        <w:tabs>
          <w:tab w:val="left" w:pos="36"/>
        </w:tabs>
        <w:spacing w:line="326" w:lineRule="auto"/>
        <w:ind w:left="43"/>
      </w:pPr>
      <w:r>
        <w:t>En el caso de niños y adultos de mayor edad, el sitio recomendado de aplicación es el músculo deltoides. En el caso de lactantes y niños de corta edad se prefiere la cara anteroexterna del muslo.</w:t>
      </w:r>
    </w:p>
    <w:p w14:paraId="377050B7" w14:textId="77777777" w:rsidR="00093A32" w:rsidRDefault="00093A32">
      <w:pPr>
        <w:pStyle w:val="Tablecaption0"/>
        <w:numPr>
          <w:ilvl w:val="0"/>
          <w:numId w:val="77"/>
        </w:numPr>
        <w:tabs>
          <w:tab w:val="left" w:pos="41"/>
        </w:tabs>
        <w:spacing w:line="295" w:lineRule="auto"/>
        <w:ind w:left="43"/>
      </w:pPr>
      <w:r>
        <w:t>Se recomienda aplicar dos dosis con una diferencia de un mes, como mínimo, en niños que reciben por primera vez la vacuna hecha de virus de influenza inactivados. De ser posible antes de diciembre se aplicará la segunda dosis.</w:t>
      </w:r>
    </w:p>
    <w:p w14:paraId="6AD54BD4" w14:textId="77777777" w:rsidR="00093A32" w:rsidRDefault="00093A32">
      <w:pPr>
        <w:spacing w:after="439" w:line="1" w:lineRule="exact"/>
      </w:pPr>
    </w:p>
    <w:p w14:paraId="13CAEB92" w14:textId="77777777" w:rsidR="00093A32" w:rsidRDefault="00093A32">
      <w:pPr>
        <w:pStyle w:val="BodyText"/>
        <w:ind w:firstLine="0"/>
      </w:pPr>
      <w:r>
        <w:t>Estados Unidos no han sido aprobadas por la FDA para los integrantes de ese grupo de edad.</w:t>
      </w:r>
    </w:p>
    <w:p w14:paraId="6ABBF4B6" w14:textId="77777777" w:rsidR="00093A32" w:rsidRDefault="00093A32">
      <w:pPr>
        <w:pStyle w:val="Bodytext80"/>
        <w:spacing w:after="40"/>
        <w:ind w:firstLine="360"/>
        <w:jc w:val="both"/>
        <w:rPr>
          <w:sz w:val="15"/>
          <w:szCs w:val="15"/>
        </w:rPr>
      </w:pPr>
      <w:r>
        <w:rPr>
          <w:b/>
          <w:bCs/>
          <w:i/>
          <w:iCs/>
          <w:sz w:val="15"/>
          <w:szCs w:val="15"/>
        </w:rPr>
        <w:t>Consideraciones especiales, vacuna de virus inactivado de influenza</w:t>
      </w:r>
    </w:p>
    <w:p w14:paraId="47A7DE8E" w14:textId="77777777" w:rsidR="00093A32" w:rsidRDefault="00093A32">
      <w:pPr>
        <w:pStyle w:val="BodyText"/>
        <w:numPr>
          <w:ilvl w:val="0"/>
          <w:numId w:val="78"/>
        </w:numPr>
        <w:tabs>
          <w:tab w:val="left" w:pos="341"/>
        </w:tabs>
        <w:ind w:left="360" w:hanging="360"/>
      </w:pPr>
      <w:bookmarkStart w:id="362" w:name="bookmark965"/>
      <w:bookmarkEnd w:id="362"/>
      <w:r>
        <w:t>En niños que reciben inmunosupresores, la vacunación contra influenza con un nuevo antígeno vacunal origina una respuesta deficiente. La fecha óptima para vacunar a los niños con cánceres que deben ser sometidos a quimioterapia es un lapso mayor de tres semanas después de interrumpir el uso de los citotóxicos, fecha en que el número de granulocitos y linfocitos periféricos excede de 1 000 células/pl (1.0 X 10</w:t>
      </w:r>
      <w:r>
        <w:rPr>
          <w:vertAlign w:val="superscript"/>
        </w:rPr>
        <w:t>9</w:t>
      </w:r>
      <w:r>
        <w:t>/L). Los niños que han dejado de recibir quimioterapia por lo común muestran tasas altas de seroconversión.</w:t>
      </w:r>
    </w:p>
    <w:p w14:paraId="0E11D1C5" w14:textId="77777777" w:rsidR="00093A32" w:rsidRDefault="00093A32">
      <w:pPr>
        <w:pStyle w:val="BodyText"/>
        <w:numPr>
          <w:ilvl w:val="0"/>
          <w:numId w:val="78"/>
        </w:numPr>
        <w:tabs>
          <w:tab w:val="left" w:pos="341"/>
        </w:tabs>
        <w:ind w:left="360" w:hanging="360"/>
      </w:pPr>
      <w:bookmarkStart w:id="363" w:name="bookmark966"/>
      <w:bookmarkEnd w:id="363"/>
      <w:r>
        <w:t>Los niños con cardiopatías hemodinámicamente inestables constituyen un grupo grande que puede estar expuesto a un peligro alto de complicaciones de la influenza. La respuesta inmunitaria y la inocuidad de la vacuna de virus inactivados en estos niños son similares a la respuesta inmunitaria y la inocuidad en niños sanos.</w:t>
      </w:r>
    </w:p>
    <w:p w14:paraId="5CA9206C" w14:textId="77777777" w:rsidR="00093A32" w:rsidRDefault="00093A32">
      <w:pPr>
        <w:pStyle w:val="BodyText"/>
        <w:numPr>
          <w:ilvl w:val="0"/>
          <w:numId w:val="78"/>
        </w:numPr>
        <w:tabs>
          <w:tab w:val="left" w:pos="341"/>
        </w:tabs>
        <w:ind w:left="360" w:hanging="360"/>
      </w:pPr>
      <w:bookmarkStart w:id="364" w:name="bookmark967"/>
      <w:bookmarkEnd w:id="364"/>
      <w:r>
        <w:t>Los corticosteroides administrados por lapsos breves o cada 48 h al parecer ejercen efectos mínimos en la respuesta de anticuerpos en la vacuna contra la influenza. La administración prolongada de dosis altas de tales fármacos (p. ej., 2 mg o más de prednisona/kg de peso o un total de 20 mg al día) puede deteriorar la respuesta de anticuerpos. Es posible diferir temporalmente la vacunación contra influenza durante el lapso en que el niño recibe dosis altas de corticosteroides, a condición de que tal retraso no disminuya la posibilidad de vacunación antes de que comience la estación de influenza (véase después en este resumen “Administración de vacunas”).</w:t>
      </w:r>
    </w:p>
    <w:p w14:paraId="5F4DAF5E" w14:textId="77777777" w:rsidR="00093A32" w:rsidRDefault="00093A32">
      <w:pPr>
        <w:pStyle w:val="BodyText"/>
        <w:numPr>
          <w:ilvl w:val="0"/>
          <w:numId w:val="78"/>
        </w:numPr>
        <w:tabs>
          <w:tab w:val="left" w:pos="341"/>
        </w:tabs>
        <w:ind w:left="360" w:hanging="360"/>
      </w:pPr>
      <w:bookmarkStart w:id="365" w:name="bookmark968"/>
      <w:bookmarkEnd w:id="365"/>
      <w:r>
        <w:t>Los niños menores de seis meses de vida con trastornos de alto riesgo (véase después en este resumen “Recomendaciones para vacunación contra influenza”) y particularmente los lactantes con deterioro cardiopulmonar pueden estar expuestos a un riesgo similar o más alto de enfermedad grave por influenza que los niños de mayor edad. Sin embargo, en tal grupo de edad no se recomienda la aplicación de la vacuna ni profilaxia con rimantadina, amantadina o inhibidores de neuroaminidasas. Formas importantes de protección de los lactantes (véanse después en este resumen “Recomendaciones para vacunación contra influenza” e “Indicaciones para quimioprofilaxia”) son la vacunación y la quimioprofilaxia de niños de mayor edad y de adultos en contacto muy cercano con los lactantes de alto riesgo.</w:t>
      </w:r>
    </w:p>
    <w:p w14:paraId="424D84B6" w14:textId="77777777" w:rsidR="00093A32" w:rsidRDefault="00093A32">
      <w:pPr>
        <w:pStyle w:val="BodyText"/>
        <w:numPr>
          <w:ilvl w:val="0"/>
          <w:numId w:val="78"/>
        </w:numPr>
        <w:tabs>
          <w:tab w:val="left" w:pos="334"/>
        </w:tabs>
        <w:ind w:left="360" w:hanging="360"/>
      </w:pPr>
      <w:bookmarkStart w:id="366" w:name="bookmark969"/>
      <w:bookmarkEnd w:id="366"/>
      <w:r>
        <w:t>Algunos estudios indican que la vacuna contra la influenza puede disminuir la incidencia de otitis media aguda en niños atendidos en centros de asistencia pediátrica.</w:t>
      </w:r>
    </w:p>
    <w:p w14:paraId="32E9129C" w14:textId="77777777" w:rsidR="00093A32" w:rsidRDefault="00093A32">
      <w:pPr>
        <w:pStyle w:val="Bodytext80"/>
        <w:rPr>
          <w:sz w:val="15"/>
          <w:szCs w:val="15"/>
        </w:rPr>
      </w:pPr>
      <w:r>
        <w:rPr>
          <w:b/>
          <w:bCs/>
          <w:i/>
          <w:iCs/>
          <w:sz w:val="15"/>
          <w:szCs w:val="15"/>
        </w:rPr>
        <w:t>Recomendaciones para vacunación contra la influenza</w:t>
      </w:r>
      <w:r>
        <w:rPr>
          <w:b/>
          <w:bCs/>
          <w:i/>
          <w:iCs/>
          <w:sz w:val="15"/>
          <w:szCs w:val="15"/>
        </w:rPr>
        <w:footnoteReference w:id="52"/>
      </w:r>
    </w:p>
    <w:p w14:paraId="327BB201" w14:textId="77777777" w:rsidR="00093A32" w:rsidRDefault="00093A32">
      <w:pPr>
        <w:pStyle w:val="BodyText"/>
        <w:ind w:firstLine="360"/>
      </w:pPr>
      <w:r>
        <w:t>Hay que alentar la vacunación anual contra la influenza en la medida de lo posible en niños sanos de seis a 24 meses de vida y sus contactos dentro de la familia. También puede vacunarse a niños, adolescentes y adultos para aplacar el impacto de la enfermedad. Hay que conceder prioridad a grupos particularmente expuestos a altos riesgos.</w:t>
      </w:r>
    </w:p>
    <w:p w14:paraId="4E68A734" w14:textId="77777777" w:rsidR="00093A32" w:rsidRDefault="00093A32">
      <w:pPr>
        <w:pStyle w:val="BodyText"/>
        <w:ind w:firstLine="360"/>
      </w:pPr>
      <w:r>
        <w:t>Niños y adolescentes particularmente expuestos a alto riesgo. Es recomendable cada año vacunar contra la influenza durante el otoño, en el hemisferio septentrional (véase después en este resumen “Administración de vacunas”) a niños de seis meses de vida y mayores, si tienen uno o más de los siguientes factores específicos de riesgo:</w:t>
      </w:r>
    </w:p>
    <w:p w14:paraId="1FE363BD" w14:textId="77777777" w:rsidR="00093A32" w:rsidRDefault="00093A32">
      <w:pPr>
        <w:pStyle w:val="BodyText"/>
        <w:numPr>
          <w:ilvl w:val="0"/>
          <w:numId w:val="78"/>
        </w:numPr>
        <w:tabs>
          <w:tab w:val="left" w:pos="334"/>
        </w:tabs>
        <w:ind w:firstLine="0"/>
      </w:pPr>
      <w:bookmarkStart w:id="367" w:name="bookmark970"/>
      <w:bookmarkEnd w:id="367"/>
      <w:r>
        <w:t>Asma u otras enfermedades pulmonares crónicas, como la fibrosis quística</w:t>
      </w:r>
    </w:p>
    <w:p w14:paraId="71760813" w14:textId="77777777" w:rsidR="00093A32" w:rsidRDefault="00093A32">
      <w:pPr>
        <w:pStyle w:val="BodyText"/>
        <w:numPr>
          <w:ilvl w:val="0"/>
          <w:numId w:val="78"/>
        </w:numPr>
        <w:tabs>
          <w:tab w:val="left" w:pos="334"/>
        </w:tabs>
        <w:ind w:firstLine="0"/>
      </w:pPr>
      <w:bookmarkStart w:id="368" w:name="bookmark971"/>
      <w:bookmarkEnd w:id="368"/>
      <w:r>
        <w:t>Cardiopatía hemodinámicamente importante</w:t>
      </w:r>
    </w:p>
    <w:p w14:paraId="5820A681" w14:textId="77777777" w:rsidR="00093A32" w:rsidRDefault="00093A32">
      <w:pPr>
        <w:pStyle w:val="BodyText"/>
        <w:numPr>
          <w:ilvl w:val="0"/>
          <w:numId w:val="78"/>
        </w:numPr>
        <w:tabs>
          <w:tab w:val="left" w:pos="334"/>
        </w:tabs>
        <w:ind w:left="360" w:hanging="360"/>
      </w:pPr>
      <w:bookmarkStart w:id="369" w:name="bookmark972"/>
      <w:bookmarkEnd w:id="369"/>
      <w:r>
        <w:t>Trastornos o tratamiento inmunosupresor (véase antes en este resumen “Consideraciones especiales”)</w:t>
      </w:r>
    </w:p>
    <w:p w14:paraId="77A08863" w14:textId="77777777" w:rsidR="00093A32" w:rsidRDefault="00093A32">
      <w:pPr>
        <w:pStyle w:val="BodyText"/>
        <w:numPr>
          <w:ilvl w:val="0"/>
          <w:numId w:val="78"/>
        </w:numPr>
        <w:tabs>
          <w:tab w:val="left" w:pos="334"/>
        </w:tabs>
        <w:ind w:left="360" w:hanging="360"/>
      </w:pPr>
      <w:bookmarkStart w:id="370" w:name="bookmark973"/>
      <w:bookmarkEnd w:id="370"/>
      <w:r>
        <w:t>Infección por virus de inmunodeficiencia humana (VIH) (véase “Humana, infección por virus de inmunodeficiencia” en esta sección)</w:t>
      </w:r>
    </w:p>
    <w:p w14:paraId="649D42E3" w14:textId="77777777" w:rsidR="00093A32" w:rsidRDefault="00093A32">
      <w:pPr>
        <w:pStyle w:val="BodyText"/>
        <w:numPr>
          <w:ilvl w:val="0"/>
          <w:numId w:val="78"/>
        </w:numPr>
        <w:tabs>
          <w:tab w:val="left" w:pos="334"/>
        </w:tabs>
        <w:ind w:firstLine="0"/>
      </w:pPr>
      <w:bookmarkStart w:id="371" w:name="bookmark974"/>
      <w:bookmarkEnd w:id="371"/>
      <w:r>
        <w:t>Anemia drepanocítica y otras hemoglobinopatías</w:t>
      </w:r>
    </w:p>
    <w:p w14:paraId="001BE14D" w14:textId="77777777" w:rsidR="00093A32" w:rsidRDefault="00093A32">
      <w:pPr>
        <w:pStyle w:val="BodyText"/>
        <w:numPr>
          <w:ilvl w:val="0"/>
          <w:numId w:val="78"/>
        </w:numPr>
        <w:tabs>
          <w:tab w:val="left" w:pos="334"/>
        </w:tabs>
        <w:ind w:left="360" w:hanging="360"/>
      </w:pPr>
      <w:bookmarkStart w:id="372" w:name="bookmark975"/>
      <w:bookmarkEnd w:id="372"/>
      <w:r>
        <w:t>Enfermedades que obligan a utilizar salicilatos por largo tiempo, como artritis reumatoide o síndrome de Kawasaki, que pueden agravar el peligro de que surja síndrome de Reye después de la influenza</w:t>
      </w:r>
    </w:p>
    <w:p w14:paraId="489EEA7D" w14:textId="77777777" w:rsidR="00093A32" w:rsidRDefault="00093A32">
      <w:pPr>
        <w:pStyle w:val="BodyText"/>
        <w:numPr>
          <w:ilvl w:val="0"/>
          <w:numId w:val="78"/>
        </w:numPr>
        <w:tabs>
          <w:tab w:val="left" w:pos="334"/>
        </w:tabs>
        <w:ind w:firstLine="0"/>
      </w:pPr>
      <w:bookmarkStart w:id="373" w:name="bookmark976"/>
      <w:bookmarkEnd w:id="373"/>
      <w:r>
        <w:t>Disfunción crónica renal</w:t>
      </w:r>
    </w:p>
    <w:p w14:paraId="13969B00" w14:textId="77777777" w:rsidR="00093A32" w:rsidRDefault="00093A32">
      <w:pPr>
        <w:pStyle w:val="BodyText"/>
        <w:numPr>
          <w:ilvl w:val="0"/>
          <w:numId w:val="78"/>
        </w:numPr>
        <w:tabs>
          <w:tab w:val="left" w:pos="334"/>
        </w:tabs>
        <w:ind w:firstLine="0"/>
      </w:pPr>
      <w:bookmarkStart w:id="374" w:name="bookmark977"/>
      <w:bookmarkEnd w:id="374"/>
      <w:r>
        <w:t>Metabolicopatías crónicas, incluida la diabetes mellitus</w:t>
      </w:r>
    </w:p>
    <w:p w14:paraId="13C50BD8" w14:textId="77777777" w:rsidR="00093A32" w:rsidRDefault="00093A32">
      <w:pPr>
        <w:pStyle w:val="BodyText"/>
        <w:spacing w:line="276" w:lineRule="auto"/>
        <w:ind w:firstLine="360"/>
      </w:pPr>
      <w:r>
        <w:rPr>
          <w:rFonts w:ascii="Arial" w:eastAsia="Arial" w:hAnsi="Arial" w:cs="Arial"/>
          <w:b/>
          <w:bCs/>
          <w:i/>
          <w:iCs/>
          <w:sz w:val="15"/>
          <w:szCs w:val="15"/>
        </w:rPr>
        <w:t>Embarazo.</w:t>
      </w:r>
      <w:r>
        <w:t xml:space="preserve"> Toda mujer que esté en el segundo o tercer trimestre de la gestación durante la estación de influenza debe recibir la vacuna de virus inactivados en el otoño, porque el embarazo agrava el peligro de complicaciones y hospitalización por la enfermedad. La vacuna actual de aplicación intramuscular hecha de virus inactivados no incluye virus vivos, y sólo en raras ocasiones origina reacciones sistémicas graves, por lo que algunos expertos piensan que es inocua en cualquier etapa del embarazo. Sin embargo, otros prefieren que la vacunación se haga sólo en el segundo y el tercer trimestres. Es común en el primer trimestre el aborto espontáneo, razón por la cual por lo regular se evitan las exposiciones innecesarias a antígenos en tal periodo.</w:t>
      </w:r>
    </w:p>
    <w:p w14:paraId="096423D4" w14:textId="77777777" w:rsidR="00093A32" w:rsidRDefault="00093A32">
      <w:pPr>
        <w:pStyle w:val="BodyText"/>
        <w:spacing w:line="276" w:lineRule="auto"/>
        <w:ind w:firstLine="360"/>
      </w:pPr>
      <w:r>
        <w:rPr>
          <w:rFonts w:ascii="Arial" w:eastAsia="Arial" w:hAnsi="Arial" w:cs="Arial"/>
          <w:b/>
          <w:bCs/>
          <w:i/>
          <w:iCs/>
          <w:sz w:val="15"/>
          <w:szCs w:val="15"/>
        </w:rPr>
        <w:t>Contactos cercanos de pacientes de alto riesgo.</w:t>
      </w:r>
      <w:r>
        <w:t xml:space="preserve"> Formas importantes de protección de esos niños son la vacunación y la quimioprofilaxia de sujetos que están en contacto muy cercano con niños con enfermedades de alto riesgo y los que tienen menos de 24 meses de vida. Además, la vacunación de las embarazadas puede beneficiar a su nonato porque los anticuerpos transmitidos por vía transplacentaria pueden proteger al pequeño de la infección por virus de influenza A. Se recomienda la vacunación en estos casos:</w:t>
      </w:r>
    </w:p>
    <w:p w14:paraId="61BF44FE" w14:textId="77777777" w:rsidR="00093A32" w:rsidRDefault="00093A32">
      <w:pPr>
        <w:pStyle w:val="BodyText"/>
        <w:numPr>
          <w:ilvl w:val="0"/>
          <w:numId w:val="78"/>
        </w:numPr>
        <w:tabs>
          <w:tab w:val="left" w:pos="337"/>
        </w:tabs>
        <w:ind w:left="360" w:hanging="360"/>
      </w:pPr>
      <w:bookmarkStart w:id="375" w:name="bookmark978"/>
      <w:bookmarkEnd w:id="375"/>
      <w:r>
        <w:t>Todos los profesionales asistenciales en contacto con niños en hospitales, instituciones de atención ambulatoria e instituciones de enfermos crónicos</w:t>
      </w:r>
    </w:p>
    <w:p w14:paraId="01C6C155" w14:textId="77777777" w:rsidR="00093A32" w:rsidRDefault="00093A32">
      <w:pPr>
        <w:pStyle w:val="BodyText"/>
        <w:numPr>
          <w:ilvl w:val="0"/>
          <w:numId w:val="78"/>
        </w:numPr>
        <w:tabs>
          <w:tab w:val="left" w:pos="337"/>
        </w:tabs>
        <w:ind w:left="360" w:hanging="360"/>
      </w:pPr>
      <w:bookmarkStart w:id="376" w:name="bookmark979"/>
      <w:bookmarkEnd w:id="376"/>
      <w:r>
        <w:t>Contactos del círculo familiar, que incluyen hermanos y cuidadores primarios, de niños de alto riesgo</w:t>
      </w:r>
    </w:p>
    <w:p w14:paraId="40F3936D" w14:textId="77777777" w:rsidR="00093A32" w:rsidRDefault="00093A32">
      <w:pPr>
        <w:pStyle w:val="BodyText"/>
        <w:numPr>
          <w:ilvl w:val="0"/>
          <w:numId w:val="78"/>
        </w:numPr>
        <w:tabs>
          <w:tab w:val="left" w:pos="337"/>
        </w:tabs>
        <w:ind w:left="360" w:hanging="360"/>
      </w:pPr>
      <w:bookmarkStart w:id="377" w:name="bookmark980"/>
      <w:bookmarkEnd w:id="377"/>
      <w:r>
        <w:t>Niños que son miembros de círculos familiares en que hay adultos de alto riesgo, como serían los menores con infección por VIH sintomática</w:t>
      </w:r>
    </w:p>
    <w:p w14:paraId="5B6B8342" w14:textId="77777777" w:rsidR="00093A32" w:rsidRDefault="00093A32">
      <w:pPr>
        <w:pStyle w:val="BodyText"/>
        <w:numPr>
          <w:ilvl w:val="0"/>
          <w:numId w:val="78"/>
        </w:numPr>
        <w:tabs>
          <w:tab w:val="left" w:pos="337"/>
        </w:tabs>
        <w:ind w:left="360" w:hanging="360"/>
      </w:pPr>
      <w:bookmarkStart w:id="378" w:name="bookmark981"/>
      <w:bookmarkEnd w:id="378"/>
      <w:r>
        <w:t>Encargados de la atención familiar de niños menores de 24 meses y de grupos de niños y adolescentes de alto riesgo</w:t>
      </w:r>
    </w:p>
    <w:p w14:paraId="46975078" w14:textId="77777777" w:rsidR="00093A32" w:rsidRDefault="00093A32">
      <w:pPr>
        <w:pStyle w:val="BodyText"/>
        <w:spacing w:line="276" w:lineRule="auto"/>
        <w:ind w:firstLine="360"/>
      </w:pPr>
      <w:r>
        <w:rPr>
          <w:rFonts w:ascii="Arial" w:eastAsia="Arial" w:hAnsi="Arial" w:cs="Arial"/>
          <w:b/>
          <w:bCs/>
          <w:i/>
          <w:iCs/>
          <w:sz w:val="15"/>
          <w:szCs w:val="15"/>
        </w:rPr>
        <w:t>Viajes internacionales.</w:t>
      </w:r>
      <w:r>
        <w:t xml:space="preserve"> Las personas que viajan a otras naciones y en particular zonas con brotes de influenza, o que pueden surgir, deben ser sometidas a vacunación. La decisión de vacunar dependerá del destino del viaje, duración del mismo, peligro de contagio de influenza (como la estación del año y los antecedentes de vacunación) y la posibilidad de que surja enfermedad grave. En zonas templadas de los hemisferios meridional y septentrional, los viajeros también pueden estar expuestos a influenza durante el verano, especialmente si viajan como parte de un gran grupo turístico organizado que incluye individuos de zonas del mundo en que pudieran estar circulando los virus de la influenza.</w:t>
      </w:r>
    </w:p>
    <w:p w14:paraId="35F6EF19" w14:textId="77777777" w:rsidR="00093A32" w:rsidRDefault="00093A32">
      <w:pPr>
        <w:pStyle w:val="BodyText"/>
        <w:spacing w:line="276" w:lineRule="auto"/>
        <w:ind w:firstLine="360"/>
      </w:pPr>
      <w:r>
        <w:rPr>
          <w:rFonts w:ascii="Arial" w:eastAsia="Arial" w:hAnsi="Arial" w:cs="Arial"/>
          <w:b/>
          <w:bCs/>
          <w:i/>
          <w:iCs/>
          <w:sz w:val="15"/>
          <w:szCs w:val="15"/>
        </w:rPr>
        <w:t>Otros niños.</w:t>
      </w:r>
      <w:r>
        <w:t xml:space="preserve"> Hay que pensar en vacunar a todo niño o adolescente con un cuadro primario que merme su resistencia a la influenza, inclusive la corta edad, y a grupos de personas cuyo contacto muy cercano facilita la transmisión y la propagación rápida de infección que podría alterar las actividades diarias. Los grupos en cuestión incluyen estudiantes de universidades, escuelas y otras instituciones educativas, particularmente aquellos que comparten dormitorios o que son miembros de grupos deportivos y personas que viven en instituciones de cuidado de largo plazo. La vacuna hecha de virus inactivados puede administrarse también a cualquier niño o adolescente inmunocompetente que desea disminuir las posibilidades de infectarse con influenza. Puede ser grande la cifra de complicaciones por la enfermedad incluso en niños sanos.</w:t>
      </w:r>
    </w:p>
    <w:p w14:paraId="5D3F7450" w14:textId="77777777" w:rsidR="00093A32" w:rsidRDefault="00093A32">
      <w:pPr>
        <w:pStyle w:val="BodyText"/>
        <w:spacing w:line="288" w:lineRule="auto"/>
        <w:ind w:firstLine="360"/>
      </w:pPr>
      <w:r>
        <w:rPr>
          <w:rFonts w:ascii="Arial" w:eastAsia="Arial" w:hAnsi="Arial" w:cs="Arial"/>
          <w:b/>
          <w:bCs/>
          <w:i/>
          <w:iCs/>
          <w:sz w:val="15"/>
          <w:szCs w:val="15"/>
        </w:rPr>
        <w:t>Amamantamiento.</w:t>
      </w:r>
      <w:r>
        <w:t xml:space="preserve"> La vacuna de virus inactivado de influenza no tiene una acción adversa en la inocuidad del amamantamiento, para la madre o su hijo; por esta razón, alimentar al seno al pequeño no constituye contraindicación para la vacunación.</w:t>
      </w:r>
    </w:p>
    <w:p w14:paraId="665DFFEB" w14:textId="77777777" w:rsidR="00093A32" w:rsidRDefault="00093A32">
      <w:pPr>
        <w:pStyle w:val="BodyText"/>
        <w:spacing w:line="276" w:lineRule="auto"/>
        <w:ind w:firstLine="360"/>
      </w:pPr>
      <w:r>
        <w:rPr>
          <w:rFonts w:ascii="Arial" w:eastAsia="Arial" w:hAnsi="Arial" w:cs="Arial"/>
          <w:b/>
          <w:bCs/>
          <w:i/>
          <w:iCs/>
          <w:sz w:val="15"/>
          <w:szCs w:val="15"/>
        </w:rPr>
        <w:t>Aplicación de la vacuna.</w:t>
      </w:r>
      <w:r>
        <w:t xml:space="preserve"> La vacuna de virus inactivados debe administrarse en el otoño de cada año antes de que comience la estación de influenza, en la fecha especificada en las recomendaciones anuales del Comité Consultor de Prácticas de Vacunación de los CDC. Las fechas usuales recomendadas van del comienzo de octubre a diciembre. Sin embargo, las personas pueden ser vacunadas en septiembre, mes en que se dispone de la vacuna para la siguiente estación de influenza. Como dato importante habrá que proseguir la campaña de vacunación incluso después de diciembre si continúa la actividad de la influenza. En el cuadro 3-38 se señalan las dosis y el calendario recomendado de vacunación en diversos grupos de edad.</w:t>
      </w:r>
    </w:p>
    <w:p w14:paraId="3F2FD8ED" w14:textId="77777777" w:rsidR="00093A32" w:rsidRDefault="00093A32">
      <w:pPr>
        <w:pStyle w:val="BodyText"/>
        <w:ind w:firstLine="360"/>
      </w:pPr>
      <w:r>
        <w:t>Es recomendable la vacunación anual porque la inmunidad puede disminuir en los 12 meses siguientes a la vacunación y porque en muchos años, cuando menos uno de los antígenos de la vacuna cambia para así igualar a los cambios antigénicos constantes en las cepas circulantes.</w:t>
      </w:r>
    </w:p>
    <w:p w14:paraId="29A1CDEC" w14:textId="77777777" w:rsidR="00093A32" w:rsidRDefault="00093A32">
      <w:pPr>
        <w:pStyle w:val="BodyText"/>
        <w:ind w:firstLine="360"/>
      </w:pPr>
      <w:r>
        <w:t>La vacuna de virus inactivados puede administrarse simultáneamente (pero en un sitio independiente y con una jeringuilla distinta) con las demás vacunaciones recomendadas para los menores.</w:t>
      </w:r>
    </w:p>
    <w:p w14:paraId="3F6597B3" w14:textId="77777777" w:rsidR="00093A32" w:rsidRDefault="00093A32">
      <w:pPr>
        <w:pStyle w:val="BodyText"/>
        <w:spacing w:line="298" w:lineRule="auto"/>
        <w:ind w:firstLine="360"/>
      </w:pPr>
      <w:r>
        <w:rPr>
          <w:rFonts w:ascii="Arial" w:eastAsia="Arial" w:hAnsi="Arial" w:cs="Arial"/>
          <w:b/>
          <w:bCs/>
          <w:i/>
          <w:iCs/>
          <w:sz w:val="15"/>
          <w:szCs w:val="15"/>
        </w:rPr>
        <w:t>Reacciones, efectos adversos y contraindicaciones.</w:t>
      </w:r>
      <w:r>
        <w:t xml:space="preserve"> La vacuna hecha de virus inactivados contiene sólo este tipo de partículas no infectantes y no causa influenza. En niños menores de 13 años rara vez surgen reacciones febriles. La fiebre aparece más bien 6 a 24 h después de la vacunación en niños menores de 24 meses de vida. Las reacciones locales son raras en niños que tienen menos de 13 años de edad. En ese grupo de edad y en niños mayores, surgen reacciones locales en alrededor de 10% de quienes reciben la vacuna.</w:t>
      </w:r>
    </w:p>
    <w:p w14:paraId="37797403" w14:textId="77777777" w:rsidR="00093A32" w:rsidRDefault="00093A32">
      <w:pPr>
        <w:pStyle w:val="BodyText"/>
        <w:ind w:firstLine="360"/>
      </w:pPr>
      <w:r>
        <w:t xml:space="preserve">En algunos años la vacunación se ha vinculado con una frecuencia levemente mayor de síndrome de Guillain-Barré </w:t>
      </w:r>
      <w:r>
        <w:rPr>
          <w:i/>
          <w:iCs/>
        </w:rPr>
        <w:t>(</w:t>
      </w:r>
      <w:r>
        <w:rPr>
          <w:rFonts w:ascii="Times New Roman" w:eastAsia="Times New Roman" w:hAnsi="Times New Roman" w:cs="Times New Roman"/>
          <w:i/>
          <w:iCs/>
          <w:sz w:val="16"/>
          <w:szCs w:val="16"/>
        </w:rPr>
        <w:t>Guillain-Barrésyndrome</w:t>
      </w:r>
      <w:r>
        <w:rPr>
          <w:i/>
          <w:iCs/>
        </w:rPr>
        <w:t>,</w:t>
      </w:r>
      <w:r>
        <w:t xml:space="preserve"> GBS). Es difícil estimar el riesgo preciso de que surja un cuadro tan raro como ése, pero un estudio hecho de 1992 a 1994 indicó que puede haber habido un incremento pequeño del número de casos de GBS en adultos vacunados e inmunizados; ello representó una cifra de exceso de un caso de GBS por millón de personas vacunadas. Incluso si GBS formara un efecto adverso con relación causal, el riesgo pequeño calculado del síndrome en cuestión (GBS) es mucho menor que el de la influenza grave que pudo haber sido evitada por vacunación. La vacunación de niños con asma o fibrosis quística con las vacunas actuales de virus inactivados de influenza no se acompaña de un incremento detectable de las reacciones adversas ni de las exacerbaciones.</w:t>
      </w:r>
    </w:p>
    <w:p w14:paraId="49646397" w14:textId="77777777" w:rsidR="00093A32" w:rsidRDefault="00093A32">
      <w:pPr>
        <w:pStyle w:val="BodyText"/>
        <w:ind w:firstLine="360"/>
      </w:pPr>
      <w:r>
        <w:t>Los menores que han presentado una grave reacción anafiláctica a los embriones de pollo o proteína de huevos u otros componentes de la vacuna de virus inactivados pueden mostrar en raras ocasiones un tipo similar de reacción a la vacuna mencionada. La vacuna así preparada (virus inactivados) se ha administrado inocuamente a los niños en cuestión después de pruebas cutáneas y, si así conviene, después de desensibilización pero, en términos generales, será mejor no aplicarles la vacuna de virus inactivados ante el peligro de reacciones, la posible necesidad de inmunización cada año y el hecho de contar con quimioprofilaxia contra la influenza.</w:t>
      </w:r>
    </w:p>
    <w:p w14:paraId="2B4D8328" w14:textId="77777777" w:rsidR="00093A32" w:rsidRDefault="00093A32">
      <w:pPr>
        <w:pStyle w:val="Bodytext80"/>
        <w:rPr>
          <w:sz w:val="15"/>
          <w:szCs w:val="15"/>
        </w:rPr>
      </w:pPr>
      <w:r>
        <w:rPr>
          <w:b/>
          <w:bCs/>
          <w:i/>
          <w:iCs/>
          <w:sz w:val="15"/>
          <w:szCs w:val="15"/>
        </w:rPr>
        <w:t>Quimioprofilaxia: Otro método para proteger a los niños de la influenza</w:t>
      </w:r>
    </w:p>
    <w:p w14:paraId="57AD4D34" w14:textId="77777777" w:rsidR="00093A32" w:rsidRDefault="00093A32">
      <w:pPr>
        <w:pStyle w:val="BodyText"/>
        <w:ind w:firstLine="0"/>
      </w:pPr>
      <w:r>
        <w:t>Es importante no considerar que la quimioprofilaxia sustituye a la vacunación en casi todos los casos; sin embargo, los fármacos aprobados son coadyuvantes importantes de la vacuna de virus inactivados para erradicar y evitar la influenza clínica. En Estados Unidos se ha aprobado el uso de amantadina y rimantadina para la profilaxia de la influenza A en niños que tienen más de un año de vida. Los estudios de profilaxia contra la infección por influenza A en adultos habían mostrado una eficacia de 70 a 90% para evitar la enfermedad clínica, pero pueden surgir infecciones asintomáticas. Los estudios en niños han indicado un beneficio similar, como forma de frenar la propagación de la influenza A en niños dentro de instituciones de cuidado a largo plazo y miembros de la familia y en hospitales pediátricos. La dosis recomendada de rimantadina y amantadina para profilaxia es igual a la que se usa para tratamiento, y se incluye en el cuadro 4-8. Se ha aprobado el uso de oseltamivir para profilaxia en niños de 13 años y mayores, pero no se ha aprobado el uso de zanamivir para tal finalidad.</w:t>
      </w:r>
    </w:p>
    <w:p w14:paraId="2E779C28" w14:textId="77777777" w:rsidR="00093A32" w:rsidRDefault="00093A32">
      <w:pPr>
        <w:pStyle w:val="Bodytext80"/>
        <w:rPr>
          <w:sz w:val="15"/>
          <w:szCs w:val="15"/>
        </w:rPr>
      </w:pPr>
      <w:r>
        <w:rPr>
          <w:b/>
          <w:bCs/>
          <w:i/>
          <w:iCs/>
          <w:sz w:val="15"/>
          <w:szCs w:val="15"/>
        </w:rPr>
        <w:t>Indicaciones para la quimioprofilaxia</w:t>
      </w:r>
    </w:p>
    <w:p w14:paraId="3DAE8352" w14:textId="77777777" w:rsidR="00093A32" w:rsidRDefault="00093A32">
      <w:pPr>
        <w:pStyle w:val="BodyText"/>
        <w:ind w:firstLine="0"/>
      </w:pPr>
      <w:r>
        <w:t>Cabe pensar en el uso de quimioprofilaxia en las situaciones siguientes.</w:t>
      </w:r>
    </w:p>
    <w:p w14:paraId="6AF0C3FE" w14:textId="77777777" w:rsidR="00093A32" w:rsidRDefault="00093A32">
      <w:pPr>
        <w:pStyle w:val="BodyText"/>
        <w:numPr>
          <w:ilvl w:val="0"/>
          <w:numId w:val="78"/>
        </w:numPr>
        <w:tabs>
          <w:tab w:val="left" w:pos="341"/>
        </w:tabs>
        <w:ind w:left="360" w:hanging="360"/>
      </w:pPr>
      <w:bookmarkStart w:id="379" w:name="bookmark982"/>
      <w:bookmarkEnd w:id="379"/>
      <w:r>
        <w:t>Protección de niños de alto riesgo en las dos semanas después de vacunación en tanto está en desarrollo la respuesta inmunitaria o si el niño fue vacunado después de corroborar la circulación del virus de influenza (no se recomienda la quimioprofilaxia si la vacunación se hace antes de que hayan comenzado a circular los virus de influenza).</w:t>
      </w:r>
    </w:p>
    <w:p w14:paraId="319BD3FF" w14:textId="77777777" w:rsidR="00093A32" w:rsidRDefault="00093A32">
      <w:pPr>
        <w:pStyle w:val="BodyText"/>
        <w:numPr>
          <w:ilvl w:val="0"/>
          <w:numId w:val="78"/>
        </w:numPr>
        <w:tabs>
          <w:tab w:val="left" w:pos="341"/>
        </w:tabs>
        <w:ind w:left="360" w:hanging="360"/>
        <w:sectPr w:rsidR="00093A32" w:rsidSect="00093A32">
          <w:headerReference w:type="even" r:id="rId453"/>
          <w:headerReference w:type="default" r:id="rId454"/>
          <w:footerReference w:type="even" r:id="rId455"/>
          <w:footerReference w:type="default" r:id="rId456"/>
          <w:footnotePr>
            <w:numFmt w:val="chicago"/>
          </w:footnotePr>
          <w:pgSz w:w="8501" w:h="13022"/>
          <w:pgMar w:top="710" w:right="796" w:bottom="428" w:left="783" w:header="0" w:footer="3" w:gutter="0"/>
          <w:pgNumType w:start="508"/>
          <w:cols w:space="720"/>
          <w:noEndnote/>
          <w:docGrid w:linePitch="360"/>
          <w15:footnoteColumns w:val="1"/>
        </w:sectPr>
      </w:pPr>
      <w:bookmarkStart w:id="380" w:name="bookmark983"/>
      <w:bookmarkEnd w:id="380"/>
      <w:r>
        <w:t>Protección de menores con mayor peligro de mostrar infección o complicaciones graves, como serían niños de alto riesgo en los que está contraindicada la vacuna (como serían los que tienen el antecedente de una reacción anafiláctica a proteína de huevos).</w:t>
      </w:r>
    </w:p>
    <w:p w14:paraId="4220A6B1" w14:textId="77777777" w:rsidR="00093A32" w:rsidRDefault="00093A32">
      <w:pPr>
        <w:pStyle w:val="BodyText"/>
        <w:numPr>
          <w:ilvl w:val="0"/>
          <w:numId w:val="78"/>
        </w:numPr>
        <w:tabs>
          <w:tab w:val="left" w:pos="341"/>
        </w:tabs>
        <w:ind w:firstLine="0"/>
      </w:pPr>
      <w:bookmarkStart w:id="381" w:name="bookmark984"/>
      <w:bookmarkEnd w:id="381"/>
      <w:r>
        <w:t>Protección de contactos cercanos no vacunados, de niños de alto riesgo.</w:t>
      </w:r>
    </w:p>
    <w:p w14:paraId="79A7B1F5" w14:textId="77777777" w:rsidR="00093A32" w:rsidRDefault="00093A32">
      <w:pPr>
        <w:pStyle w:val="BodyText"/>
        <w:numPr>
          <w:ilvl w:val="0"/>
          <w:numId w:val="78"/>
        </w:numPr>
        <w:tabs>
          <w:tab w:val="left" w:pos="341"/>
        </w:tabs>
        <w:ind w:firstLine="0"/>
      </w:pPr>
      <w:bookmarkStart w:id="382" w:name="bookmark985"/>
      <w:bookmarkEnd w:id="382"/>
      <w:r>
        <w:t>Protección de niños inmunodeficientes que quizá no reaccionen a la vacuna.</w:t>
      </w:r>
    </w:p>
    <w:p w14:paraId="31630628" w14:textId="77777777" w:rsidR="00093A32" w:rsidRDefault="00093A32">
      <w:pPr>
        <w:pStyle w:val="BodyText"/>
        <w:numPr>
          <w:ilvl w:val="0"/>
          <w:numId w:val="78"/>
        </w:numPr>
        <w:tabs>
          <w:tab w:val="left" w:pos="341"/>
        </w:tabs>
        <w:ind w:left="360" w:hanging="360"/>
      </w:pPr>
      <w:bookmarkStart w:id="383" w:name="bookmark986"/>
      <w:bookmarkEnd w:id="383"/>
      <w:r>
        <w:t>Control de brotes de influenza en entornos cerrados, como sería la institución que alberga a niños de alto riesgo.</w:t>
      </w:r>
    </w:p>
    <w:p w14:paraId="3EEFF3A3" w14:textId="77777777" w:rsidR="00093A32" w:rsidRDefault="00093A32">
      <w:pPr>
        <w:pStyle w:val="BodyText"/>
        <w:numPr>
          <w:ilvl w:val="0"/>
          <w:numId w:val="78"/>
        </w:numPr>
        <w:tabs>
          <w:tab w:val="left" w:pos="341"/>
        </w:tabs>
        <w:ind w:left="360" w:hanging="360"/>
      </w:pPr>
      <w:bookmarkStart w:id="384" w:name="bookmark987"/>
      <w:bookmarkEnd w:id="384"/>
      <w:r>
        <w:t>Protección de personas vacunadas de alto riesgo si la cepa de la vacuna casi no iguala a las cepas de influenza circulantes.</w:t>
      </w:r>
    </w:p>
    <w:p w14:paraId="16629C85" w14:textId="77777777" w:rsidR="00093A32" w:rsidRDefault="00093A32">
      <w:pPr>
        <w:pStyle w:val="BodyText"/>
        <w:ind w:firstLine="360"/>
      </w:pPr>
      <w:r>
        <w:t>La quimioprofilaxia de personas vacunadas no interfiere en la respuesta inmunitaria a la vacuna de virus inactivados y puede brindar protección adicional.</w:t>
      </w:r>
    </w:p>
    <w:p w14:paraId="601B47CC" w14:textId="77777777" w:rsidR="00093A32" w:rsidRDefault="00093A32">
      <w:pPr>
        <w:pStyle w:val="BodyText"/>
        <w:spacing w:after="100"/>
        <w:ind w:firstLine="360"/>
      </w:pPr>
      <w:r>
        <w:t xml:space="preserve">Es posible obtener información sobre vigilancia de la influenza en el Sistema de Información de Voz de los CDC (actualización de influenza, 888-232-3228) o en la página </w:t>
      </w:r>
      <w:hyperlink r:id="rId457" w:history="1">
        <w:r>
          <w:t>www.cdc.gov/ncidod/diseases/flu/weekly.htm</w:t>
        </w:r>
      </w:hyperlink>
      <w:r>
        <w:t>.</w:t>
      </w:r>
    </w:p>
    <w:p w14:paraId="119E40C4" w14:textId="77777777" w:rsidR="00093A32" w:rsidRDefault="00093A32">
      <w:pPr>
        <w:pStyle w:val="Bodytext70"/>
        <w:spacing w:after="0"/>
      </w:pPr>
      <w:r>
        <w:t>Isosporiasis</w:t>
      </w:r>
    </w:p>
    <w:p w14:paraId="7F276901" w14:textId="77777777" w:rsidR="00093A32" w:rsidRDefault="00093A32">
      <w:pPr>
        <w:pStyle w:val="Bodytext80"/>
        <w:rPr>
          <w:sz w:val="15"/>
          <w:szCs w:val="15"/>
        </w:rPr>
      </w:pPr>
      <w:r>
        <w:rPr>
          <w:b/>
          <w:bCs/>
          <w:i/>
          <w:iCs/>
          <w:sz w:val="15"/>
          <w:szCs w:val="15"/>
        </w:rPr>
        <w:t>(Isospora belli)</w:t>
      </w:r>
    </w:p>
    <w:p w14:paraId="25F44858"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Diarrea acuosa, fétida, duradera y tardía, como síntoma más común. Las manifestaciones son similares a las causadas por </w:t>
      </w:r>
      <w:r>
        <w:rPr>
          <w:rFonts w:ascii="Times New Roman" w:eastAsia="Times New Roman" w:hAnsi="Times New Roman" w:cs="Times New Roman"/>
          <w:i/>
          <w:iCs/>
          <w:sz w:val="16"/>
          <w:szCs w:val="16"/>
        </w:rPr>
        <w:t>Cryptosporidium</w:t>
      </w:r>
      <w:r>
        <w:t xml:space="preserve"> y </w:t>
      </w:r>
      <w:r>
        <w:rPr>
          <w:rFonts w:ascii="Times New Roman" w:eastAsia="Times New Roman" w:hAnsi="Times New Roman" w:cs="Times New Roman"/>
          <w:i/>
          <w:iCs/>
          <w:sz w:val="16"/>
          <w:szCs w:val="16"/>
        </w:rPr>
        <w:t>Cyclospora</w:t>
      </w:r>
      <w:r>
        <w:t xml:space="preserve"> e incluyen dolor abdominal, anorexia y pérdida ponderal. Se han señalado la aparición de fiebre, malestar general, vómitos y cefaleas. La intensidad de la infección varía desde un cuadro que cede por sí solo en hospedadores inmunocompetentes hasta un trastorno letal en pacientes inmunodeficientes, particularmente los que tienen infección por virus de inmunodeficiencia humana (VIH).</w:t>
      </w:r>
    </w:p>
    <w:p w14:paraId="278830E9"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Isospora belli,</w:t>
      </w:r>
      <w:r>
        <w:t xml:space="preserve"> protozoo coccidio esporógeno.</w:t>
      </w:r>
    </w:p>
    <w:p w14:paraId="2EC9256D"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Los seres humanos son los únicos hospedadores sabidos de </w:t>
      </w:r>
      <w:r>
        <w:rPr>
          <w:rFonts w:ascii="Times New Roman" w:eastAsia="Times New Roman" w:hAnsi="Times New Roman" w:cs="Times New Roman"/>
          <w:i/>
          <w:iCs/>
          <w:sz w:val="16"/>
          <w:szCs w:val="16"/>
        </w:rPr>
        <w:t>I. belli.</w:t>
      </w:r>
      <w:r>
        <w:t xml:space="preserve"> Se desconoce la frecuencia de infección asintomática por el parásito. La infección es más frecuente en climas tropicales y subtropicales y en zonas con deficiencias sanitarias. La infección surge por la vía fecal-oral y se ha vinculado con la ingestión de alimentos y agua contaminados. Se ha dicho que </w:t>
      </w:r>
      <w:r>
        <w:rPr>
          <w:rFonts w:ascii="Times New Roman" w:eastAsia="Times New Roman" w:hAnsi="Times New Roman" w:cs="Times New Roman"/>
          <w:i/>
          <w:iCs/>
          <w:sz w:val="16"/>
          <w:szCs w:val="16"/>
        </w:rPr>
        <w:t>Isospora belli</w:t>
      </w:r>
      <w:r>
        <w:t xml:space="preserve"> es una de las causas de diarrea de los viajeros en personas que acuden a zonas endémicas y de brotes dentro de instituciones de cuidado a largo plazo. Los oocistos son expulsados en forma no esporulada y necesitan exponerse al oxigeno y a temperaturas menores de 37°C antes de tornarse infectantes. Ellos son resistentes a casi todos los desinfectantes y pueden ser viables durante meses en un entorno frío y húmedo.</w:t>
      </w:r>
    </w:p>
    <w:p w14:paraId="75AD84B6" w14:textId="77777777" w:rsidR="00093A32" w:rsidRDefault="00093A32">
      <w:pPr>
        <w:pStyle w:val="BodyText"/>
        <w:ind w:firstLine="360"/>
      </w:pPr>
      <w:r>
        <w:t xml:space="preserve">Se piensa que el </w:t>
      </w:r>
      <w:r>
        <w:rPr>
          <w:b/>
          <w:bCs/>
        </w:rPr>
        <w:t xml:space="preserve">periodo de incubación </w:t>
      </w:r>
      <w:r>
        <w:t>es de ocho a 10 días.</w:t>
      </w:r>
    </w:p>
    <w:p w14:paraId="1CC92A36"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se confirma al demostrar la presencia de oocistos en excrementos o en material de aspiración duodenal o al detectar el parásito en fases de desarrollo en muestras de biopsia del intestino delgado. Es posible diferenciar a los oocistos en los excrementos, por su tamaño; tienen un diámetro cinco veces mayor que el de </w:t>
      </w:r>
      <w:r>
        <w:rPr>
          <w:rFonts w:ascii="Times New Roman" w:eastAsia="Times New Roman" w:hAnsi="Times New Roman" w:cs="Times New Roman"/>
          <w:i/>
          <w:iCs/>
          <w:sz w:val="16"/>
          <w:szCs w:val="16"/>
        </w:rPr>
        <w:t>Cryptosporidium</w:t>
      </w:r>
      <w:r>
        <w:t xml:space="preserve"> y forma oval. Se les puede detectar con la técnica de carbolfucsina modificada de Kinyoun y con la técnica de auramina-rodamina. Antes de la tinción se necesita a veces técnicas de concentración porque los gérmenes suelen estar en número reducido.</w:t>
      </w:r>
    </w:p>
    <w:p w14:paraId="6C652943" w14:textId="77777777" w:rsidR="00093A32" w:rsidRDefault="00093A32">
      <w:pPr>
        <w:pStyle w:val="BodyText"/>
        <w:spacing w:after="60"/>
        <w:ind w:firstLine="0"/>
        <w:sectPr w:rsidR="00093A32" w:rsidSect="00093A32">
          <w:headerReference w:type="even" r:id="rId458"/>
          <w:headerReference w:type="default" r:id="rId459"/>
          <w:footerReference w:type="even" r:id="rId460"/>
          <w:footerReference w:type="default" r:id="rId461"/>
          <w:footnotePr>
            <w:numFmt w:val="chicago"/>
          </w:footnotePr>
          <w:type w:val="continuous"/>
          <w:pgSz w:w="8501" w:h="13022"/>
          <w:pgMar w:top="710" w:right="796" w:bottom="428" w:left="783" w:header="0" w:footer="0" w:gutter="0"/>
          <w:cols w:space="720"/>
          <w:noEndnote/>
          <w:docGrid w:linePitch="360"/>
          <w15:footnoteColumns w:val="1"/>
        </w:sectPr>
      </w:pPr>
      <w:r>
        <w:rPr>
          <w:b/>
          <w:bCs/>
        </w:rPr>
        <w:t>T</w:t>
      </w:r>
      <w:r>
        <w:rPr>
          <w:b/>
          <w:bCs/>
          <w:sz w:val="13"/>
          <w:szCs w:val="13"/>
        </w:rPr>
        <w:t>RATAMIENTO</w:t>
      </w:r>
      <w:r>
        <w:rPr>
          <w:b/>
          <w:bCs/>
        </w:rPr>
        <w:t xml:space="preserve">: </w:t>
      </w:r>
      <w:r>
        <w:t>El fármaco más indicado es trimetoprim-sulfametoxazol. Otra posibilidad para personas que no toleran el medicamento mencionado es el uso de pirimetamina. La ciprofloxacina puede ser eficaz, aunque no se le ha aprobado para utilizar en personas menores de 18 años (véase “Antimicrobianos y fármacos similares”, sección 4). La profilaxia con antimicrobianos para evitar la enfermedad recurrente pudiera estar indicada en personas infectadas con virus de inmunodeficiencia humana.</w:t>
      </w:r>
    </w:p>
    <w:p w14:paraId="7FECF2C3" w14:textId="77777777" w:rsidR="00093A32" w:rsidRDefault="00093A32">
      <w:pPr>
        <w:pStyle w:val="BodyText"/>
        <w:numPr>
          <w:ilvl w:val="0"/>
          <w:numId w:val="78"/>
        </w:numPr>
        <w:tabs>
          <w:tab w:val="left" w:pos="341"/>
        </w:tabs>
        <w:ind w:firstLine="0"/>
      </w:pPr>
      <w:bookmarkStart w:id="385" w:name="bookmark988"/>
      <w:bookmarkEnd w:id="385"/>
      <w:r>
        <w:t>Protección de contactos cercanos no vacunados, de niños de alto riesgo.</w:t>
      </w:r>
    </w:p>
    <w:p w14:paraId="402A13C2" w14:textId="77777777" w:rsidR="00093A32" w:rsidRDefault="00093A32">
      <w:pPr>
        <w:pStyle w:val="BodyText"/>
        <w:numPr>
          <w:ilvl w:val="0"/>
          <w:numId w:val="78"/>
        </w:numPr>
        <w:tabs>
          <w:tab w:val="left" w:pos="341"/>
        </w:tabs>
        <w:ind w:firstLine="0"/>
      </w:pPr>
      <w:bookmarkStart w:id="386" w:name="bookmark989"/>
      <w:bookmarkEnd w:id="386"/>
      <w:r>
        <w:t>Protección de niños inmunodeficientes que quizá no reaccionen a la vacuna.</w:t>
      </w:r>
    </w:p>
    <w:p w14:paraId="2944C921" w14:textId="77777777" w:rsidR="00093A32" w:rsidRDefault="00093A32">
      <w:pPr>
        <w:pStyle w:val="BodyText"/>
        <w:numPr>
          <w:ilvl w:val="0"/>
          <w:numId w:val="78"/>
        </w:numPr>
        <w:tabs>
          <w:tab w:val="left" w:pos="341"/>
        </w:tabs>
        <w:ind w:left="360" w:hanging="360"/>
      </w:pPr>
      <w:bookmarkStart w:id="387" w:name="bookmark990"/>
      <w:bookmarkEnd w:id="387"/>
      <w:r>
        <w:t>Control de brotes de influenza en entornos cerrados, como sería la institución que alberga a niños de alto riesgo.</w:t>
      </w:r>
    </w:p>
    <w:p w14:paraId="4EE4ADAF" w14:textId="77777777" w:rsidR="00093A32" w:rsidRDefault="00093A32">
      <w:pPr>
        <w:pStyle w:val="BodyText"/>
        <w:numPr>
          <w:ilvl w:val="0"/>
          <w:numId w:val="78"/>
        </w:numPr>
        <w:tabs>
          <w:tab w:val="left" w:pos="341"/>
        </w:tabs>
        <w:ind w:left="360" w:hanging="360"/>
      </w:pPr>
      <w:bookmarkStart w:id="388" w:name="bookmark991"/>
      <w:bookmarkEnd w:id="388"/>
      <w:r>
        <w:t>Protección de personas vacunadas de alto riesgo si la cepa de la vacuna casi no iguala a las cepas de influenza circulantes.</w:t>
      </w:r>
    </w:p>
    <w:p w14:paraId="35E80358" w14:textId="77777777" w:rsidR="00093A32" w:rsidRDefault="00093A32">
      <w:pPr>
        <w:pStyle w:val="BodyText"/>
        <w:ind w:firstLine="360"/>
      </w:pPr>
      <w:r>
        <w:t>La quimioprofilaxia de personas vacunadas no interfiere en la respuesta inmunitaria a la vacuna de virus inactivados y puede brindar protección adicional.</w:t>
      </w:r>
    </w:p>
    <w:p w14:paraId="20D5089C" w14:textId="77777777" w:rsidR="00093A32" w:rsidRDefault="00093A32">
      <w:pPr>
        <w:pStyle w:val="BodyText"/>
        <w:spacing w:after="100"/>
        <w:ind w:firstLine="360"/>
      </w:pPr>
      <w:r>
        <w:t xml:space="preserve">Es posible obtener información sobre vigilancia de la influenza en el Sistema de Información de Voz de los CDC (actualización de influenza, 888-232-3228) o en la página </w:t>
      </w:r>
      <w:hyperlink r:id="rId462" w:history="1">
        <w:r>
          <w:t>www.cdc.gov/ncidod/diseases/flu/weekly.htm</w:t>
        </w:r>
      </w:hyperlink>
      <w:r>
        <w:t>.</w:t>
      </w:r>
    </w:p>
    <w:p w14:paraId="27B800A5" w14:textId="77777777" w:rsidR="00093A32" w:rsidRDefault="00093A32">
      <w:pPr>
        <w:pStyle w:val="Bodytext70"/>
        <w:spacing w:after="0"/>
      </w:pPr>
      <w:r>
        <w:t>Isosporiasis</w:t>
      </w:r>
    </w:p>
    <w:p w14:paraId="58FD87B7" w14:textId="77777777" w:rsidR="00093A32" w:rsidRDefault="00093A32">
      <w:pPr>
        <w:pStyle w:val="Bodytext80"/>
        <w:rPr>
          <w:sz w:val="15"/>
          <w:szCs w:val="15"/>
        </w:rPr>
      </w:pPr>
      <w:r>
        <w:rPr>
          <w:b/>
          <w:bCs/>
          <w:i/>
          <w:iCs/>
          <w:sz w:val="15"/>
          <w:szCs w:val="15"/>
        </w:rPr>
        <w:t>(Isospora belli)</w:t>
      </w:r>
    </w:p>
    <w:p w14:paraId="114C6627"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Diarrea acuosa, fétida, duradera y tardía, como síntoma más común. Las manifestaciones son similares a las causadas por </w:t>
      </w:r>
      <w:r>
        <w:rPr>
          <w:rFonts w:ascii="Times New Roman" w:eastAsia="Times New Roman" w:hAnsi="Times New Roman" w:cs="Times New Roman"/>
          <w:i/>
          <w:iCs/>
          <w:sz w:val="16"/>
          <w:szCs w:val="16"/>
        </w:rPr>
        <w:t>Cryptosporidium</w:t>
      </w:r>
      <w:r>
        <w:t xml:space="preserve"> y </w:t>
      </w:r>
      <w:r>
        <w:rPr>
          <w:rFonts w:ascii="Times New Roman" w:eastAsia="Times New Roman" w:hAnsi="Times New Roman" w:cs="Times New Roman"/>
          <w:i/>
          <w:iCs/>
          <w:sz w:val="16"/>
          <w:szCs w:val="16"/>
        </w:rPr>
        <w:t>Cyclospora</w:t>
      </w:r>
      <w:r>
        <w:t xml:space="preserve"> e incluyen dolor abdominal, anorexia y pérdida ponderal. Se han señalado la aparición de fiebre, malestar general, vómitos y cefaleas. La intensidad de la infección varía desde un cuadro que cede por sí solo en hospedadores inmunocompetentes hasta un trastorno letal en pacientes inmunodeficientes, particularmente los que tienen infección por virus de inmunodeficiencia humana (VIH).</w:t>
      </w:r>
    </w:p>
    <w:p w14:paraId="3AF7A482"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Isospora belli,</w:t>
      </w:r>
      <w:r>
        <w:t xml:space="preserve"> protozoo coccidio esporógeno.</w:t>
      </w:r>
    </w:p>
    <w:p w14:paraId="496EEDDC" w14:textId="77777777" w:rsidR="00093A32" w:rsidRDefault="00093A32">
      <w:pPr>
        <w:pStyle w:val="BodyText"/>
        <w:ind w:firstLine="0"/>
      </w:pPr>
      <w:r>
        <w:rPr>
          <w:b/>
          <w:bCs/>
        </w:rPr>
        <w:t>A</w:t>
      </w:r>
      <w:r>
        <w:rPr>
          <w:b/>
          <w:bCs/>
          <w:sz w:val="13"/>
          <w:szCs w:val="13"/>
        </w:rPr>
        <w:t>SPECTOS EPIDEMIOLÓGICOS</w:t>
      </w:r>
      <w:r>
        <w:rPr>
          <w:b/>
          <w:bCs/>
        </w:rPr>
        <w:t xml:space="preserve">: </w:t>
      </w:r>
      <w:r>
        <w:t xml:space="preserve">Los seres humanos son los únicos hospedadores sabidos de </w:t>
      </w:r>
      <w:r>
        <w:rPr>
          <w:rFonts w:ascii="Times New Roman" w:eastAsia="Times New Roman" w:hAnsi="Times New Roman" w:cs="Times New Roman"/>
          <w:i/>
          <w:iCs/>
          <w:sz w:val="16"/>
          <w:szCs w:val="16"/>
        </w:rPr>
        <w:t>I. belli.</w:t>
      </w:r>
      <w:r>
        <w:t xml:space="preserve"> Se desconoce la frecuencia de infección asintomática por el parásito. La infección es más frecuente en climas tropicales y subtropicales y en zonas con deficiencias sanitarias. La infección surge por la vía fecal-oral y se ha vinculado con la ingestión de alimentos y agua contaminados. Se ha dicho que </w:t>
      </w:r>
      <w:r>
        <w:rPr>
          <w:rFonts w:ascii="Times New Roman" w:eastAsia="Times New Roman" w:hAnsi="Times New Roman" w:cs="Times New Roman"/>
          <w:i/>
          <w:iCs/>
          <w:sz w:val="16"/>
          <w:szCs w:val="16"/>
        </w:rPr>
        <w:t>Isospora belli</w:t>
      </w:r>
      <w:r>
        <w:t xml:space="preserve"> es una de las causas de diarrea de los viajeros en personas que acuden a zonas endémicas y de brotes dentro de instituciones de cuidado a largo plazo. Los oocistos son expulsados en forma no esporulada y necesitan exponerse al oxigeno y a temperaturas menores de 37°C antes de tornarse infectantes. Ellos son resistentes a casi todos los desinfectantes y pueden ser viables durante meses en un entorno frío y húmedo.</w:t>
      </w:r>
    </w:p>
    <w:p w14:paraId="3FA7FA92" w14:textId="77777777" w:rsidR="00093A32" w:rsidRDefault="00093A32">
      <w:pPr>
        <w:pStyle w:val="BodyText"/>
        <w:ind w:firstLine="360"/>
      </w:pPr>
      <w:r>
        <w:t xml:space="preserve">Se piensa que el </w:t>
      </w:r>
      <w:r>
        <w:rPr>
          <w:b/>
          <w:bCs/>
        </w:rPr>
        <w:t xml:space="preserve">periodo de incubación </w:t>
      </w:r>
      <w:r>
        <w:t>es de ocho a 10 días.</w:t>
      </w:r>
    </w:p>
    <w:p w14:paraId="2A44913A"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se confirma al demostrar la presencia de oocistos en excrementos o en material de aspiración duodenal o al detectar el parásito en fases de desarrollo en muestras de biopsia del intestino delgado. Es posible diferenciar a los oocistos en los excrementos, por su tamaño; tienen un diámetro cinco veces mayor que el de </w:t>
      </w:r>
      <w:r>
        <w:rPr>
          <w:rFonts w:ascii="Times New Roman" w:eastAsia="Times New Roman" w:hAnsi="Times New Roman" w:cs="Times New Roman"/>
          <w:i/>
          <w:iCs/>
          <w:sz w:val="16"/>
          <w:szCs w:val="16"/>
        </w:rPr>
        <w:t>Cryptosporidium</w:t>
      </w:r>
      <w:r>
        <w:t xml:space="preserve"> y forma oval. Se les puede detectar con la técnica de carbolfucsina modificada de Kinyoun y con la técnica de auramina-rodamina. Antes de la tinción se necesita a veces técnicas de concentración porque los gérmenes suelen estar en número reducido.</w:t>
      </w:r>
    </w:p>
    <w:p w14:paraId="23841DE9" w14:textId="77777777" w:rsidR="00093A32" w:rsidRDefault="00093A32">
      <w:pPr>
        <w:pStyle w:val="BodyText"/>
        <w:spacing w:after="60"/>
        <w:ind w:firstLine="0"/>
      </w:pPr>
      <w:r>
        <w:rPr>
          <w:b/>
          <w:bCs/>
        </w:rPr>
        <w:t>T</w:t>
      </w:r>
      <w:r>
        <w:rPr>
          <w:b/>
          <w:bCs/>
          <w:sz w:val="13"/>
          <w:szCs w:val="13"/>
        </w:rPr>
        <w:t>RATAMIENTO</w:t>
      </w:r>
      <w:r>
        <w:rPr>
          <w:b/>
          <w:bCs/>
        </w:rPr>
        <w:t xml:space="preserve">: </w:t>
      </w:r>
      <w:r>
        <w:t>El fármaco más indicado es trimetoprim-sulfametoxazol. Otra posibilidad para personas que no toleran el medicamento mencionado es el uso de pirimetamina. La ciprofloxacina puede ser eficaz, aunque no se le ha aprobado para utilizar en personas menores de 18 años (véase “Antimicrobianos y fármacos similares”, sección 4). La profilaxia con antimicrobianos para evitar la enfermedad recurrente pudiera estar indicada en personas infectadas con virus de inmunodeficiencia humana.</w:t>
      </w:r>
    </w:p>
    <w:p w14:paraId="1E7C4432"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precauciones para evitar la transmisión por contacto en niños con pañales e incontinentes.</w:t>
      </w:r>
    </w:p>
    <w:p w14:paraId="2050EFC2"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5C0AA4CA" w14:textId="77777777" w:rsidR="00093A32" w:rsidRDefault="00093A32">
      <w:pPr>
        <w:pStyle w:val="Bodytext70"/>
        <w:spacing w:after="0"/>
      </w:pPr>
      <w:r>
        <w:t>Kawasaki, síndrome</w:t>
      </w:r>
    </w:p>
    <w:p w14:paraId="1F60C5E2" w14:textId="77777777" w:rsidR="00093A32" w:rsidRDefault="00093A32">
      <w:pPr>
        <w:pStyle w:val="BodyText"/>
        <w:ind w:firstLine="0"/>
      </w:pPr>
      <w:r>
        <w:rPr>
          <w:b/>
          <w:bCs/>
        </w:rPr>
        <w:t>M</w:t>
      </w:r>
      <w:r>
        <w:rPr>
          <w:b/>
          <w:bCs/>
          <w:sz w:val="13"/>
          <w:szCs w:val="13"/>
        </w:rPr>
        <w:t>ANIFESTACIONES CLÍNICAS</w:t>
      </w:r>
      <w:r>
        <w:rPr>
          <w:b/>
          <w:bCs/>
        </w:rPr>
        <w:t xml:space="preserve">: </w:t>
      </w:r>
      <w:r>
        <w:t>El síndrome en cuestión es una vasculitis febril, exantematosa, que ataca órganos y sistemas de un modo importante, dado que en promedio 20% de los niños sin tratamiento terminarán por mostrar anormalidades de arterias coronarias. Casi todos los casos del síndrome se detectan en niños de uno a ocho años de vida. En término de días de haber comenzado la fiebre suelen surgir las manifestaciones características del trastorno, que incluyen: 1) congestión de ambas conjuntivas bulbares sin exudado; 2) eritema de boca y faringe, lengua en “fresa” y labios rojos y agrietados; 3) eritema generalizado polimorfo de tipo morbiliforme, maculopapular o escarlatiniforme que puede asemejarse al eritema multiforme; 4) cambios en las extremidades periféricas, que consisten en induración de las manos y pies con eritema en palmas y plantas o descamación periungueal, y 5) linfadenopatía cervical aguda no supurada en que un ganglio, como mínimo, tiene 1.5 cm de diámetro. Para el diagnóstico del clásico síndrome de Kawasaki, el niño debe tener fiebre durante cinco días, como mínimo, y también, como mínimo, cuatro de las cinco manifestaciones antes señaladas, sin otra explicación razonable. Entre los signos que a veces surgen también están irritabilidad, dolor abdominal, diarrea y vómito. Otras alteraciones incluyen uretritis con piuria estéril (70% de los casos), disfunción hepática leve (40%), artritis o artralgia (10 a 20%), meningitis aséptica (25%), derrame pericárdico (20 a 40%), hidrocolecisto (&lt;10%) y miocarditis manifestada por insuficiencia congestiva cardiaca (&lt;5%).</w:t>
      </w:r>
    </w:p>
    <w:p w14:paraId="5E94232D" w14:textId="77777777" w:rsidR="00093A32" w:rsidRDefault="00093A32">
      <w:pPr>
        <w:pStyle w:val="BodyText"/>
        <w:ind w:firstLine="360"/>
      </w:pPr>
      <w:r>
        <w:t>El síndrome incompleto o atípico es más común en niños menores de 12 meses que en niños mayores, y en este grupo de edad las manifestaciones clínicas pueden ser particularmente sutiles. Los lactantes con el síndrome en cuestión también tienen un mayor peligro de mostrar aneurismas coronarios que los niños de mayor edad, de tal forma que en estos pacientes de corta edad adquiere importancia especial el diagnóstico y el tratamiento oportuno. Los signos de estudios de laboratorio en casos incompletos al parecer son semejantes a los observados en los casos clásicos. Por la razón comentada, a pesar de que los datos de estudios de laboratorio son inespecíficos en el síndrome, pueden servir para incrementar o reducir la sospecha de un síndrome incompleto. Los estudios ecocardiográficos tempranos pueden ser útiles en la valoración de niños en que se sospecha el síndrome incompleto. Hay que valorar la posibilidad de aplicar concentrado de inmunoglobulina intravenosa (IGIV) y administrar aspirina en término de 10 días de haber comenzado la fiebre, en los lactantes y niños con signos y síntomas compatibles con el síndrome incompleto y en el cual no hay otra posibilidad diagnóstica más probable.</w:t>
      </w:r>
    </w:p>
    <w:p w14:paraId="74165866" w14:textId="77777777" w:rsidR="00093A32" w:rsidRDefault="00093A32">
      <w:pPr>
        <w:pStyle w:val="BodyText"/>
        <w:ind w:firstLine="360"/>
      </w:pPr>
      <w:r>
        <w:t>Sin la administración de aspirina y del concentrado inmunoglobulínico intravenoso, la fiebre puede durar dos semanas o más. Una vez que cedió, el niño puede permanecer anoréxico o irritable durante dos a tres semanas. En esta fase subaguda, hay descamación de la ingle y más tarde de dedos de manos y pies y de otras zonas. Meses o años después en menos de 2% de los pacientes puede reaparecer la enfermedad.</w:t>
      </w:r>
    </w:p>
    <w:p w14:paraId="184A4634" w14:textId="77777777" w:rsidR="00093A32" w:rsidRDefault="00093A32">
      <w:pPr>
        <w:pStyle w:val="BodyText"/>
        <w:ind w:firstLine="360"/>
        <w:sectPr w:rsidR="00093A32" w:rsidSect="00093A32">
          <w:headerReference w:type="even" r:id="rId463"/>
          <w:headerReference w:type="default" r:id="rId464"/>
          <w:footerReference w:type="even" r:id="rId465"/>
          <w:footerReference w:type="default" r:id="rId466"/>
          <w:headerReference w:type="first" r:id="rId467"/>
          <w:footerReference w:type="first" r:id="rId468"/>
          <w:footnotePr>
            <w:numFmt w:val="chicago"/>
          </w:footnotePr>
          <w:pgSz w:w="8501" w:h="13022"/>
          <w:pgMar w:top="710" w:right="796" w:bottom="428" w:left="783" w:header="0" w:footer="3" w:gutter="0"/>
          <w:pgNumType w:start="458"/>
          <w:cols w:space="720"/>
          <w:noEndnote/>
          <w:titlePg/>
          <w:docGrid w:linePitch="360"/>
          <w15:footnoteColumns w:val="1"/>
        </w:sectPr>
      </w:pPr>
      <w:r>
        <w:t>La presencia de aneurisma en arteria coronaria se ha demostrado por ecocardiografía bidimensional en 20 a 25% de pacientes que no han sido tratados en término de 10 días de haber comenzado la fiebre. Entre los pacientes expuestos a un mayor peligro de</w:t>
      </w:r>
    </w:p>
    <w:p w14:paraId="74740A2F"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precauciones para evitar la transmisión por contacto en niños con pañales e incontinentes.</w:t>
      </w:r>
    </w:p>
    <w:p w14:paraId="22B7B05A" w14:textId="77777777" w:rsidR="00093A32" w:rsidRDefault="00093A32">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7BF52929" w14:textId="77777777" w:rsidR="00093A32" w:rsidRDefault="00093A32">
      <w:pPr>
        <w:pStyle w:val="Bodytext70"/>
        <w:spacing w:after="0"/>
      </w:pPr>
      <w:r>
        <w:t>Kawasaki, síndrome</w:t>
      </w:r>
    </w:p>
    <w:p w14:paraId="0738FA24" w14:textId="77777777" w:rsidR="00093A32" w:rsidRDefault="00093A32">
      <w:pPr>
        <w:pStyle w:val="BodyText"/>
        <w:ind w:firstLine="0"/>
      </w:pPr>
      <w:r>
        <w:rPr>
          <w:b/>
          <w:bCs/>
        </w:rPr>
        <w:t>M</w:t>
      </w:r>
      <w:r>
        <w:rPr>
          <w:b/>
          <w:bCs/>
          <w:sz w:val="13"/>
          <w:szCs w:val="13"/>
        </w:rPr>
        <w:t>ANIFESTACIONES CLÍNICAS</w:t>
      </w:r>
      <w:r>
        <w:rPr>
          <w:b/>
          <w:bCs/>
        </w:rPr>
        <w:t xml:space="preserve">: </w:t>
      </w:r>
      <w:r>
        <w:t>El síndrome en cuestión es una vasculitis febril, exantematosa, que ataca órganos y sistemas de un modo importante, dado que en promedio 20% de los niños sin tratamiento terminarán por mostrar anormalidades de arterias coronarias. Casi todos los casos del síndrome se detectan en niños de uno a ocho años de vida. En término de días de haber comenzado la fiebre suelen surgir las manifestaciones características del trastorno, que incluyen: 1) congestión de ambas conjuntivas bulbares sin exudado; 2) eritema de boca y faringe, lengua en “fresa” y labios rojos y agrietados; 3) eritema generalizado polimorfo de tipo morbiliforme, maculopapular o escarlatiniforme que puede asemejarse al eritema multiforme; 4) cambios en las extremidades periféricas, que consisten en induración de las manos y pies con eritema en palmas y plantas o descamación periungueal, y 5) linfadenopatía cervical aguda no supurada en que un ganglio, como mínimo, tiene 1.5 cm de diámetro. Para el diagnóstico del clásico síndrome de Kawasaki, el niño debe tener fiebre durante cinco días, como mínimo, y también, como mínimo, cuatro de las cinco manifestaciones antes señaladas, sin otra explicación razonable. Entre los signos que a veces surgen también están irritabilidad, dolor abdominal, diarrea y vómito. Otras alteraciones incluyen uretritis con piuria estéril (70% de los casos), disfunción hepática leve (40%), artritis o artralgia (10 a 20%), meningitis aséptica (25%), derrame pericárdico (20 a 40%), hidrocolecisto (&lt;10%) y miocarditis manifestada por insuficiencia congestiva cardiaca (&lt;5%).</w:t>
      </w:r>
    </w:p>
    <w:p w14:paraId="2FE0EE74" w14:textId="77777777" w:rsidR="00093A32" w:rsidRDefault="00093A32">
      <w:pPr>
        <w:pStyle w:val="BodyText"/>
        <w:ind w:firstLine="360"/>
      </w:pPr>
      <w:r>
        <w:t>El síndrome incompleto o atípico es más común en niños menores de 12 meses que en niños mayores, y en este grupo de edad las manifestaciones clínicas pueden ser particularmente sutiles. Los lactantes con el síndrome en cuestión también tienen un mayor peligro de mostrar aneurismas coronarios que los niños de mayor edad, de tal forma que en estos pacientes de corta edad adquiere importancia especial el diagnóstico y el tratamiento oportuno. Los signos de estudios de laboratorio en casos incompletos al parecer son semejantes a los observados en los casos clásicos. Por la razón comentada, a pesar de que los datos de estudios de laboratorio son inespecíficos en el síndrome, pueden servir para incrementar o reducir la sospecha de un síndrome incompleto. Los estudios ecocardiográficos tempranos pueden ser útiles en la valoración de niños en que se sospecha el síndrome incompleto. Hay que valorar la posibilidad de aplicar concentrado de inmunoglobulina intravenosa (IGIV) y administrar aspirina en término de 10 días de haber comenzado la fiebre, en los lactantes y niños con signos y síntomas compatibles con el síndrome incompleto y en el cual no hay otra posibilidad diagnóstica más probable.</w:t>
      </w:r>
    </w:p>
    <w:p w14:paraId="63289488" w14:textId="77777777" w:rsidR="00093A32" w:rsidRDefault="00093A32">
      <w:pPr>
        <w:pStyle w:val="BodyText"/>
        <w:ind w:firstLine="360"/>
      </w:pPr>
      <w:r>
        <w:t>Sin la administración de aspirina y del concentrado inmunoglobulínico intravenoso, la fiebre puede durar dos semanas o más. Una vez que cedió, el niño puede permanecer anoréxico o irritable durante dos a tres semanas. En esta fase subaguda, hay descamación de la ingle y más tarde de dedos de manos y pies y de otras zonas. Meses o años después en menos de 2% de los pacientes puede reaparecer la enfermedad.</w:t>
      </w:r>
    </w:p>
    <w:p w14:paraId="26D70EAF" w14:textId="77777777" w:rsidR="00093A32" w:rsidRDefault="00093A32">
      <w:pPr>
        <w:pStyle w:val="BodyText"/>
        <w:ind w:firstLine="360"/>
      </w:pPr>
      <w:r>
        <w:t>La presencia de aneurisma en arteria coronaria se ha demostrado por ecocardiografía bidimensional en 20 a 25% de pacientes que no han sido tratados en término de 10 días de haber comenzado la fiebre. Entre los pacientes expuestos a un mayor peligro de mostrar aneurismas de coronarias están varones, niños menores de 12 meses de vida o mayores de ocho años, personas cuya fiebre persiste por más de 10 días, individuos con una cifra inicial mayor de neutrófilos y de formas en banda o menores concentraciones de hemoglobina (&lt;10 g/100 ml) y niños con trombocitopenia y fiebre que persisten después de administrar el concentrado IGIV. Se ha demostrado la aparición de aneurisma de las arterias coronarias por medio de ecocardiografía incluso unos cuantos días después de comenzar la enfermedad, pero de manera más típica se los detecta entre una y cuatro semanas después de que inició el trastorno; su aparición después de las seis semanas es poco común. El surgimiento de aneurismas gigantes en coronarias (8 mm o más de diámetro) quizá se acompañe de complicaciones a largo plazo. Son poco comunes los aneurismas en otras arterias de calibre mediano (como las iliacas, femorales, renales y axilares o circunflejos) y por lo común no surgen en caso de no haber anormalidades de coronarias. Además del ataque de arterias coronarias, la carditis puede abarcar el pericardio, el miocardio o el endocardio y surgir regurgitación mitral y aórtica. Al ceder la fiebre por lo común hay resolución de la carditis.</w:t>
      </w:r>
    </w:p>
    <w:p w14:paraId="235B0AEB" w14:textId="77777777" w:rsidR="00093A32" w:rsidRDefault="00093A32">
      <w:pPr>
        <w:pStyle w:val="BodyText"/>
        <w:ind w:firstLine="360"/>
      </w:pPr>
      <w:r>
        <w:t>En niños con dilatación o ectasia coronarias leves las dimensiones de las arterias suelen volver a la cifra inicial en término de seis a ocho semanas de haber comenzado la enfermedad. En promedio, la mitad de los aneurismas no gigantes recuperan el diámetro interior normal en término de uno a dos años, aunque el fenómeno anterior puede acompañarse de estenosis de coronarias. Además, la regresión del aneurisma puede hacer que la pared del vaso se torne fibrótica y poco distensible.</w:t>
      </w:r>
    </w:p>
    <w:p w14:paraId="76BEADD0" w14:textId="77777777" w:rsidR="00093A32" w:rsidRDefault="00093A32">
      <w:pPr>
        <w:pStyle w:val="BodyText"/>
        <w:ind w:firstLine="360"/>
      </w:pPr>
      <w:r>
        <w:t>La tasa actual de letalidad en Estados Unidos es menor de 0.01%. La causa principal de muerte es el infarto del miocardio, consecuencia de la oclusión de coronarias atribuible a trombosis o estenosis progresiva. En raras ocasiones se rompe un gran aneurisma de coronarias. Casi todos los fallecimientos surgen en término de seis semanas de haber comenzado los síntomas, pero el infarto del miocardio y la muerte repentina pueden ocurrir meses o años después del episodio agudo. La vasculitis del síndrome de Kawasaki puede ser un factor de peligro de que surja enfermedad aterosclerótica prematura.</w:t>
      </w:r>
    </w:p>
    <w:p w14:paraId="0C1EF99B" w14:textId="77777777" w:rsidR="00093A32" w:rsidRDefault="00093A32">
      <w:pPr>
        <w:pStyle w:val="BodyText"/>
        <w:ind w:firstLine="0"/>
      </w:pPr>
      <w:r>
        <w:rPr>
          <w:b/>
          <w:bCs/>
        </w:rPr>
        <w:t>C</w:t>
      </w:r>
      <w:r>
        <w:rPr>
          <w:b/>
          <w:bCs/>
          <w:sz w:val="13"/>
          <w:szCs w:val="13"/>
        </w:rPr>
        <w:t>AUSAS</w:t>
      </w:r>
      <w:r>
        <w:rPr>
          <w:b/>
          <w:bCs/>
        </w:rPr>
        <w:t xml:space="preserve">: </w:t>
      </w:r>
      <w:r>
        <w:t>Se desconoce la causa. Los signos epidemiológicos y clínicos sugieren fuertemente un origen infeccioso.</w:t>
      </w:r>
    </w:p>
    <w:p w14:paraId="1B5A584C" w14:textId="77777777" w:rsidR="00093A32" w:rsidRDefault="00093A32">
      <w:pPr>
        <w:pStyle w:val="BodyText"/>
        <w:ind w:firstLine="0"/>
      </w:pPr>
      <w:r>
        <w:rPr>
          <w:b/>
          <w:bCs/>
        </w:rPr>
        <w:t>A</w:t>
      </w:r>
      <w:r>
        <w:rPr>
          <w:b/>
          <w:bCs/>
          <w:sz w:val="13"/>
          <w:szCs w:val="13"/>
        </w:rPr>
        <w:t>SPECTOS EPIDEMIOLÓGICOS</w:t>
      </w:r>
      <w:r>
        <w:rPr>
          <w:b/>
          <w:bCs/>
        </w:rPr>
        <w:t xml:space="preserve">: </w:t>
      </w:r>
      <w:r>
        <w:t>La edad máxima en que aparece el síndrome en Estados Unidos va de 18 a 24 meses. La mitad de los pacientes tiene menos de dos años de vida y 80% menos de cinco años; rara vez aparece el trastorno en niños mayores de ocho años de edad. En niños menores de seis meses el diagnóstico suele retrasarse por la aparición de síntomas atípicos; si se retrasa el diagnóstico, la prevalencia de anormalidades de arteria coronaria puede ser particularmente grande porque los síntomas y los signos tal vez no sugieran el síndrome de Kawasaki. La razón de ataque de varones/mujeres es de 1.5:1, en promedio. La incidencia alcanza su punto máximo en asiáticos; se calcula que cada año en Estados Unidos aparecen 5 000 casos. El síndrome de Kawasaki fue descrito originalmente en Japón donde se identificó un perfil de aparición endémica con brotes epidémicos sobreañadidos. En diversos sitios de América del Norte y Hawaii se ha reconocido un perfil similar de enfermedad endémica constante o cada vez más grave con epidemias ocasionales de tipo comunitario perfectamente definidas. Las epidemias suelen acaecer en el invierno y la primavera. Ningún dato señala que hay propagación directa de persona a persona o de un origen común, aunque la incidencia es un poco mayor en hermanos de niños afectados.</w:t>
      </w:r>
    </w:p>
    <w:p w14:paraId="73FA1CCB" w14:textId="77777777" w:rsidR="00093A32" w:rsidRDefault="00093A32">
      <w:pPr>
        <w:pStyle w:val="BodyText"/>
        <w:ind w:firstLine="360"/>
      </w:pPr>
      <w:r>
        <w:t xml:space="preserve">Se desconoce el </w:t>
      </w:r>
      <w:r>
        <w:rPr>
          <w:b/>
          <w:bCs/>
        </w:rPr>
        <w:t>periodo de incubación</w:t>
      </w:r>
      <w:r>
        <w:t>.</w:t>
      </w:r>
    </w:p>
    <w:p w14:paraId="5D2F98FF" w14:textId="77777777" w:rsidR="00093A32" w:rsidRDefault="00093A32">
      <w:pPr>
        <w:pStyle w:val="BodyText"/>
        <w:ind w:firstLine="0"/>
      </w:pPr>
      <w:r>
        <w:rPr>
          <w:b/>
          <w:bCs/>
        </w:rPr>
        <w:t>M</w:t>
      </w:r>
      <w:r>
        <w:rPr>
          <w:b/>
          <w:bCs/>
          <w:sz w:val="13"/>
          <w:szCs w:val="13"/>
        </w:rPr>
        <w:t>ÉTODOS DIAGNÓSTICOS</w:t>
      </w:r>
      <w:r>
        <w:rPr>
          <w:b/>
          <w:bCs/>
        </w:rPr>
        <w:t xml:space="preserve">: </w:t>
      </w:r>
      <w:r>
        <w:t>No se dispone de métodos diagnósticos específicos. El diagnóstico se corrobora si se cumplen los criterios para calificar el síndrome (véase antes en este resumen “Manifestaciones clínicas”) y se excluyen otras enfermedades posibles como sarampión, infección por estreptococos (como la fiebre escarlatina), exantemas víricos y de rickettsias, reacciones medicamentosas (como sería el síndrome de Stevens-Johnson), el síndrome de piel escaldada estafilocócico, el de choque tóxico y la artritis reumatoide juvenil.</w:t>
      </w:r>
      <w:r>
        <w:footnoteReference w:id="53"/>
      </w:r>
      <w:r>
        <w:t xml:space="preserve"> La aceleración de la velocidad de eritrosedimentación y la concentración de proteína C-reactiva en suero las primeras dos semanas de la enfermedad y un mayor número de plaquetas (&gt;450 000 células/pl [&gt;450 x 109/L]) después de la primera semana de aparecida la enfermedad son signos casi universales de estudios de laboratorio. Las cifras por lo común se normalizan en término de seis a ocho semanas.</w:t>
      </w:r>
    </w:p>
    <w:p w14:paraId="060D5538" w14:textId="77777777" w:rsidR="00093A32" w:rsidRDefault="00093A32">
      <w:pPr>
        <w:pStyle w:val="BodyText"/>
        <w:ind w:firstLine="0"/>
      </w:pPr>
      <w:r>
        <w:rPr>
          <w:b/>
          <w:bCs/>
        </w:rPr>
        <w:t>T</w:t>
      </w:r>
      <w:r>
        <w:rPr>
          <w:b/>
          <w:bCs/>
          <w:sz w:val="13"/>
          <w:szCs w:val="13"/>
        </w:rPr>
        <w:t>RATAMIENTO</w:t>
      </w:r>
      <w:r>
        <w:rPr>
          <w:b/>
          <w:bCs/>
        </w:rPr>
        <w:t xml:space="preserve">: </w:t>
      </w:r>
      <w:r>
        <w:t>Las medidas terapéuticas durante la fase aguda se orientan a aplacar la inflamación del miocardio y la pared de arterias coronarias, así como a aportar medidas de apoyo. El tratamiento antiinflamatorio debe emprenderse cuando se confirma o se sospecha decididamente el diagnóstico. Una vez que ha cedido la fase aguda, el tratamiento se orienta a evitar la trombosis de arteria coronaria. Entre las recomendaciones específicas de tratamiento están las siguientes:</w:t>
      </w:r>
    </w:p>
    <w:p w14:paraId="488AEC02" w14:textId="77777777" w:rsidR="00093A32" w:rsidRDefault="00093A32">
      <w:pPr>
        <w:pStyle w:val="Bodytext80"/>
        <w:ind w:firstLine="360"/>
        <w:rPr>
          <w:sz w:val="19"/>
          <w:szCs w:val="19"/>
        </w:rPr>
      </w:pPr>
      <w:r>
        <w:rPr>
          <w:b/>
          <w:bCs/>
          <w:i/>
          <w:iCs/>
          <w:sz w:val="15"/>
          <w:szCs w:val="15"/>
        </w:rPr>
        <w:t>Concentrado inmunoglobulínico intravenoso.</w:t>
      </w:r>
      <w:r>
        <w:rPr>
          <w:rFonts w:ascii="Garamond" w:eastAsia="Garamond" w:hAnsi="Garamond" w:cs="Garamond"/>
          <w:sz w:val="19"/>
          <w:szCs w:val="19"/>
        </w:rPr>
        <w:t xml:space="preserve"> La administración de concentrado</w:t>
      </w:r>
    </w:p>
    <w:p w14:paraId="148CD814" w14:textId="77777777" w:rsidR="00093A32" w:rsidRDefault="00093A32">
      <w:pPr>
        <w:pStyle w:val="BodyText"/>
        <w:ind w:firstLine="0"/>
      </w:pPr>
      <w:r>
        <w:t>IGIV en altas dosis y aspirina que se emprende en término de 10 días del comienzo de la fiebre disminuye sustancialmente la evolución hacia la dilatación de arterias coronarias y la aparición de aneurismas a las dos a siete semanas, en comparación con la administración de la aspirina sola, y permite una resolución más rápida de la fiebre y los otros indicadores de la inflamación aguda. La administración del concentrado debe iniciarse tan pronto sea posible; no se ha valorado en investigaciones comparativas su eficacia si su uso se emprende después del décimo día de la enfermedad o de que se han detectado los aneurismas. Sin embargo, hay que emprender la administración del concentrado y de la aspirina en individuos cuyo diagnóstico se hizo después del décimo día y que han tenido manifestaciones de inflamación persistente (fiebre y otros síntomas o anormalidades de estudios de laboratorio) o de arteriopatía coronaria en evolución. A pesar de la administración inmediata de IGIV y aspirina, 2 a 4% de los pacientes terminan por mostrar anormalidades de arterias coronarias.</w:t>
      </w:r>
    </w:p>
    <w:p w14:paraId="7A4A3873" w14:textId="77777777" w:rsidR="00093A32" w:rsidRDefault="00093A32">
      <w:pPr>
        <w:pStyle w:val="BodyText"/>
        <w:ind w:firstLine="360"/>
      </w:pPr>
      <w:r>
        <w:rPr>
          <w:rFonts w:ascii="Arial" w:eastAsia="Arial" w:hAnsi="Arial" w:cs="Arial"/>
          <w:b/>
          <w:bCs/>
          <w:i/>
          <w:iCs/>
          <w:sz w:val="15"/>
          <w:szCs w:val="15"/>
        </w:rPr>
        <w:t>Dosis.</w:t>
      </w:r>
      <w:r>
        <w:t xml:space="preserve"> Se desconoce la dosis terapéutica óptima del concentrado IGIV. Se recomienda una dosis de 2 g/kg de peso como dosis única, aplicada en término de 10 a 12 h. El régimen anterior ocasiona pocas complicaciones.</w:t>
      </w:r>
    </w:p>
    <w:p w14:paraId="0C649508" w14:textId="77777777" w:rsidR="00093A32" w:rsidRDefault="00093A32">
      <w:pPr>
        <w:pStyle w:val="BodyText"/>
        <w:spacing w:line="276" w:lineRule="auto"/>
        <w:ind w:firstLine="360"/>
      </w:pPr>
      <w:r>
        <w:rPr>
          <w:rFonts w:ascii="Arial" w:eastAsia="Arial" w:hAnsi="Arial" w:cs="Arial"/>
          <w:b/>
          <w:bCs/>
          <w:i/>
          <w:iCs/>
          <w:sz w:val="15"/>
          <w:szCs w:val="15"/>
        </w:rPr>
        <w:t>Repetición del tratamiento.</w:t>
      </w:r>
      <w:r>
        <w:t xml:space="preserve"> Se sabe que 5 a 10% de los pacientes que reciben el concentrado IGIV y aspirina terminarán por mostrar fiebre persistente o reaparición de la misma después de un lapso inicial afebril de 48 h o menos. Pueden persistir o reaparecer otros indicadores clínicos de inflamación como la congestión conjuntival o la erupción. En tales situaciones quizá convenga repetir el tratamiento con concentrado de IGIV (2 g/kg) y continuar el uso de aspirina, porque la fiebre persistente a veces se vincula con mayores concentraciones de citocinas inflamatorias y un mayor riesgo de anormalidades de arterias coronarias. En la actualidad no hay consenso en cuanto al uso de corticosteroides sistémicos en el tratamiento del síndrome de Kawasaki. Algunas investigaciones han señalado que los niños tratados con los corticosteroides solos o en combinación con aspirina, muestran una mayor frecuencia de anormalidades de coronarias, y otros estudios no comparativos sugieren que la prednisona ingerida o intravenosa puede ser útil en algunos pacientes resistentes a dosis repetidas de inmunoglobulina intravenosa.</w:t>
      </w:r>
    </w:p>
    <w:p w14:paraId="09B61420" w14:textId="77777777" w:rsidR="00093A32" w:rsidRDefault="00093A32">
      <w:pPr>
        <w:pStyle w:val="BodyText"/>
        <w:spacing w:line="276" w:lineRule="auto"/>
        <w:ind w:firstLine="360"/>
      </w:pPr>
      <w:r>
        <w:rPr>
          <w:rFonts w:ascii="Arial" w:eastAsia="Arial" w:hAnsi="Arial" w:cs="Arial"/>
          <w:b/>
          <w:bCs/>
          <w:i/>
          <w:iCs/>
          <w:sz w:val="15"/>
          <w:szCs w:val="15"/>
        </w:rPr>
        <w:t>Aspirina.</w:t>
      </w:r>
      <w:r>
        <w:t xml:space="preserve"> La aspirina o ácido acetilsalicilico se usa por sus propiedades antiinflamatorias y antitrombóticas, aunque no se dispone de datos convincentes de que tal fármaco disminuya anormalidades de arterias coronarias. Se administra en dosis de 80 a 100 mg/kg de peso al día en cuatro fracciones en la fase aguda. Los niños con el síndrome de Kawasaki tienen menor absorción del fármaco y una mayor eliminación de él, de tal modo que en algunos no se alcanzan concentraciones terapéuticas. En casi todos los menores ello no tiene importancia clínica y tampoco es necesario medir en forma seriada las concentraciones de la aspirina. Una vez controlada la fiebre durante cuatro a cinco días se disminuye la dosis del medicamento a 3 a 5 mg/kg al día para que persista en su actividad antitrombótica. Se interrumpe el uso de la aspirina si no se detectan anormalidades de arteria coronaria entre seis y ocho semanas de haber comenzado la enfermedad. Habrá que continuar por lapso indefinido la administración de dosis bajas de ella en personas en quienes surgen anormalidades en las arterias mencionadas. Ante el posible riesgo de que surja síndrome de Reye en niños con influenza o varicela que reciben salicilatos, habrá que instruir a los padres de los mismos que se comuniquen con el médico pediatra inmediatamente si el menor presenta síntomas o si queda expuesto a una u otra enfermedades.</w:t>
      </w:r>
    </w:p>
    <w:p w14:paraId="292EB64A" w14:textId="77777777" w:rsidR="00093A32" w:rsidRDefault="00093A32">
      <w:pPr>
        <w:pStyle w:val="BodyText"/>
        <w:spacing w:line="276" w:lineRule="auto"/>
        <w:ind w:firstLine="360"/>
      </w:pPr>
      <w:r>
        <w:rPr>
          <w:rFonts w:ascii="Arial" w:eastAsia="Arial" w:hAnsi="Arial" w:cs="Arial"/>
          <w:b/>
          <w:bCs/>
          <w:i/>
          <w:iCs/>
          <w:sz w:val="15"/>
          <w:szCs w:val="15"/>
        </w:rPr>
        <w:t>Cuidados cardiovasculares.</w:t>
      </w:r>
      <w:r>
        <w:rPr>
          <w:i/>
          <w:iCs/>
        </w:rPr>
        <w:footnoteReference w:id="54"/>
      </w:r>
      <w:r>
        <w:t xml:space="preserve"> En la fase incipiente de la enfermedad habrá que practicar un ecocardiograma y repetirlo seis a ocho semanas después del comienzo. La atención de niños con carditis debe incluir la participación de un cardiólogo experto en el tratamiento de pacientes de síndrome de Kawasaki y para valorar los estudios ecocardiográficos en las arterias coronarias de niños. La atención a largo plazo debe basarse en el grado de afección de las arterias mencionadas. Habrá que valorar a los niños en los primeros dos meses para detectar cualquier manifestación de arritmias, insuficiencia congestiva cardiaca y regurgitación valvular. Además de dosis pequeñas y prolongadas de aspirina para suprimir la agregación plaquetaria en pacientes con anormalidades persistentes de arterias coronarias, algunos expertos recomiendan administrar 4 mg de dipiridamol/kg de peso al día, en tres fracciones. La aparición de aneurismas gigantes en arterias coronarias (8 mm o más de diámetro) puede obligar a añadir un anticoagulante, como warfarina sódica, para evitar la trombosis.</w:t>
      </w:r>
    </w:p>
    <w:p w14:paraId="0014043C" w14:textId="77777777" w:rsidR="00093A32" w:rsidRDefault="00093A32">
      <w:pPr>
        <w:pStyle w:val="BodyText"/>
        <w:spacing w:line="276" w:lineRule="auto"/>
        <w:ind w:firstLine="360"/>
        <w:sectPr w:rsidR="00093A32" w:rsidSect="00093A32">
          <w:headerReference w:type="even" r:id="rId469"/>
          <w:headerReference w:type="default" r:id="rId470"/>
          <w:footerReference w:type="even" r:id="rId471"/>
          <w:footerReference w:type="default" r:id="rId472"/>
          <w:footnotePr>
            <w:numFmt w:val="chicago"/>
          </w:footnotePr>
          <w:pgSz w:w="8501" w:h="13022"/>
          <w:pgMar w:top="710" w:right="796" w:bottom="428" w:left="783" w:header="0" w:footer="3" w:gutter="0"/>
          <w:pgNumType w:start="520"/>
          <w:cols w:space="720"/>
          <w:noEndnote/>
          <w:docGrid w:linePitch="360"/>
          <w15:footnoteColumns w:val="1"/>
        </w:sectPr>
      </w:pPr>
      <w:r>
        <w:rPr>
          <w:rFonts w:ascii="Arial" w:eastAsia="Arial" w:hAnsi="Arial" w:cs="Arial"/>
          <w:b/>
          <w:bCs/>
          <w:i/>
          <w:iCs/>
          <w:sz w:val="15"/>
          <w:szCs w:val="15"/>
        </w:rPr>
        <w:t>Vacunación ulterior.</w:t>
      </w:r>
      <w:r>
        <w:t xml:space="preserve"> Es importante diferir las vacunaciones contra sarampión y varicela 11 meses después de administrar concentrado IGIV en niños que han recibido dosis del mismo para tratar el síndrome de Kawasaki. Si es grande el peligro de exposición del menor al sarampión se le vacunará y se repetirá la vacunación cuando menos 11 meses después de la aplicación del concentrado IGIV salvo que las pruebas serológicas indiquen que se logró la inmunización con la primera dosis (véase “Sarampión” en esta sección). No debe interrumpirse el plan de administración ulterior de otras vacunas de la niñez. En niños de seis meses de vida y mayores que necesitan </w:t>
      </w:r>
    </w:p>
    <w:p w14:paraId="1AF332FD" w14:textId="77777777" w:rsidR="00093A32" w:rsidRDefault="00093A32">
      <w:pPr>
        <w:pStyle w:val="BodyText"/>
        <w:spacing w:line="276" w:lineRule="auto"/>
        <w:ind w:firstLine="0"/>
      </w:pPr>
      <w:r>
        <w:t>por largo tiempo recibir aspirina por el posible riesgo mayor de presentar síndrome de Reye, está indicada la vacunación anual contra la influenza (véase “Influenza” en esta sección).</w:t>
      </w:r>
    </w:p>
    <w:p w14:paraId="7EF7C86F" w14:textId="77777777" w:rsidR="00093A32" w:rsidRDefault="00093A32">
      <w:pPr>
        <w:pStyle w:val="Other0"/>
        <w:spacing w:after="120" w:line="257"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siguen las precauciones estándar. </w:t>
      </w:r>
      <w:r>
        <w:rPr>
          <w:b/>
          <w:bCs/>
          <w:smallCaps/>
          <w:sz w:val="20"/>
          <w:szCs w:val="20"/>
        </w:rPr>
        <w:t>M</w:t>
      </w:r>
      <w:r>
        <w:rPr>
          <w:b/>
          <w:bCs/>
          <w:smallCaps/>
          <w:sz w:val="16"/>
          <w:szCs w:val="16"/>
        </w:rPr>
        <w:t>edidas preventivas</w:t>
      </w:r>
      <w:r>
        <w:rPr>
          <w:b/>
          <w:bCs/>
          <w:smallCaps/>
          <w:sz w:val="20"/>
          <w:szCs w:val="20"/>
        </w:rPr>
        <w:t>:</w:t>
      </w:r>
      <w:r>
        <w:t xml:space="preserve"> Ninguna.</w:t>
      </w:r>
    </w:p>
    <w:p w14:paraId="02D13E78" w14:textId="77777777" w:rsidR="00093A32" w:rsidRDefault="00093A32">
      <w:pPr>
        <w:pStyle w:val="Bodytext70"/>
        <w:spacing w:after="0" w:line="156" w:lineRule="auto"/>
      </w:pPr>
      <w:r>
        <w:rPr>
          <w:i/>
          <w:iCs/>
        </w:rPr>
        <w:t>Kingella kingae</w:t>
      </w:r>
      <w:r>
        <w:rPr>
          <w:i/>
          <w:iCs/>
          <w:w w:val="100"/>
        </w:rPr>
        <w:t>,</w:t>
      </w:r>
      <w:r>
        <w:t xml:space="preserve"> infecciones</w:t>
      </w:r>
    </w:p>
    <w:p w14:paraId="305623B0" w14:textId="77777777" w:rsidR="00093A32" w:rsidRDefault="00093A32">
      <w:pPr>
        <w:pStyle w:val="BodyText"/>
        <w:spacing w:line="276" w:lineRule="auto"/>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infecciones más frecuentes que ocasiona </w:t>
      </w:r>
      <w:r>
        <w:rPr>
          <w:rFonts w:ascii="Times New Roman" w:eastAsia="Times New Roman" w:hAnsi="Times New Roman" w:cs="Times New Roman"/>
          <w:i/>
          <w:iCs/>
          <w:sz w:val="16"/>
          <w:szCs w:val="16"/>
        </w:rPr>
        <w:t>Kingella kingae</w:t>
      </w:r>
      <w:r>
        <w:t xml:space="preserve"> son artritis supurada y osteomielitis. Muchos de los casos se observan en niños de cinco años. La artritis piógena causada por dicho patógeno por lo regular es monoarticular y la rodilla es la articulación atacada más comúnmente, y le siguen en frecuencia las caderas y los tobillos. Las manifestaciones clínicas son semejantes a las de una infección atribuible a otros patógenos bacterianos en niños inmunocompetentes. La osteomielitis causada por </w:t>
      </w:r>
      <w:r>
        <w:rPr>
          <w:rFonts w:ascii="Times New Roman" w:eastAsia="Times New Roman" w:hAnsi="Times New Roman" w:cs="Times New Roman"/>
          <w:i/>
          <w:iCs/>
          <w:sz w:val="16"/>
          <w:szCs w:val="16"/>
        </w:rPr>
        <w:t>K. kingae</w:t>
      </w:r>
      <w:r>
        <w:t xml:space="preserve"> muestra manifestaciones clínicas semejantes a la causada por </w:t>
      </w:r>
      <w:r>
        <w:rPr>
          <w:rFonts w:ascii="Times New Roman" w:eastAsia="Times New Roman" w:hAnsi="Times New Roman" w:cs="Times New Roman"/>
          <w:i/>
          <w:iCs/>
          <w:sz w:val="16"/>
          <w:szCs w:val="16"/>
        </w:rPr>
        <w:t>Staphylococcus aureus.</w:t>
      </w:r>
      <w:r>
        <w:t xml:space="preserve"> El fémur es el hueso afectado con mayor frecuencia. También se ha dicho que </w:t>
      </w:r>
      <w:r>
        <w:rPr>
          <w:rFonts w:ascii="Times New Roman" w:eastAsia="Times New Roman" w:hAnsi="Times New Roman" w:cs="Times New Roman"/>
          <w:i/>
          <w:iCs/>
          <w:sz w:val="16"/>
          <w:szCs w:val="16"/>
        </w:rPr>
        <w:t>Kingella kingae</w:t>
      </w:r>
      <w:r>
        <w:t xml:space="preserve"> ocasiona disquitis, meningitis, endocarditis en niños con una cardiopatía primaria y neumonía.</w:t>
      </w:r>
    </w:p>
    <w:p w14:paraId="73A3E337"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Kingella</w:t>
      </w:r>
      <w:r>
        <w:t xml:space="preserve"> son cocobacilos gramnegativos con trofoespecificidad, que antes pertenecían a la especie </w:t>
      </w:r>
      <w:r>
        <w:rPr>
          <w:rFonts w:ascii="Times New Roman" w:eastAsia="Times New Roman" w:hAnsi="Times New Roman" w:cs="Times New Roman"/>
          <w:i/>
          <w:iCs/>
          <w:sz w:val="16"/>
          <w:szCs w:val="16"/>
        </w:rPr>
        <w:t>Moraxella</w:t>
      </w:r>
      <w:r>
        <w:rPr>
          <w:i/>
          <w:iCs/>
        </w:rPr>
        <w:t>.</w:t>
      </w:r>
      <w:r>
        <w:t xml:space="preserve"> De las tres especies del género </w:t>
      </w:r>
      <w:r>
        <w:rPr>
          <w:rFonts w:ascii="Times New Roman" w:eastAsia="Times New Roman" w:hAnsi="Times New Roman" w:cs="Times New Roman"/>
          <w:i/>
          <w:iCs/>
          <w:sz w:val="16"/>
          <w:szCs w:val="16"/>
        </w:rPr>
        <w:t>Kingella, K. kingae</w:t>
      </w:r>
      <w:r>
        <w:t xml:space="preserve"> es la que más a menudo ocasiona infección.</w:t>
      </w:r>
    </w:p>
    <w:p w14:paraId="7150A260" w14:textId="77777777" w:rsidR="00093A32" w:rsidRDefault="00093A32">
      <w:pPr>
        <w:pStyle w:val="BodyText"/>
        <w:spacing w:line="276" w:lineRule="auto"/>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 bucofaringe del ser humano es el hábitat usual de </w:t>
      </w:r>
      <w:r>
        <w:rPr>
          <w:rFonts w:ascii="Times New Roman" w:eastAsia="Times New Roman" w:hAnsi="Times New Roman" w:cs="Times New Roman"/>
          <w:i/>
          <w:iCs/>
          <w:sz w:val="16"/>
          <w:szCs w:val="16"/>
        </w:rPr>
        <w:t>K. kingae.</w:t>
      </w:r>
      <w:r>
        <w:t xml:space="preserve"> El germen muy a menudo coloniza las vías respiratorias de niños, más que de los adultos, y se transmite entre los menores en centros de atención pediátrica, aunque sin causar por lo regular enfermedad.</w:t>
      </w:r>
    </w:p>
    <w:p w14:paraId="3D721E35" w14:textId="77777777" w:rsidR="00093A32" w:rsidRDefault="00093A32">
      <w:pPr>
        <w:pStyle w:val="BodyText"/>
        <w:ind w:firstLine="360"/>
      </w:pPr>
      <w:r>
        <w:t xml:space="preserve">El </w:t>
      </w:r>
      <w:r>
        <w:rPr>
          <w:b/>
          <w:bCs/>
        </w:rPr>
        <w:t xml:space="preserve">periodo de incubación </w:t>
      </w:r>
      <w:r>
        <w:t>es variable.</w:t>
      </w:r>
    </w:p>
    <w:p w14:paraId="5DFDAF4B" w14:textId="77777777" w:rsidR="00093A32" w:rsidRDefault="00093A32">
      <w:pPr>
        <w:pStyle w:val="BodyText"/>
        <w:ind w:firstLine="0"/>
      </w:pPr>
      <w:r>
        <w:rPr>
          <w:b/>
          <w:bCs/>
        </w:rPr>
        <w:t>M</w:t>
      </w:r>
      <w:r>
        <w:rPr>
          <w:b/>
          <w:bCs/>
          <w:sz w:val="13"/>
          <w:szCs w:val="13"/>
        </w:rPr>
        <w:t xml:space="preserve">ÉTODOS </w:t>
      </w:r>
      <w:r>
        <w:rPr>
          <w:b/>
          <w:bCs/>
          <w:smallCaps/>
          <w:sz w:val="16"/>
          <w:szCs w:val="16"/>
        </w:rPr>
        <w:t>diagnósticos</w:t>
      </w:r>
      <w:r>
        <w:rPr>
          <w:b/>
          <w:bCs/>
          <w:smallCaps/>
          <w:sz w:val="20"/>
          <w:szCs w:val="20"/>
        </w:rPr>
        <w:t xml:space="preserve">: </w:t>
      </w:r>
      <w:r>
        <w:rPr>
          <w:rFonts w:ascii="Times New Roman" w:eastAsia="Times New Roman" w:hAnsi="Times New Roman" w:cs="Times New Roman"/>
          <w:i/>
          <w:iCs/>
          <w:sz w:val="16"/>
          <w:szCs w:val="16"/>
        </w:rPr>
        <w:t>Kingella kingae</w:t>
      </w:r>
      <w:r>
        <w:t xml:space="preserve"> puede aislarse de sangre, líquido sinovial, hueso, líquido cefalorraquídeo, secreciones de vías respiratorias y otros sitios de infección. Proliferan mejor en un medio anaerobio con mayor concentración de bióxido de carbono. En niños con artritis séptica y osteomielitis, los cultivos de sangre por lo común no arrojan resultados positivos. Habrá que inocular en el medio BacTec, BacT/Alert, o algún sistema similar de cultivo de sangre las muestras de líquido sinovial y hueso obtenidas por aspiración, de niños de cinco años de vida o menores en quienes se sospeche la infección, y se les conservará durante siete días para llevar al máximo la posibilidad de identificación del germen.</w:t>
      </w:r>
    </w:p>
    <w:p w14:paraId="683ABA7E" w14:textId="77777777" w:rsidR="00093A32" w:rsidRDefault="00093A32">
      <w:pPr>
        <w:pStyle w:val="BodyText"/>
        <w:ind w:firstLine="0"/>
      </w:pPr>
      <w:r>
        <w:rPr>
          <w:b/>
          <w:bCs/>
        </w:rPr>
        <w:t>T</w:t>
      </w:r>
      <w:r>
        <w:rPr>
          <w:b/>
          <w:bCs/>
          <w:sz w:val="13"/>
          <w:szCs w:val="13"/>
        </w:rPr>
        <w:t>RATAMIENTO</w:t>
      </w:r>
      <w:r>
        <w:rPr>
          <w:b/>
          <w:bCs/>
        </w:rPr>
        <w:t xml:space="preserve">: </w:t>
      </w:r>
      <w:r>
        <w:t xml:space="preserve">La penicilina es el fármaco más indicado para tratar infecciones invasoras por cepas de </w:t>
      </w:r>
      <w:r>
        <w:rPr>
          <w:rFonts w:ascii="Times New Roman" w:eastAsia="Times New Roman" w:hAnsi="Times New Roman" w:cs="Times New Roman"/>
          <w:i/>
          <w:iCs/>
          <w:sz w:val="16"/>
          <w:szCs w:val="16"/>
        </w:rPr>
        <w:t>K. kingae</w:t>
      </w:r>
      <w:r>
        <w:t xml:space="preserve"> negativas a lactamasa beta. También son eficaces otros agentes lactámicos beta. Las cepas por lo común son susceptibles a la acción de aminoglucósidos, ciprofloxacina, eritromicina, trimetoprim-sulfametoxazol y oxacilina y presentan resistencia variable a la clindamicina y al clorhidrato de vancomicina. En el tratamiento inicial de la endocarditis puede ser útil la combinación de sulfato de gentamicina y penicilina.</w:t>
      </w:r>
    </w:p>
    <w:p w14:paraId="30116358"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261CEC34" w14:textId="77777777" w:rsidR="00093A32" w:rsidRDefault="00093A32">
      <w:pPr>
        <w:pStyle w:val="Other0"/>
        <w:spacing w:after="6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3E9E5A70" w14:textId="77777777" w:rsidR="00093A32" w:rsidRDefault="00093A32">
      <w:pPr>
        <w:pStyle w:val="BodyText"/>
        <w:ind w:firstLine="0"/>
      </w:pPr>
      <w:r>
        <w:t>por largo tiempo recibir aspirina por el posible riesgo mayor de presentar síndrome de Reye, está indicada la vacunación anual contra la influenza (véase “Influenza” en esta sección).</w:t>
      </w:r>
    </w:p>
    <w:p w14:paraId="5C004278" w14:textId="77777777" w:rsidR="00093A32" w:rsidRDefault="00093A32">
      <w:pPr>
        <w:pStyle w:val="Other0"/>
        <w:spacing w:after="120" w:line="257"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siguen las precauciones estándar. </w:t>
      </w:r>
      <w:r>
        <w:rPr>
          <w:b/>
          <w:bCs/>
          <w:smallCaps/>
          <w:sz w:val="20"/>
          <w:szCs w:val="20"/>
        </w:rPr>
        <w:t>M</w:t>
      </w:r>
      <w:r>
        <w:rPr>
          <w:b/>
          <w:bCs/>
          <w:smallCaps/>
          <w:sz w:val="16"/>
          <w:szCs w:val="16"/>
        </w:rPr>
        <w:t>edidas preventivas</w:t>
      </w:r>
      <w:r>
        <w:rPr>
          <w:b/>
          <w:bCs/>
          <w:smallCaps/>
          <w:sz w:val="20"/>
          <w:szCs w:val="20"/>
        </w:rPr>
        <w:t>:</w:t>
      </w:r>
      <w:r>
        <w:t xml:space="preserve"> Ninguna.</w:t>
      </w:r>
    </w:p>
    <w:p w14:paraId="1102CFE3" w14:textId="77777777" w:rsidR="00093A32" w:rsidRDefault="00093A32">
      <w:pPr>
        <w:pStyle w:val="Bodytext70"/>
        <w:spacing w:after="0" w:line="156" w:lineRule="auto"/>
      </w:pPr>
      <w:r>
        <w:rPr>
          <w:i/>
          <w:iCs/>
        </w:rPr>
        <w:t>Kingella kingae</w:t>
      </w:r>
      <w:r>
        <w:rPr>
          <w:i/>
          <w:iCs/>
          <w:w w:val="100"/>
        </w:rPr>
        <w:t>,</w:t>
      </w:r>
      <w:r>
        <w:t xml:space="preserve"> infecciones</w:t>
      </w:r>
    </w:p>
    <w:p w14:paraId="33EDE639" w14:textId="77777777" w:rsidR="00093A32" w:rsidRDefault="00093A32">
      <w:pPr>
        <w:pStyle w:val="BodyText"/>
        <w:spacing w:line="276" w:lineRule="auto"/>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infecciones más frecuentes que ocasiona </w:t>
      </w:r>
      <w:r>
        <w:rPr>
          <w:rFonts w:ascii="Times New Roman" w:eastAsia="Times New Roman" w:hAnsi="Times New Roman" w:cs="Times New Roman"/>
          <w:i/>
          <w:iCs/>
          <w:sz w:val="16"/>
          <w:szCs w:val="16"/>
        </w:rPr>
        <w:t>Kingella kingae</w:t>
      </w:r>
      <w:r>
        <w:t xml:space="preserve"> son artritis supurada y osteomielitis. Muchos de los casos se observan en niños de cinco años. La artritis piógena causada por dicho patógeno por lo regular es monoarticular y la rodilla es la articulación atacada más comúnmente, y le siguen en frecuencia las caderas y los tobillos. Las manifestaciones clínicas son semejantes a las de una infección atribuible a otros patógenos bacterianos en niños inmunocompetentes. La osteomielitis causada por </w:t>
      </w:r>
      <w:r>
        <w:rPr>
          <w:rFonts w:ascii="Times New Roman" w:eastAsia="Times New Roman" w:hAnsi="Times New Roman" w:cs="Times New Roman"/>
          <w:i/>
          <w:iCs/>
          <w:sz w:val="16"/>
          <w:szCs w:val="16"/>
        </w:rPr>
        <w:t>K. kingae</w:t>
      </w:r>
      <w:r>
        <w:t xml:space="preserve"> muestra manifestaciones clínicas semejantes a la causada por </w:t>
      </w:r>
      <w:r>
        <w:rPr>
          <w:rFonts w:ascii="Times New Roman" w:eastAsia="Times New Roman" w:hAnsi="Times New Roman" w:cs="Times New Roman"/>
          <w:i/>
          <w:iCs/>
          <w:sz w:val="16"/>
          <w:szCs w:val="16"/>
        </w:rPr>
        <w:t>Staphylococcus aureus.</w:t>
      </w:r>
      <w:r>
        <w:t xml:space="preserve"> El fémur es el hueso afectado con mayor frecuencia. También se ha dicho que </w:t>
      </w:r>
      <w:r>
        <w:rPr>
          <w:rFonts w:ascii="Times New Roman" w:eastAsia="Times New Roman" w:hAnsi="Times New Roman" w:cs="Times New Roman"/>
          <w:i/>
          <w:iCs/>
          <w:sz w:val="16"/>
          <w:szCs w:val="16"/>
        </w:rPr>
        <w:t>Kingella kingae</w:t>
      </w:r>
      <w:r>
        <w:t xml:space="preserve"> ocasiona disquitis, meningitis, endocarditis en niños con una cardiopatía primaria y neumonía.</w:t>
      </w:r>
    </w:p>
    <w:p w14:paraId="48A5D95F"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Kingella</w:t>
      </w:r>
      <w:r>
        <w:t xml:space="preserve"> son cocobacilos gramnegativos con trofoespecificidad, que antes pertenecían a la especie </w:t>
      </w:r>
      <w:r>
        <w:rPr>
          <w:rFonts w:ascii="Times New Roman" w:eastAsia="Times New Roman" w:hAnsi="Times New Roman" w:cs="Times New Roman"/>
          <w:i/>
          <w:iCs/>
          <w:sz w:val="16"/>
          <w:szCs w:val="16"/>
        </w:rPr>
        <w:t>Moraxella</w:t>
      </w:r>
      <w:r>
        <w:rPr>
          <w:i/>
          <w:iCs/>
        </w:rPr>
        <w:t>.</w:t>
      </w:r>
      <w:r>
        <w:t xml:space="preserve"> De las tres especies del género </w:t>
      </w:r>
      <w:r>
        <w:rPr>
          <w:rFonts w:ascii="Times New Roman" w:eastAsia="Times New Roman" w:hAnsi="Times New Roman" w:cs="Times New Roman"/>
          <w:i/>
          <w:iCs/>
          <w:sz w:val="16"/>
          <w:szCs w:val="16"/>
        </w:rPr>
        <w:t>Kingella, K. kingae</w:t>
      </w:r>
      <w:r>
        <w:t xml:space="preserve"> es la que más a menudo ocasiona infección.</w:t>
      </w:r>
    </w:p>
    <w:p w14:paraId="1D90E1FD" w14:textId="77777777" w:rsidR="00093A32" w:rsidRDefault="00093A32">
      <w:pPr>
        <w:pStyle w:val="BodyText"/>
        <w:spacing w:line="276" w:lineRule="auto"/>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 bucofaringe del ser humano es el hábitat usual de </w:t>
      </w:r>
      <w:r>
        <w:rPr>
          <w:rFonts w:ascii="Times New Roman" w:eastAsia="Times New Roman" w:hAnsi="Times New Roman" w:cs="Times New Roman"/>
          <w:i/>
          <w:iCs/>
          <w:sz w:val="16"/>
          <w:szCs w:val="16"/>
        </w:rPr>
        <w:t>K. kingae.</w:t>
      </w:r>
      <w:r>
        <w:t xml:space="preserve"> El germen muy a menudo coloniza las vías respiratorias de niños, más que de los adultos, y se transmite entre los menores en centros de atención pediátrica, aunque sin causar por lo regular enfermedad.</w:t>
      </w:r>
    </w:p>
    <w:p w14:paraId="5A3A5D88" w14:textId="77777777" w:rsidR="00093A32" w:rsidRDefault="00093A32">
      <w:pPr>
        <w:pStyle w:val="BodyText"/>
        <w:ind w:firstLine="360"/>
      </w:pPr>
      <w:r>
        <w:t xml:space="preserve">El </w:t>
      </w:r>
      <w:r>
        <w:rPr>
          <w:b/>
          <w:bCs/>
        </w:rPr>
        <w:t xml:space="preserve">periodo de incubación </w:t>
      </w:r>
      <w:r>
        <w:t>es variable.</w:t>
      </w:r>
    </w:p>
    <w:p w14:paraId="0C231435" w14:textId="77777777" w:rsidR="00093A32" w:rsidRDefault="00093A32">
      <w:pPr>
        <w:pStyle w:val="BodyText"/>
        <w:ind w:firstLine="0"/>
      </w:pPr>
      <w:r>
        <w:rPr>
          <w:b/>
          <w:bCs/>
        </w:rPr>
        <w:t>M</w:t>
      </w:r>
      <w:r>
        <w:rPr>
          <w:b/>
          <w:bCs/>
          <w:sz w:val="13"/>
          <w:szCs w:val="13"/>
        </w:rPr>
        <w:t xml:space="preserve">ÉTODOS </w:t>
      </w:r>
      <w:r>
        <w:rPr>
          <w:b/>
          <w:bCs/>
          <w:smallCaps/>
          <w:sz w:val="16"/>
          <w:szCs w:val="16"/>
        </w:rPr>
        <w:t>diagnósticos</w:t>
      </w:r>
      <w:r>
        <w:rPr>
          <w:b/>
          <w:bCs/>
          <w:smallCaps/>
          <w:sz w:val="20"/>
          <w:szCs w:val="20"/>
        </w:rPr>
        <w:t xml:space="preserve">: </w:t>
      </w:r>
      <w:r>
        <w:rPr>
          <w:rFonts w:ascii="Times New Roman" w:eastAsia="Times New Roman" w:hAnsi="Times New Roman" w:cs="Times New Roman"/>
          <w:i/>
          <w:iCs/>
          <w:sz w:val="16"/>
          <w:szCs w:val="16"/>
        </w:rPr>
        <w:t>Kingella kingae</w:t>
      </w:r>
      <w:r>
        <w:t xml:space="preserve"> puede aislarse de sangre, líquido sinovial, hueso, líquido cefalorraquídeo, secreciones de vías respiratorias y otros sitios de infección. Proliferan mejor en un medio anaerobio con mayor concentración de bióxido de carbono. En niños con artritis séptica y osteomielitis, los cultivos de sangre por lo común no arrojan resultados positivos. Habrá que inocular en el medio BacTec, BacT/Alert, o algún sistema similar de cultivo de sangre las muestras de líquido sinovial y hueso obtenidas por aspiración, de niños de cinco años de vida o menores en quienes se sospeche la infección, y se les conservará durante siete días para llevar al máximo la posibilidad de identificación del germen.</w:t>
      </w:r>
    </w:p>
    <w:p w14:paraId="38CAFB03" w14:textId="77777777" w:rsidR="00093A32" w:rsidRDefault="00093A32">
      <w:pPr>
        <w:pStyle w:val="BodyText"/>
        <w:ind w:firstLine="0"/>
      </w:pPr>
      <w:r>
        <w:rPr>
          <w:b/>
          <w:bCs/>
        </w:rPr>
        <w:t>T</w:t>
      </w:r>
      <w:r>
        <w:rPr>
          <w:b/>
          <w:bCs/>
          <w:sz w:val="13"/>
          <w:szCs w:val="13"/>
        </w:rPr>
        <w:t>RATAMIENTO</w:t>
      </w:r>
      <w:r>
        <w:rPr>
          <w:b/>
          <w:bCs/>
        </w:rPr>
        <w:t xml:space="preserve">: </w:t>
      </w:r>
      <w:r>
        <w:t xml:space="preserve">La penicilina es el fármaco más indicado para tratar infecciones invasoras por cepas de </w:t>
      </w:r>
      <w:r>
        <w:rPr>
          <w:rFonts w:ascii="Times New Roman" w:eastAsia="Times New Roman" w:hAnsi="Times New Roman" w:cs="Times New Roman"/>
          <w:i/>
          <w:iCs/>
          <w:sz w:val="16"/>
          <w:szCs w:val="16"/>
        </w:rPr>
        <w:t>K. kingae</w:t>
      </w:r>
      <w:r>
        <w:t xml:space="preserve"> negativas a lactamasa beta. También son eficaces otros agentes lactámicos beta. Las cepas por lo común son susceptibles a la acción de aminoglucósidos, ciprofloxacina, eritromicina, trimetoprim-sulfametoxazol y oxacilina y presentan resistencia variable a la clindamicina y al clorhidrato de vancomicina. En el tratamiento inicial de la endocarditis puede ser útil la combinación de sulfato de gentamicina y penicilina.</w:t>
      </w:r>
    </w:p>
    <w:p w14:paraId="5E0C800C"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20994406" w14:textId="77777777" w:rsidR="00093A32" w:rsidRDefault="00093A32">
      <w:pPr>
        <w:pStyle w:val="Other0"/>
        <w:spacing w:after="60" w:line="257" w:lineRule="auto"/>
        <w:ind w:firstLine="0"/>
        <w:sectPr w:rsidR="00093A32" w:rsidSect="00093A32">
          <w:headerReference w:type="even" r:id="rId473"/>
          <w:headerReference w:type="default" r:id="rId474"/>
          <w:footerReference w:type="even" r:id="rId475"/>
          <w:footerReference w:type="default" r:id="rId476"/>
          <w:footnotePr>
            <w:numFmt w:val="chicago"/>
          </w:footnotePr>
          <w:type w:val="continuous"/>
          <w:pgSz w:w="8501" w:h="13022"/>
          <w:pgMar w:top="710" w:right="796" w:bottom="428" w:left="783" w:header="0" w:footer="0" w:gutter="0"/>
          <w:cols w:space="720"/>
          <w:noEndnote/>
          <w:docGrid w:linePitch="360"/>
          <w15:footnoteColumns w:val="1"/>
        </w:sectPr>
      </w:pPr>
      <w:r>
        <w:rPr>
          <w:b/>
          <w:bCs/>
          <w:smallCaps/>
          <w:sz w:val="20"/>
          <w:szCs w:val="20"/>
        </w:rPr>
        <w:t>M</w:t>
      </w:r>
      <w:r>
        <w:rPr>
          <w:b/>
          <w:bCs/>
          <w:smallCaps/>
          <w:sz w:val="16"/>
          <w:szCs w:val="16"/>
        </w:rPr>
        <w:t>edidas preventivas</w:t>
      </w:r>
      <w:r>
        <w:rPr>
          <w:b/>
          <w:bCs/>
          <w:smallCaps/>
          <w:sz w:val="20"/>
          <w:szCs w:val="20"/>
        </w:rPr>
        <w:t>:</w:t>
      </w:r>
      <w:r>
        <w:t xml:space="preserve"> Ninguna.</w:t>
      </w:r>
    </w:p>
    <w:p w14:paraId="32D350BB" w14:textId="77777777" w:rsidR="00093A32" w:rsidRDefault="00093A32">
      <w:pPr>
        <w:pStyle w:val="Bodytext70"/>
        <w:spacing w:after="0"/>
      </w:pPr>
      <w:r>
        <w:rPr>
          <w:i/>
          <w:iCs/>
        </w:rPr>
        <w:t>Legionella pneumophila</w:t>
      </w:r>
      <w:r>
        <w:rPr>
          <w:i/>
          <w:iCs/>
          <w:w w:val="100"/>
        </w:rPr>
        <w:t>,</w:t>
      </w:r>
      <w:r>
        <w:t xml:space="preserve"> infecciones</w:t>
      </w:r>
    </w:p>
    <w:p w14:paraId="6FCCD266" w14:textId="77777777" w:rsidR="00093A32" w:rsidRDefault="00093A32">
      <w:pPr>
        <w:pStyle w:val="BodyText"/>
        <w:ind w:firstLine="0"/>
      </w:pPr>
      <w:r>
        <w:rPr>
          <w:b/>
          <w:bCs/>
        </w:rPr>
        <w:t>M</w:t>
      </w:r>
      <w:r>
        <w:rPr>
          <w:b/>
          <w:bCs/>
          <w:sz w:val="13"/>
          <w:szCs w:val="13"/>
        </w:rPr>
        <w:t>ANIFESTACIONES CLÍNICAS</w:t>
      </w:r>
      <w:r>
        <w:rPr>
          <w:b/>
          <w:bCs/>
        </w:rPr>
        <w:t xml:space="preserve">: </w:t>
      </w:r>
      <w:r>
        <w:t>La legionelosis se vincula con dos cuadros que muestran particularidades clínicas y epidemiológicas: enfermedad de los legionarios y la fiebre de Pontiac. La primera entidad varía de la pulmonía leve a la grave y se caracteriza por fiebre, tos y un cuadro disneico progresivo. La enfermedad de los legionarios puede acompañarse de escalofríos, mialgias y manifestaciones de vías gastrointestinales, sistema nervioso central y riñones. Puede sobrevenir insuficiencia respiratoria y la muerte. La fiebre de Pontiac es un cuadro febril menos intenso sin neumonía que aparece en epidemias y se caracteriza por un conjunto de síntomas similares a los de la influenza, que comienzan de modo repentino y que ceden por sí solos.</w:t>
      </w:r>
    </w:p>
    <w:p w14:paraId="1FB0834D" w14:textId="77777777" w:rsidR="00093A32" w:rsidRDefault="00093A32">
      <w:pPr>
        <w:pStyle w:val="BodyText"/>
        <w:ind w:firstLine="0"/>
      </w:pPr>
      <w:r>
        <w:rPr>
          <w:b/>
          <w:bCs/>
        </w:rPr>
        <w:t>C</w:t>
      </w:r>
      <w:r>
        <w:rPr>
          <w:b/>
          <w:bCs/>
          <w:sz w:val="13"/>
          <w:szCs w:val="13"/>
        </w:rPr>
        <w:t>AUSAS</w:t>
      </w:r>
      <w:r>
        <w:rPr>
          <w:b/>
          <w:bCs/>
        </w:rPr>
        <w:t xml:space="preserve">: </w:t>
      </w:r>
      <w:r>
        <w:t xml:space="preserve">Los miembros de la especie de </w:t>
      </w:r>
      <w:r>
        <w:rPr>
          <w:rFonts w:ascii="Times New Roman" w:eastAsia="Times New Roman" w:hAnsi="Times New Roman" w:cs="Times New Roman"/>
          <w:i/>
          <w:iCs/>
          <w:sz w:val="16"/>
          <w:szCs w:val="16"/>
        </w:rPr>
        <w:t>Legionella</w:t>
      </w:r>
      <w:r>
        <w:t xml:space="preserve"> son bacilos aeróbicos trofoespecíficos que captan la tinción de Gram después de identificarlos en medios artificiales. Se ha dicho que 18 especies diferentes, cuando menos, causan enfermedad del ser humano, pero la infección mejor corroborada en Estados Unidos de este grupo de microorganismos es la causada por el serogrupo 1 de </w:t>
      </w:r>
      <w:r>
        <w:rPr>
          <w:rFonts w:ascii="Times New Roman" w:eastAsia="Times New Roman" w:hAnsi="Times New Roman" w:cs="Times New Roman"/>
          <w:i/>
          <w:iCs/>
          <w:sz w:val="16"/>
          <w:szCs w:val="16"/>
        </w:rPr>
        <w:t>Legionella pneumophila</w:t>
      </w:r>
      <w:r>
        <w:rPr>
          <w:i/>
          <w:iCs/>
        </w:rPr>
        <w:t>.</w:t>
      </w:r>
    </w:p>
    <w:p w14:paraId="51A9D858" w14:textId="77777777" w:rsidR="00093A32" w:rsidRDefault="00093A32">
      <w:pPr>
        <w:pStyle w:val="BodyText"/>
        <w:ind w:firstLine="360"/>
      </w:pPr>
      <w:r>
        <w:rPr>
          <w:b/>
          <w:bCs/>
        </w:rPr>
        <w:t>A</w:t>
      </w:r>
      <w:r>
        <w:rPr>
          <w:b/>
          <w:bCs/>
          <w:sz w:val="13"/>
          <w:szCs w:val="13"/>
        </w:rPr>
        <w:t>SPECTOS EPIDEMIOLÓGICOS</w:t>
      </w:r>
      <w:r>
        <w:rPr>
          <w:b/>
          <w:bCs/>
        </w:rPr>
        <w:t xml:space="preserve">: </w:t>
      </w:r>
      <w:r>
        <w:t xml:space="preserve">El contagio de la enfermedad de los legionarios se hace al inhalar agua en aerosol contaminada por </w:t>
      </w:r>
      <w:r>
        <w:rPr>
          <w:rFonts w:ascii="Times New Roman" w:eastAsia="Times New Roman" w:hAnsi="Times New Roman" w:cs="Times New Roman"/>
          <w:i/>
          <w:iCs/>
          <w:sz w:val="16"/>
          <w:szCs w:val="16"/>
        </w:rPr>
        <w:t>L. pneumophila.</w:t>
      </w:r>
      <w:r>
        <w:t xml:space="preserve"> No se ha demostrado que haya transmisión directa de una persona a otra. Más de 80% de los casos son esporádicos; las causas de la infección quizá provengan de la exposición a agua contaminada por </w:t>
      </w:r>
      <w:r>
        <w:rPr>
          <w:rFonts w:ascii="Times New Roman" w:eastAsia="Times New Roman" w:hAnsi="Times New Roman" w:cs="Times New Roman"/>
          <w:i/>
          <w:iCs/>
          <w:sz w:val="16"/>
          <w:szCs w:val="16"/>
        </w:rPr>
        <w:t>L. pneumophila</w:t>
      </w:r>
      <w:r>
        <w:t xml:space="preserve"> en el hogar del paciente, su sitio de trabajo o el lugar donde recibe atención médica, o proveniente de algún dispositivo generador de aerosol en sitios públicos. Se ha dicho que algunos brotes provienen de la exposición a una fuente común, como serían torres de enfriamiento contaminadas, condensadores de evaporación, sistemas de agua potable, baños en tinas de remolino, humidificadores y equipo para neumoterapia. Se han observado brotes en hospitales, cruceros marítimos, hoteles y otros grandes edificios. También hay infecciones nosocomiales y a menudo se ha podido identificar que su causa es el abasto de agua caliente. La enfermedad ataca con mayor frecuencia a ancianos y personas inmunodeficientes. La infección en los niños es rara y por lo común no causa síntomas, o si los produce, son leves y pasan inadvertidos. Se ha detectado enfermedad grave en niños con cánceres, inmunodeficiencia combinada grave, enfermedad granulomatosa crónica, trasplante de órganos, nefropatía en etapa terminal o neumopatía primaria e inmunosupresión con corticosteroides.</w:t>
      </w:r>
    </w:p>
    <w:p w14:paraId="7BDD8AB9" w14:textId="77777777" w:rsidR="00093A32" w:rsidRDefault="00093A32">
      <w:pPr>
        <w:pStyle w:val="BodyText"/>
        <w:ind w:firstLine="360"/>
      </w:pPr>
      <w:r>
        <w:t xml:space="preserve">El </w:t>
      </w:r>
      <w:r>
        <w:rPr>
          <w:b/>
          <w:bCs/>
        </w:rPr>
        <w:t xml:space="preserve">periodo de incubación </w:t>
      </w:r>
      <w:r>
        <w:t>en la enfermedad de los legionarios (neumonía) va de dos a 10 días, y en el caso de la fiebre de Pontiac, de uno a dos días.</w:t>
      </w:r>
    </w:p>
    <w:p w14:paraId="7D1FC47A" w14:textId="77777777" w:rsidR="00093A32" w:rsidRDefault="00093A32">
      <w:pPr>
        <w:pStyle w:val="BodyText"/>
        <w:ind w:firstLine="0"/>
      </w:pPr>
      <w:r>
        <w:rPr>
          <w:b/>
          <w:bCs/>
        </w:rPr>
        <w:t>M</w:t>
      </w:r>
      <w:r>
        <w:rPr>
          <w:b/>
          <w:bCs/>
          <w:sz w:val="13"/>
          <w:szCs w:val="13"/>
        </w:rPr>
        <w:t>ÉTODOS DIAGNÓSTICOS</w:t>
      </w:r>
      <w:r>
        <w:rPr>
          <w:b/>
          <w:bCs/>
        </w:rPr>
        <w:t xml:space="preserve">: </w:t>
      </w:r>
      <w:r>
        <w:t xml:space="preserve">La infección se corrobora en forma definitiva con la identificación de </w:t>
      </w:r>
      <w:r>
        <w:rPr>
          <w:rFonts w:ascii="Times New Roman" w:eastAsia="Times New Roman" w:hAnsi="Times New Roman" w:cs="Times New Roman"/>
          <w:i/>
          <w:iCs/>
          <w:sz w:val="16"/>
          <w:szCs w:val="16"/>
        </w:rPr>
        <w:t>L. pneumophila</w:t>
      </w:r>
      <w:r>
        <w:t xml:space="preserve"> de secreciones de vías respiratorias, líquido pulmonar o pleural y otras muestras de líquidos que normalmente son estériles, por medios de cultivo especiales. La presencia del germen puede demostrarse en tales muestras por inmunofluorescencia directa, pero el dicho método es menos sensible y menos específico que el cultivo. La detección de antígenos de </w:t>
      </w:r>
      <w:r>
        <w:rPr>
          <w:rFonts w:ascii="Times New Roman" w:eastAsia="Times New Roman" w:hAnsi="Times New Roman" w:cs="Times New Roman"/>
          <w:i/>
          <w:iCs/>
          <w:sz w:val="16"/>
          <w:szCs w:val="16"/>
        </w:rPr>
        <w:t>Legionella</w:t>
      </w:r>
      <w:r>
        <w:t xml:space="preserve"> en la orina por medio de inmunoanálisis comerciales es muy específica y más sensible que el método de inmunofluorescencia en secreciones de vías respiratorias. Los estudios en cuestión son los más sensibles en el caso de serogrupo 1 de </w:t>
      </w:r>
      <w:r>
        <w:rPr>
          <w:rFonts w:ascii="Times New Roman" w:eastAsia="Times New Roman" w:hAnsi="Times New Roman" w:cs="Times New Roman"/>
          <w:i/>
          <w:iCs/>
          <w:sz w:val="16"/>
          <w:szCs w:val="16"/>
        </w:rPr>
        <w:t>L. pneumophila</w:t>
      </w:r>
      <w:r>
        <w:t xml:space="preserve">, pero detectan el antígeno en algunos niños infectados por otro serogrupo o especies del microorganismo. En el caso del diagnóstico serológico, también denota infección aguda el incremento cuádruple del título de anticuerpos contra el serogrupo 1 de </w:t>
      </w:r>
      <w:r>
        <w:rPr>
          <w:rFonts w:ascii="Times New Roman" w:eastAsia="Times New Roman" w:hAnsi="Times New Roman" w:cs="Times New Roman"/>
          <w:i/>
          <w:iCs/>
          <w:sz w:val="16"/>
          <w:szCs w:val="16"/>
        </w:rPr>
        <w:t>L. pneumophila</w:t>
      </w:r>
      <w:r>
        <w:t xml:space="preserve"> medido por la técnica de anticuerpos por inmunofluorescencia indirecta </w:t>
      </w:r>
      <w:r>
        <w:rPr>
          <w:rFonts w:ascii="Times New Roman" w:eastAsia="Times New Roman" w:hAnsi="Times New Roman" w:cs="Times New Roman"/>
          <w:i/>
          <w:iCs/>
          <w:sz w:val="16"/>
          <w:szCs w:val="16"/>
        </w:rPr>
        <w:t>(indirect immunofluorescence antibody, IFA)</w:t>
      </w:r>
      <w:r>
        <w:rPr>
          <w:i/>
          <w:iCs/>
        </w:rPr>
        <w:t>.</w:t>
      </w:r>
      <w:r>
        <w:t xml:space="preserve"> Los títulos de anticuerpos suelen aumentar en término de una a seis semanas de haber comenzado los síntomas, pero tal incremento pudiera no surgir incluso durante 12 semanas. Es poco el valor predictivo positivo de un solo título que sea de 1:256 o mayor, y no corrobora definitivamente la presencia de la infección. Pueden originar resultados positivos falsos de la prueba IFA los anticuerpos a otros gérmenes gramnegativos, incluidas especies de </w:t>
      </w:r>
      <w:r>
        <w:rPr>
          <w:rFonts w:ascii="Times New Roman" w:eastAsia="Times New Roman" w:hAnsi="Times New Roman" w:cs="Times New Roman"/>
          <w:i/>
          <w:iCs/>
          <w:sz w:val="16"/>
          <w:szCs w:val="16"/>
        </w:rPr>
        <w:t>Pseudomonas</w:t>
      </w:r>
      <w:r>
        <w:rPr>
          <w:i/>
          <w:iCs/>
        </w:rPr>
        <w:t xml:space="preserve">, </w:t>
      </w:r>
      <w:r>
        <w:rPr>
          <w:rFonts w:ascii="Times New Roman" w:eastAsia="Times New Roman" w:hAnsi="Times New Roman" w:cs="Times New Roman"/>
          <w:i/>
          <w:iCs/>
          <w:sz w:val="16"/>
          <w:szCs w:val="16"/>
        </w:rPr>
        <w:t>Bacteroides fragilis</w:t>
      </w:r>
      <w:r>
        <w:t xml:space="preserve"> y </w:t>
      </w:r>
      <w:r>
        <w:rPr>
          <w:rFonts w:ascii="Times New Roman" w:eastAsia="Times New Roman" w:hAnsi="Times New Roman" w:cs="Times New Roman"/>
          <w:i/>
          <w:iCs/>
          <w:sz w:val="16"/>
          <w:szCs w:val="16"/>
        </w:rPr>
        <w:t>Campylobacter jejuni.</w:t>
      </w:r>
      <w:r>
        <w:t xml:space="preserve"> En el comercio se cuenta ya (aunque no han sido estandarizados de modo adecuado) con nuevos métodos serológicos, como inmunoanálisis enzimático o pruebas que usan antígenos de </w:t>
      </w:r>
      <w:r>
        <w:rPr>
          <w:rFonts w:ascii="Times New Roman" w:eastAsia="Times New Roman" w:hAnsi="Times New Roman" w:cs="Times New Roman"/>
          <w:i/>
          <w:iCs/>
          <w:sz w:val="16"/>
          <w:szCs w:val="16"/>
        </w:rPr>
        <w:t>Legionella</w:t>
      </w:r>
      <w:r>
        <w:t xml:space="preserve"> distintos de los del serogrupo 1.</w:t>
      </w:r>
    </w:p>
    <w:p w14:paraId="46C18477" w14:textId="77777777" w:rsidR="00093A32" w:rsidRDefault="00093A32">
      <w:pPr>
        <w:pStyle w:val="BodyText"/>
        <w:ind w:firstLine="0"/>
      </w:pPr>
      <w:r>
        <w:rPr>
          <w:b/>
          <w:bCs/>
        </w:rPr>
        <w:t>T</w:t>
      </w:r>
      <w:r>
        <w:rPr>
          <w:b/>
          <w:bCs/>
          <w:sz w:val="13"/>
          <w:szCs w:val="13"/>
        </w:rPr>
        <w:t>RATAMIENTO</w:t>
      </w:r>
      <w:r>
        <w:rPr>
          <w:b/>
          <w:bCs/>
        </w:rPr>
        <w:t xml:space="preserve">: </w:t>
      </w:r>
      <w:r>
        <w:t>En la actualidad el fármaco más indicado es la azitromicina dihidratada por vía endovenosa (10 mg/kg al día en una sola dosis; dosis máxima, 500 mg) en vez de la eritromicina. Una vez que mejora el estado del niño puede administrarse por vía oral. Se recomienda agregar rifampicina en pacientes con la enfermedad diagnosticada en muy grave estado o que muestran inmunodeficiencia o en quienes la infección no reacciona rápidamente ni mejora con la azitromicina intravenosa. Las fluoroquinolonas, como ciprofloxacina y levofloxacina, son bactericidas y eficaces pero no se ha aprobado su empleo en personas menores de 18 años. Otros fármacos a los que cabe recurrir son la doxiciclina y el trimetoprim-sulfametoxazol. La primera no debe usarse en embarazadas y en niños menores de ocho años por el riesgo de que manche los dientes. El tratamiento dura de cinco a 10 días si administra azitromicina, y 14 a 21 días en el caso de otros fármacos; se recomiendan ciclos más largos para personas inmunodeficientes o con la enfermedad grave.</w:t>
      </w:r>
    </w:p>
    <w:p w14:paraId="0903A4B9"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6BD2F85D" w14:textId="77777777" w:rsidR="00093A32" w:rsidRDefault="00093A32">
      <w:pPr>
        <w:pStyle w:val="BodyText"/>
        <w:ind w:firstLine="0"/>
      </w:pPr>
      <w:r>
        <w:rPr>
          <w:b/>
          <w:bCs/>
        </w:rPr>
        <w:t>M</w:t>
      </w:r>
      <w:r>
        <w:rPr>
          <w:b/>
          <w:bCs/>
          <w:sz w:val="13"/>
          <w:szCs w:val="13"/>
        </w:rPr>
        <w:t>EDIDAS PREVENTIVAS</w:t>
      </w:r>
      <w:r>
        <w:rPr>
          <w:b/>
          <w:bCs/>
        </w:rPr>
        <w:t xml:space="preserve">: </w:t>
      </w:r>
      <w:r>
        <w:t xml:space="preserve">Los principales métodos para descontaminar los abastos de agua potable en caso de brotes de una fuente común son la hipercloración o el supercalentamiento (hasta 71 a 76°C) junto con la limpieza mecánica apropiada, a lo que seguirá la cloración continua; otra posibilidad es conservar la temperatura de agua caliente en el grifo, mayor de 50°C. Otros métodos de desinfección, como la ionización de cobre-plata por electrolisis, han frenado la proliferación de </w:t>
      </w:r>
      <w:r>
        <w:rPr>
          <w:rFonts w:ascii="Times New Roman" w:eastAsia="Times New Roman" w:hAnsi="Times New Roman" w:cs="Times New Roman"/>
          <w:i/>
          <w:iCs/>
          <w:sz w:val="16"/>
          <w:szCs w:val="16"/>
        </w:rPr>
        <w:t>Legionella</w:t>
      </w:r>
      <w:r>
        <w:t xml:space="preserve"> en los laboratorios.</w:t>
      </w:r>
    </w:p>
    <w:p w14:paraId="178EF99B" w14:textId="77777777" w:rsidR="00093A32" w:rsidRDefault="00093A32">
      <w:pPr>
        <w:pStyle w:val="BodyText"/>
        <w:spacing w:after="100"/>
        <w:ind w:firstLine="360"/>
      </w:pPr>
      <w:r>
        <w:t>La aparición de un solo caso nosocomial de legionelosis, confirmado por datos de laboratorio, obliga a emprender una investigación epidemiológica y ambiental, sobre todo en instituciones que atienden a personas inmunodeficientes altamente susceptibles. Habrá que notificar los casos corroborados de legionelosis a los departamentos de sanidad estatales y locales.</w:t>
      </w:r>
    </w:p>
    <w:p w14:paraId="630A5F7C" w14:textId="77777777" w:rsidR="00093A32" w:rsidRDefault="00093A32">
      <w:pPr>
        <w:pStyle w:val="Bodytext70"/>
        <w:spacing w:after="0"/>
      </w:pPr>
      <w:r>
        <w:t>Leishmaniasis</w:t>
      </w:r>
    </w:p>
    <w:p w14:paraId="1FFE1062" w14:textId="77777777" w:rsidR="00093A32" w:rsidRDefault="00093A32">
      <w:pPr>
        <w:pStyle w:val="BodyText"/>
        <w:ind w:firstLine="0"/>
      </w:pPr>
      <w:r>
        <w:rPr>
          <w:b/>
          <w:bCs/>
        </w:rPr>
        <w:t>M</w:t>
      </w:r>
      <w:r>
        <w:rPr>
          <w:b/>
          <w:bCs/>
          <w:sz w:val="13"/>
          <w:szCs w:val="13"/>
        </w:rPr>
        <w:t>ANIFESTACIONES CLÍNICAS</w:t>
      </w:r>
      <w:r>
        <w:rPr>
          <w:b/>
          <w:bCs/>
        </w:rPr>
        <w:t xml:space="preserve">: </w:t>
      </w:r>
      <w:r>
        <w:t>Los tres síndromes principales de esta entidad son:</w:t>
      </w:r>
    </w:p>
    <w:p w14:paraId="70C74E80" w14:textId="77777777" w:rsidR="00093A32" w:rsidRDefault="00093A32">
      <w:pPr>
        <w:pStyle w:val="BodyText"/>
        <w:ind w:left="360" w:hanging="360"/>
      </w:pPr>
      <w:r>
        <w:t xml:space="preserve">• </w:t>
      </w:r>
      <w:r>
        <w:rPr>
          <w:rFonts w:ascii="Times New Roman" w:eastAsia="Times New Roman" w:hAnsi="Times New Roman" w:cs="Times New Roman"/>
          <w:b/>
          <w:bCs/>
          <w:i/>
          <w:iCs/>
          <w:sz w:val="16"/>
          <w:szCs w:val="16"/>
        </w:rPr>
        <w:t>Leishmaniasis cutánea.</w:t>
      </w:r>
      <w:r>
        <w:t xml:space="preserve"> Una vez inoculados los parásitos por la picadura de un flebótomo infectado proliferan en fagocitos mononucleares localmente, con lo cual surge una mácula o nódulo eritematosos que en forma típica evoluciona hasta transformarse en una úlcera superficial con bordes elevados. Las lesiones por lo común surgen en zonas localizadas o expuestas de la cara y las extremidades, y pueden acompañarse de lesiones satélites y adenopatía regional. Las manifestaciones clínicas de la leishmaniasis cutánea del Viejo Mundo y el Nuevo Mundo son similares. Se necesita el transcurso de años para la resolución espontánea de las lesiones y al final suele quedar una cicatriz plana atrófica (en papel de cigarrillo). </w:t>
      </w:r>
      <w:r>
        <w:rPr>
          <w:rFonts w:ascii="Times New Roman" w:eastAsia="Times New Roman" w:hAnsi="Times New Roman" w:cs="Times New Roman"/>
          <w:i/>
          <w:iCs/>
          <w:sz w:val="16"/>
          <w:szCs w:val="16"/>
        </w:rPr>
        <w:t>immunofluorescence antibody, IFA)</w:t>
      </w:r>
      <w:r>
        <w:rPr>
          <w:i/>
          <w:iCs/>
        </w:rPr>
        <w:t>.</w:t>
      </w:r>
      <w:r>
        <w:t xml:space="preserve"> Los títulos de anticuerpos suelen aumentar en término de una a seis semanas de haber comenzado los síntomas, pero tal incremento pudiera no surgir incluso durante 12 semanas. Es poco el valor predictivo positivo de un solo título que sea de 1:256 o mayor, y no corrobora definitivamente la presencia de la infección. Pueden originar resultados positivos falsos de la prueba IFA los anticuerpos a otros gérmenes gramnegativos, incluidas especies de </w:t>
      </w:r>
      <w:r>
        <w:rPr>
          <w:rFonts w:ascii="Times New Roman" w:eastAsia="Times New Roman" w:hAnsi="Times New Roman" w:cs="Times New Roman"/>
          <w:i/>
          <w:iCs/>
          <w:sz w:val="16"/>
          <w:szCs w:val="16"/>
        </w:rPr>
        <w:t>Pseudomonas</w:t>
      </w:r>
      <w:r>
        <w:rPr>
          <w:i/>
          <w:iCs/>
        </w:rPr>
        <w:t xml:space="preserve">, </w:t>
      </w:r>
      <w:r>
        <w:rPr>
          <w:rFonts w:ascii="Times New Roman" w:eastAsia="Times New Roman" w:hAnsi="Times New Roman" w:cs="Times New Roman"/>
          <w:i/>
          <w:iCs/>
          <w:sz w:val="16"/>
          <w:szCs w:val="16"/>
        </w:rPr>
        <w:t>Bacteroides fragilis</w:t>
      </w:r>
      <w:r>
        <w:t xml:space="preserve"> y </w:t>
      </w:r>
      <w:r>
        <w:rPr>
          <w:rFonts w:ascii="Times New Roman" w:eastAsia="Times New Roman" w:hAnsi="Times New Roman" w:cs="Times New Roman"/>
          <w:i/>
          <w:iCs/>
          <w:sz w:val="16"/>
          <w:szCs w:val="16"/>
        </w:rPr>
        <w:t>Campylobacter jejuni.</w:t>
      </w:r>
      <w:r>
        <w:t xml:space="preserve"> En el comercio se cuenta ya (aunque no han sido estandarizados de modo adecuado) con nuevos métodos serológicos, como inmunoanálisis enzimático o pruebas que usan antígenos de </w:t>
      </w:r>
      <w:r>
        <w:rPr>
          <w:rFonts w:ascii="Times New Roman" w:eastAsia="Times New Roman" w:hAnsi="Times New Roman" w:cs="Times New Roman"/>
          <w:i/>
          <w:iCs/>
          <w:sz w:val="16"/>
          <w:szCs w:val="16"/>
        </w:rPr>
        <w:t>Legionella</w:t>
      </w:r>
      <w:r>
        <w:t xml:space="preserve"> distintos de los del serogrupo 1.</w:t>
      </w:r>
    </w:p>
    <w:p w14:paraId="291B689B" w14:textId="77777777" w:rsidR="00093A32" w:rsidRDefault="00093A32">
      <w:pPr>
        <w:pStyle w:val="BodyText"/>
        <w:ind w:firstLine="0"/>
      </w:pPr>
      <w:r>
        <w:rPr>
          <w:b/>
          <w:bCs/>
        </w:rPr>
        <w:t>T</w:t>
      </w:r>
      <w:r>
        <w:rPr>
          <w:b/>
          <w:bCs/>
          <w:sz w:val="13"/>
          <w:szCs w:val="13"/>
        </w:rPr>
        <w:t>RATAMIENTO</w:t>
      </w:r>
      <w:r>
        <w:rPr>
          <w:b/>
          <w:bCs/>
        </w:rPr>
        <w:t xml:space="preserve">: </w:t>
      </w:r>
      <w:r>
        <w:t>En la actualidad el fármaco más indicado es la azitromicina dihidratada por vía endovenosa (10 mg/kg al día en una sola dosis; dosis máxima, 500 mg) en vez de la eritromicina. Una vez que mejora el estado del niño puede administrarse por vía oral. Se recomienda agregar rifampicina en pacientes con la enfermedad diagnosticada en muy grave estado o que muestran inmunodeficiencia o en quienes la infección no reacciona rápidamente ni mejora con la azitromicina intravenosa. Las fluoroquinolonas, como ciprofloxacina y levofloxacina, son bactericidas y eficaces pero no se ha aprobado su empleo en personas menores de 18 años. Otros fármacos a los que cabe recurrir son la doxiciclina y el trimetoprim-sulfametoxazol. La primera no debe usarse en embarazadas y en niños menores de ocho años por el riesgo de que manche los dientes. El tratamiento dura de cinco a 10 días si administra azitromicina, y 14 a 21 días en el caso de otros fármacos; se recomiendan ciclos más largos para personas inmunodeficientes o con la enfermedad grave.</w:t>
      </w:r>
    </w:p>
    <w:p w14:paraId="1B88CF90"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6A8F8533" w14:textId="77777777" w:rsidR="00093A32" w:rsidRDefault="00093A32">
      <w:pPr>
        <w:pStyle w:val="BodyText"/>
        <w:ind w:firstLine="0"/>
      </w:pPr>
      <w:r>
        <w:rPr>
          <w:b/>
          <w:bCs/>
        </w:rPr>
        <w:t>M</w:t>
      </w:r>
      <w:r>
        <w:rPr>
          <w:b/>
          <w:bCs/>
          <w:sz w:val="13"/>
          <w:szCs w:val="13"/>
        </w:rPr>
        <w:t>EDIDAS PREVENTIVAS</w:t>
      </w:r>
      <w:r>
        <w:rPr>
          <w:b/>
          <w:bCs/>
        </w:rPr>
        <w:t xml:space="preserve">: </w:t>
      </w:r>
      <w:r>
        <w:t xml:space="preserve">Los principales métodos para descontaminar los abastos de agua potable en caso de brotes de una fuente común son la hipercloración o el supercalentamiento (hasta 71 a 76°C) junto con la limpieza mecánica apropiada, a lo que seguirá la cloración continua; otra posibilidad es conservar la temperatura de agua caliente en el grifo, mayor de 50°C. Otros métodos de desinfección, como la ionización de cobre-plata por electrolisis, han frenado la proliferación de </w:t>
      </w:r>
      <w:r>
        <w:rPr>
          <w:rFonts w:ascii="Times New Roman" w:eastAsia="Times New Roman" w:hAnsi="Times New Roman" w:cs="Times New Roman"/>
          <w:i/>
          <w:iCs/>
          <w:sz w:val="16"/>
          <w:szCs w:val="16"/>
        </w:rPr>
        <w:t>Legionella</w:t>
      </w:r>
      <w:r>
        <w:t xml:space="preserve"> en los laboratorios.</w:t>
      </w:r>
    </w:p>
    <w:p w14:paraId="1EF5F715" w14:textId="77777777" w:rsidR="00093A32" w:rsidRDefault="00093A32">
      <w:pPr>
        <w:pStyle w:val="BodyText"/>
        <w:spacing w:after="100"/>
        <w:ind w:firstLine="360"/>
      </w:pPr>
      <w:r>
        <w:t>La aparición de un solo caso nosocomial de legionelosis, confirmado por datos de laboratorio, obliga a emprender una investigación epidemiológica y ambiental, sobre todo en instituciones que atienden a personas inmunodeficientes altamente susceptibles. Habrá que notificar los casos corroborados de legionelosis a los departamentos de sanidad estatales y locales.</w:t>
      </w:r>
    </w:p>
    <w:p w14:paraId="5D149647" w14:textId="77777777" w:rsidR="00093A32" w:rsidRDefault="00093A32">
      <w:pPr>
        <w:pStyle w:val="Bodytext70"/>
        <w:spacing w:after="0"/>
      </w:pPr>
      <w:r>
        <w:t>Leishmaniasis</w:t>
      </w:r>
    </w:p>
    <w:p w14:paraId="79D5FDBA" w14:textId="77777777" w:rsidR="00093A32" w:rsidRDefault="00093A32">
      <w:pPr>
        <w:pStyle w:val="BodyText"/>
        <w:ind w:firstLine="0"/>
      </w:pPr>
      <w:r>
        <w:rPr>
          <w:b/>
          <w:bCs/>
        </w:rPr>
        <w:t>M</w:t>
      </w:r>
      <w:r>
        <w:rPr>
          <w:b/>
          <w:bCs/>
          <w:sz w:val="13"/>
          <w:szCs w:val="13"/>
        </w:rPr>
        <w:t>ANIFESTACIONES CLÍNICAS</w:t>
      </w:r>
      <w:r>
        <w:rPr>
          <w:b/>
          <w:bCs/>
        </w:rPr>
        <w:t xml:space="preserve">: </w:t>
      </w:r>
      <w:r>
        <w:t>Los tres síndromes principales de esta entidad son:</w:t>
      </w:r>
    </w:p>
    <w:p w14:paraId="2173C3E8" w14:textId="77777777" w:rsidR="00093A32" w:rsidRDefault="00093A32">
      <w:pPr>
        <w:pStyle w:val="BodyText"/>
        <w:ind w:left="360" w:hanging="360"/>
        <w:sectPr w:rsidR="00093A32" w:rsidSect="00093A32">
          <w:headerReference w:type="even" r:id="rId477"/>
          <w:headerReference w:type="default" r:id="rId478"/>
          <w:footerReference w:type="even" r:id="rId479"/>
          <w:footerReference w:type="default" r:id="rId480"/>
          <w:headerReference w:type="first" r:id="rId481"/>
          <w:footerReference w:type="first" r:id="rId482"/>
          <w:footnotePr>
            <w:numFmt w:val="chicago"/>
          </w:footnotePr>
          <w:pgSz w:w="8501" w:h="13022"/>
          <w:pgMar w:top="710" w:right="796" w:bottom="428" w:left="783" w:header="0" w:footer="3" w:gutter="0"/>
          <w:cols w:space="720"/>
          <w:noEndnote/>
          <w:titlePg/>
          <w:docGrid w:linePitch="360"/>
          <w15:footnoteColumns w:val="1"/>
        </w:sectPr>
      </w:pPr>
      <w:r>
        <w:t xml:space="preserve">• </w:t>
      </w:r>
      <w:r>
        <w:rPr>
          <w:rFonts w:ascii="Times New Roman" w:eastAsia="Times New Roman" w:hAnsi="Times New Roman" w:cs="Times New Roman"/>
          <w:b/>
          <w:bCs/>
          <w:i/>
          <w:iCs/>
          <w:sz w:val="16"/>
          <w:szCs w:val="16"/>
        </w:rPr>
        <w:t>Leishmaniasis cutánea.</w:t>
      </w:r>
      <w:r>
        <w:t xml:space="preserve"> Una vez inoculados los parásitos por la picadura de un flebótomo infectado proliferan en fagocitos mononucleares localmente, con lo cual surge una mácula o nódulo eritematosos que en forma típica evoluciona hasta transformarse en una úlcera superficial con bordes elevados. Las lesiones por lo común surgen en zonas localizadas o expuestas de la cara y las extremidades, y pueden acompañarse de lesiones satélites y adenopatía regional. Las manifestaciones clínicas de la leishmaniasis cutánea del Viejo Mundo y el Nuevo Mundo son similares. Se necesita el transcurso de años para la resolución espontánea de las lesiones y al final suele quedar una cicatriz plana atrófica (en papel de cigarrillo).</w:t>
      </w:r>
    </w:p>
    <w:p w14:paraId="712F4E28" w14:textId="77777777" w:rsidR="00093A32" w:rsidRDefault="00093A32">
      <w:pPr>
        <w:pStyle w:val="BodyText"/>
        <w:numPr>
          <w:ilvl w:val="0"/>
          <w:numId w:val="78"/>
        </w:numPr>
        <w:tabs>
          <w:tab w:val="left" w:pos="331"/>
        </w:tabs>
        <w:ind w:left="360" w:hanging="360"/>
      </w:pPr>
      <w:bookmarkStart w:id="389" w:name="bookmark992"/>
      <w:bookmarkEnd w:id="389"/>
      <w:r>
        <w:rPr>
          <w:rFonts w:ascii="Times New Roman" w:eastAsia="Times New Roman" w:hAnsi="Times New Roman" w:cs="Times New Roman"/>
          <w:b/>
          <w:bCs/>
          <w:i/>
          <w:iCs/>
          <w:sz w:val="16"/>
          <w:szCs w:val="16"/>
        </w:rPr>
        <w:t>Leishmaniasis mucocutánea (espundia).</w:t>
      </w:r>
      <w:r>
        <w:t xml:space="preserve"> A partir de la infección cutánea inicial causada por Leishmania braziliensis o especies similares del Nuevo Mundo, los parásitos se diseminan a veces a la mucosa de la boca y nasofaringe. En algunos pacientes surgen úlceras granulomatosas, hay desfiguración de la cara, infección secundaria y perforación de mucosas, meses o años después de cicatrizar la lesión cutánea.</w:t>
      </w:r>
    </w:p>
    <w:p w14:paraId="3ED63B2F" w14:textId="77777777" w:rsidR="00093A32" w:rsidRDefault="00093A32">
      <w:pPr>
        <w:pStyle w:val="BodyText"/>
        <w:numPr>
          <w:ilvl w:val="0"/>
          <w:numId w:val="78"/>
        </w:numPr>
        <w:tabs>
          <w:tab w:val="left" w:pos="331"/>
        </w:tabs>
        <w:ind w:left="360" w:hanging="360"/>
      </w:pPr>
      <w:bookmarkStart w:id="390" w:name="bookmark993"/>
      <w:bookmarkEnd w:id="390"/>
      <w:r>
        <w:rPr>
          <w:rFonts w:ascii="Times New Roman" w:eastAsia="Times New Roman" w:hAnsi="Times New Roman" w:cs="Times New Roman"/>
          <w:b/>
          <w:bCs/>
          <w:i/>
          <w:iCs/>
          <w:sz w:val="16"/>
          <w:szCs w:val="16"/>
        </w:rPr>
        <w:t>Leishmaniasis visceral (kala-azar).</w:t>
      </w:r>
      <w:r>
        <w:t xml:space="preserve"> Una vez que hubo inoculación cutánea de los parásitos, éstos se propagan por todo el sistema de macrófagos mononucleares y se concentran en bazo, hígado y médula ósea. La enfermedad clínica resultante se caracteriza por fiebre, anorexia, pérdida ponderal, esplenomegalia, hepatomegalia, linfadenopatía (en algunas zonas geográficas), anemia, leucopenia, trombocitopenia con hemorragia, hipoalbuminemia e hipergammaglobulinemia. Frecuentemente surgen infecciones piógenas, entéricas gramnegativas y micobacterias, de tipo secundario. La enfermedad activa visceral no tratada casi siempre es letal. Es frecuente la reactivación de la leishmaniasis visceral latente en personas que también tienen una infección por virus de inmunodeficiencia humana (VIH) u otros cuadros de inmunodeficiencia.</w:t>
      </w:r>
    </w:p>
    <w:p w14:paraId="3BA94E38" w14:textId="77777777" w:rsidR="00093A32" w:rsidRDefault="00093A32">
      <w:pPr>
        <w:pStyle w:val="BodyText"/>
        <w:spacing w:line="276" w:lineRule="auto"/>
        <w:ind w:firstLine="0"/>
      </w:pPr>
      <w:r>
        <w:rPr>
          <w:b/>
          <w:bCs/>
        </w:rPr>
        <w:t>C</w:t>
      </w:r>
      <w:r>
        <w:rPr>
          <w:b/>
          <w:bCs/>
          <w:sz w:val="13"/>
          <w:szCs w:val="13"/>
        </w:rPr>
        <w:t>AUSAS</w:t>
      </w:r>
      <w:r>
        <w:rPr>
          <w:b/>
          <w:bCs/>
        </w:rPr>
        <w:t xml:space="preserve">: </w:t>
      </w:r>
      <w:r>
        <w:t xml:space="preserve">En el hospedador humano, las especies de </w:t>
      </w:r>
      <w:r>
        <w:rPr>
          <w:rFonts w:ascii="Times New Roman" w:eastAsia="Times New Roman" w:hAnsi="Times New Roman" w:cs="Times New Roman"/>
          <w:i/>
          <w:iCs/>
          <w:sz w:val="16"/>
          <w:szCs w:val="16"/>
        </w:rPr>
        <w:t>Leishmania</w:t>
      </w:r>
      <w:r>
        <w:t xml:space="preserve"> son parásitos intracelulares obligados, que residen en fagocitos mononucleares. Una sola especie puede originar síndromes clínicos diferentes y cada uno de ellos puede ser causado por especies diferentes. Por ejemplo, de modo típico, la leishmaniasis cutánea es causada por </w:t>
      </w:r>
      <w:r>
        <w:rPr>
          <w:rFonts w:ascii="Times New Roman" w:eastAsia="Times New Roman" w:hAnsi="Times New Roman" w:cs="Times New Roman"/>
          <w:i/>
          <w:iCs/>
          <w:sz w:val="16"/>
          <w:szCs w:val="16"/>
        </w:rPr>
        <w:t>Leishmania tropica</w:t>
      </w:r>
      <w:r>
        <w:rPr>
          <w:i/>
          <w:iCs/>
        </w:rPr>
        <w:t xml:space="preserve">, </w:t>
      </w:r>
      <w:r>
        <w:rPr>
          <w:rFonts w:ascii="Times New Roman" w:eastAsia="Times New Roman" w:hAnsi="Times New Roman" w:cs="Times New Roman"/>
          <w:i/>
          <w:iCs/>
          <w:sz w:val="16"/>
          <w:szCs w:val="16"/>
        </w:rPr>
        <w:t>Leishmania major</w:t>
      </w:r>
      <w:r>
        <w:t xml:space="preserve"> y </w:t>
      </w:r>
      <w:r>
        <w:rPr>
          <w:rFonts w:ascii="Times New Roman" w:eastAsia="Times New Roman" w:hAnsi="Times New Roman" w:cs="Times New Roman"/>
          <w:i/>
          <w:iCs/>
          <w:sz w:val="16"/>
          <w:szCs w:val="16"/>
        </w:rPr>
        <w:t>Leishmania aethiopica</w:t>
      </w:r>
      <w:r>
        <w:t xml:space="preserve"> (especies del Viejo Mundo) y por </w:t>
      </w:r>
      <w:r>
        <w:rPr>
          <w:rFonts w:ascii="Times New Roman" w:eastAsia="Times New Roman" w:hAnsi="Times New Roman" w:cs="Times New Roman"/>
          <w:i/>
          <w:iCs/>
          <w:sz w:val="16"/>
          <w:szCs w:val="16"/>
        </w:rPr>
        <w:t>Leishmania mexicana</w:t>
      </w:r>
      <w:r>
        <w:rPr>
          <w:i/>
          <w:iCs/>
        </w:rPr>
        <w:t xml:space="preserve">, </w:t>
      </w:r>
      <w:r>
        <w:rPr>
          <w:rFonts w:ascii="Times New Roman" w:eastAsia="Times New Roman" w:hAnsi="Times New Roman" w:cs="Times New Roman"/>
          <w:i/>
          <w:iCs/>
          <w:sz w:val="16"/>
          <w:szCs w:val="16"/>
        </w:rPr>
        <w:t>Leishmania amazonensis</w:t>
      </w:r>
      <w:r>
        <w:rPr>
          <w:i/>
          <w:iCs/>
        </w:rPr>
        <w:t xml:space="preserve">, </w:t>
      </w:r>
      <w:r>
        <w:rPr>
          <w:rFonts w:ascii="Times New Roman" w:eastAsia="Times New Roman" w:hAnsi="Times New Roman" w:cs="Times New Roman"/>
          <w:i/>
          <w:iCs/>
          <w:sz w:val="16"/>
          <w:szCs w:val="16"/>
        </w:rPr>
        <w:t>Leishmania braziliensis</w:t>
      </w:r>
      <w:r>
        <w:rPr>
          <w:i/>
          <w:iCs/>
        </w:rPr>
        <w:t xml:space="preserve">, </w:t>
      </w:r>
      <w:r>
        <w:rPr>
          <w:rFonts w:ascii="Times New Roman" w:eastAsia="Times New Roman" w:hAnsi="Times New Roman" w:cs="Times New Roman"/>
          <w:i/>
          <w:iCs/>
          <w:sz w:val="16"/>
          <w:szCs w:val="16"/>
        </w:rPr>
        <w:t>Leishmania panamensis</w:t>
      </w:r>
      <w:r>
        <w:rPr>
          <w:i/>
          <w:iCs/>
        </w:rPr>
        <w:t xml:space="preserve">, </w:t>
      </w:r>
      <w:r>
        <w:rPr>
          <w:rFonts w:ascii="Times New Roman" w:eastAsia="Times New Roman" w:hAnsi="Times New Roman" w:cs="Times New Roman"/>
          <w:i/>
          <w:iCs/>
          <w:sz w:val="16"/>
          <w:szCs w:val="16"/>
        </w:rPr>
        <w:t>Leishmania guyanensis</w:t>
      </w:r>
      <w:r>
        <w:rPr>
          <w:i/>
          <w:iCs/>
        </w:rPr>
        <w:t xml:space="preserve">, </w:t>
      </w:r>
      <w:r>
        <w:rPr>
          <w:rFonts w:ascii="Times New Roman" w:eastAsia="Times New Roman" w:hAnsi="Times New Roman" w:cs="Times New Roman"/>
          <w:i/>
          <w:iCs/>
          <w:sz w:val="16"/>
          <w:szCs w:val="16"/>
        </w:rPr>
        <w:t>Leishmania peruviana</w:t>
      </w:r>
      <w:r>
        <w:rPr>
          <w:i/>
          <w:iCs/>
        </w:rPr>
        <w:t xml:space="preserve">, </w:t>
      </w:r>
      <w:r>
        <w:rPr>
          <w:rFonts w:ascii="Times New Roman" w:eastAsia="Times New Roman" w:hAnsi="Times New Roman" w:cs="Times New Roman"/>
          <w:i/>
          <w:iCs/>
          <w:sz w:val="16"/>
          <w:szCs w:val="16"/>
        </w:rPr>
        <w:t>Leishmania chagasi</w:t>
      </w:r>
      <w:r>
        <w:t xml:space="preserve"> y otras especies del Nuevo Mundo. La </w:t>
      </w:r>
      <w:r>
        <w:rPr>
          <w:rFonts w:ascii="Times New Roman" w:eastAsia="Times New Roman" w:hAnsi="Times New Roman" w:cs="Times New Roman"/>
          <w:i/>
          <w:iCs/>
          <w:sz w:val="16"/>
          <w:szCs w:val="16"/>
        </w:rPr>
        <w:t>leishmaniasis mucocutánea</w:t>
      </w:r>
      <w:r>
        <w:t xml:space="preserve"> es causada por </w:t>
      </w:r>
      <w:r>
        <w:rPr>
          <w:rFonts w:ascii="Times New Roman" w:eastAsia="Times New Roman" w:hAnsi="Times New Roman" w:cs="Times New Roman"/>
          <w:i/>
          <w:iCs/>
          <w:sz w:val="16"/>
          <w:szCs w:val="16"/>
        </w:rPr>
        <w:t>L. braziliensis</w:t>
      </w:r>
      <w:r>
        <w:t xml:space="preserve">, </w:t>
      </w:r>
      <w:r>
        <w:rPr>
          <w:rFonts w:ascii="Times New Roman" w:eastAsia="Times New Roman" w:hAnsi="Times New Roman" w:cs="Times New Roman"/>
          <w:i/>
          <w:iCs/>
          <w:sz w:val="16"/>
          <w:szCs w:val="16"/>
        </w:rPr>
        <w:t>L. panamensis</w:t>
      </w:r>
      <w:r>
        <w:t xml:space="preserve">, </w:t>
      </w:r>
      <w:r>
        <w:rPr>
          <w:rFonts w:ascii="Times New Roman" w:eastAsia="Times New Roman" w:hAnsi="Times New Roman" w:cs="Times New Roman"/>
          <w:i/>
          <w:iCs/>
          <w:sz w:val="16"/>
          <w:szCs w:val="16"/>
        </w:rPr>
        <w:t>L. guyanensis</w:t>
      </w:r>
      <w:r>
        <w:t xml:space="preserve"> y </w:t>
      </w:r>
      <w:r>
        <w:rPr>
          <w:rFonts w:ascii="Times New Roman" w:eastAsia="Times New Roman" w:hAnsi="Times New Roman" w:cs="Times New Roman"/>
          <w:i/>
          <w:iCs/>
          <w:sz w:val="16"/>
          <w:szCs w:val="16"/>
        </w:rPr>
        <w:t>L. amazonensis</w:t>
      </w:r>
      <w:r>
        <w:t xml:space="preserve">. La forma visceral es producida por </w:t>
      </w:r>
      <w:r>
        <w:rPr>
          <w:rFonts w:ascii="Times New Roman" w:eastAsia="Times New Roman" w:hAnsi="Times New Roman" w:cs="Times New Roman"/>
          <w:i/>
          <w:iCs/>
          <w:sz w:val="16"/>
          <w:szCs w:val="16"/>
        </w:rPr>
        <w:t>Leishmania donovani</w:t>
      </w:r>
      <w:r>
        <w:t xml:space="preserve">, </w:t>
      </w:r>
      <w:r>
        <w:rPr>
          <w:rFonts w:ascii="Times New Roman" w:eastAsia="Times New Roman" w:hAnsi="Times New Roman" w:cs="Times New Roman"/>
          <w:i/>
          <w:iCs/>
          <w:sz w:val="16"/>
          <w:szCs w:val="16"/>
        </w:rPr>
        <w:t>Leishmania infantum</w:t>
      </w:r>
      <w:r>
        <w:t xml:space="preserve"> y </w:t>
      </w:r>
      <w:r>
        <w:rPr>
          <w:rFonts w:ascii="Times New Roman" w:eastAsia="Times New Roman" w:hAnsi="Times New Roman" w:cs="Times New Roman"/>
          <w:i/>
          <w:iCs/>
          <w:sz w:val="16"/>
          <w:szCs w:val="16"/>
        </w:rPr>
        <w:t>Leishmania chagasi</w:t>
      </w:r>
      <w:r>
        <w:t xml:space="preserve">, así como por </w:t>
      </w:r>
      <w:r>
        <w:rPr>
          <w:rFonts w:ascii="Times New Roman" w:eastAsia="Times New Roman" w:hAnsi="Times New Roman" w:cs="Times New Roman"/>
          <w:i/>
          <w:iCs/>
          <w:sz w:val="16"/>
          <w:szCs w:val="16"/>
        </w:rPr>
        <w:t>L. tropica</w:t>
      </w:r>
      <w:r>
        <w:t xml:space="preserve"> y </w:t>
      </w:r>
      <w:r>
        <w:rPr>
          <w:rFonts w:ascii="Times New Roman" w:eastAsia="Times New Roman" w:hAnsi="Times New Roman" w:cs="Times New Roman"/>
          <w:i/>
          <w:iCs/>
          <w:sz w:val="16"/>
          <w:szCs w:val="16"/>
        </w:rPr>
        <w:t>L. amazonensis</w:t>
      </w:r>
      <w:r>
        <w:t xml:space="preserve">. </w:t>
      </w:r>
      <w:r>
        <w:rPr>
          <w:rFonts w:ascii="Times New Roman" w:eastAsia="Times New Roman" w:hAnsi="Times New Roman" w:cs="Times New Roman"/>
          <w:i/>
          <w:iCs/>
          <w:sz w:val="16"/>
          <w:szCs w:val="16"/>
        </w:rPr>
        <w:t>Leishmania donovani</w:t>
      </w:r>
      <w:r>
        <w:t xml:space="preserve"> y </w:t>
      </w:r>
      <w:r>
        <w:rPr>
          <w:rFonts w:ascii="Times New Roman" w:eastAsia="Times New Roman" w:hAnsi="Times New Roman" w:cs="Times New Roman"/>
          <w:i/>
          <w:iCs/>
          <w:sz w:val="16"/>
          <w:szCs w:val="16"/>
        </w:rPr>
        <w:t>L. infantum</w:t>
      </w:r>
      <w:r>
        <w:t xml:space="preserve"> también ocasionan leishmaniasis cutánea del Viejo Mundo.</w:t>
      </w:r>
    </w:p>
    <w:p w14:paraId="692A9382" w14:textId="77777777" w:rsidR="00093A32" w:rsidRDefault="00093A32">
      <w:pPr>
        <w:pStyle w:val="BodyText"/>
        <w:ind w:firstLine="0"/>
      </w:pPr>
      <w:r>
        <w:rPr>
          <w:b/>
          <w:bCs/>
        </w:rPr>
        <w:t>A</w:t>
      </w:r>
      <w:r>
        <w:rPr>
          <w:b/>
          <w:bCs/>
          <w:sz w:val="13"/>
          <w:szCs w:val="13"/>
        </w:rPr>
        <w:t>SPECTOS EPIDEMIOLÓGICOS</w:t>
      </w:r>
      <w:r>
        <w:rPr>
          <w:b/>
          <w:bCs/>
        </w:rPr>
        <w:t xml:space="preserve">: </w:t>
      </w:r>
      <w:r>
        <w:t>En forma típica, la leishmaniasis es una zoonosis que aparece en diversos mamíferos que sirven de hospedadores y reservorio, incluidos caninos y roedores. Los vectores son flebótomos o moscas de arena. La distribución de la leishmaniasis cutánea del Viejo Mundo incluye zonas como el Oriente Cercano, algunos países de Asia y África, el subcontinente Indio, países de la antigua Unión Soviética y esporádicamente zonas del sur de Europa. La leishmaniasis cutánea del Nuevo Mundo se detecta en zonas que van de México al norte de Argentina, y se han señalado unos cuantos casos incluso en Texas. La leishmaniasis mucocutánea afecta más bien a personas de la cuenca del Amazonas y las planicies centrales de Brasil, pero se le ha señalado también en otros países de América del Sur y Central. La distribución de la leishmaniasis visceral en el Viejo Mundo incluye el sur de Europa, la cuenca Mediterránea, el Oriente Cercano, África Oriental, China y el subcontinente Indio. En América del Sur y del Centro se detectan focos endémicos de la forma del Nuevo Mundo, particularmente en Brasil.</w:t>
      </w:r>
    </w:p>
    <w:p w14:paraId="2169C1EA" w14:textId="77777777" w:rsidR="00093A32" w:rsidRDefault="00093A32">
      <w:pPr>
        <w:pStyle w:val="BodyText"/>
        <w:ind w:firstLine="360"/>
      </w:pPr>
      <w:r>
        <w:t xml:space="preserve">Los </w:t>
      </w:r>
      <w:r>
        <w:rPr>
          <w:b/>
          <w:bCs/>
        </w:rPr>
        <w:t xml:space="preserve">periodos de incubación </w:t>
      </w:r>
      <w:r>
        <w:t>de las formas de leishmaniasis varían de días a meses. En el caso de la leishmaniasis cutánea, en forma típica las lesiones primarias de la piel surgen varias semanas después de inoculación del parásito. En la infección visceral, el periodo de incubación varía de seis semanas a seis meses. Sin embargo, se han señalado periodos de incubación de 10 días a 10 años, y en personas inmunosuprimidas se observa reactivación de una infección latente que estuvo asintomática.</w:t>
      </w:r>
    </w:p>
    <w:p w14:paraId="7140DFC2" w14:textId="77777777" w:rsidR="00093A32" w:rsidRDefault="00093A32">
      <w:pPr>
        <w:pStyle w:val="BodyText"/>
        <w:ind w:firstLine="0"/>
      </w:pPr>
      <w:r>
        <w:rPr>
          <w:b/>
          <w:bCs/>
        </w:rPr>
        <w:t>M</w:t>
      </w:r>
      <w:r>
        <w:rPr>
          <w:b/>
          <w:bCs/>
          <w:sz w:val="13"/>
          <w:szCs w:val="13"/>
        </w:rPr>
        <w:t>ÉTODOS DIAGNÓSTICOS</w:t>
      </w:r>
      <w:r>
        <w:rPr>
          <w:b/>
          <w:bCs/>
        </w:rPr>
        <w:t xml:space="preserve">: </w:t>
      </w:r>
      <w:r>
        <w:t xml:space="preserve">El diagnóstico definitivo se hace al demostrar la presencia del parásito, y una forma frecuente de hacerlo es por la detección microscópica de las leishmaniasis intracelulares, en frotis o cortes histológicos de tejidos infectados, teñidos con métodos de Wright o Giemsa. En el ataque cutáneo se puede obtener muestras con biopsia de sacabocado (3 mm), raspado de la lesión o aspiración con aguja del borde no necrótico elevado (no el centro) de la lesión. En la leishmaniasis visceral, el germen se identifica en el bazo y con menor frecuencia en médula ósea e hígado; en África Oriental los microorganismos se identifican en los ganglios linfáticos. En algunos pacientes de la India los cultivos de sangre han sido positivos y a veces se observan los microorganismos en frotis de sangre o preparados de capa leucocítica en sujetos infectados por VIH. En la medida de lo posible se intentará el aislamiento de parásitos por medio de cultivo de muestras tisulares apropiadas, en medios especiales. En Estados Unidos, los </w:t>
      </w:r>
      <w:r>
        <w:rPr>
          <w:rFonts w:ascii="Times New Roman" w:eastAsia="Times New Roman" w:hAnsi="Times New Roman" w:cs="Times New Roman"/>
          <w:i/>
          <w:iCs/>
          <w:sz w:val="16"/>
          <w:szCs w:val="16"/>
        </w:rPr>
        <w:t>Centers for Disease Control and Prevention</w:t>
      </w:r>
      <w:r>
        <w:t xml:space="preserve"> (CDC) pueden dar mayor información y también datos de medios de cultivo.</w:t>
      </w:r>
    </w:p>
    <w:p w14:paraId="60D506B1" w14:textId="77777777" w:rsidR="00093A32" w:rsidRDefault="00093A32">
      <w:pPr>
        <w:pStyle w:val="BodyText"/>
        <w:ind w:firstLine="360"/>
      </w:pPr>
      <w:r>
        <w:t>El diagnóstico de algunas formas de leishmaniasis se facilita con la práctica de métodos serológicos por parte de los CDC. En caso de las formas visceral y mucocutánea, los resultados de métodos serológicos suelen ser positivos si la persona es inmunocompetente, aunque suelen ser negativos en la leishmaniasis cutánea. En personas con otras enfermedades infecciosas, en particular tripanosomiasis americana, se observan a veces resultados serológicos positivos falsos.</w:t>
      </w:r>
    </w:p>
    <w:p w14:paraId="676E9FD2" w14:textId="77777777" w:rsidR="00093A32" w:rsidRDefault="00093A32">
      <w:pPr>
        <w:pStyle w:val="BodyText"/>
        <w:spacing w:line="276" w:lineRule="auto"/>
        <w:ind w:firstLine="0"/>
      </w:pPr>
      <w:r>
        <w:rPr>
          <w:b/>
          <w:bCs/>
        </w:rPr>
        <w:t>T</w:t>
      </w:r>
      <w:r>
        <w:rPr>
          <w:b/>
          <w:bCs/>
          <w:sz w:val="13"/>
          <w:szCs w:val="13"/>
        </w:rPr>
        <w:t>RATAMIENTO</w:t>
      </w:r>
      <w:r>
        <w:rPr>
          <w:b/>
          <w:bCs/>
        </w:rPr>
        <w:t xml:space="preserve">: </w:t>
      </w:r>
      <w:r>
        <w:t xml:space="preserve">Las lesiones cutáneas pueden curar sin tratamiento específico, por lo que no siempre se necesitan las medidas terapéuticas. Conviene emprender la terapia si las úlceras son discapacitantes o desfiguran, si es muy lenta la cicatrización o si la persona puede estar infectada por especies de </w:t>
      </w:r>
      <w:r>
        <w:rPr>
          <w:rFonts w:ascii="Times New Roman" w:eastAsia="Times New Roman" w:hAnsi="Times New Roman" w:cs="Times New Roman"/>
          <w:i/>
          <w:iCs/>
          <w:sz w:val="16"/>
          <w:szCs w:val="16"/>
        </w:rPr>
        <w:t>L. braziliensis</w:t>
      </w:r>
      <w:r>
        <w:t xml:space="preserve"> u otros subtipos de </w:t>
      </w:r>
      <w:r>
        <w:rPr>
          <w:rFonts w:ascii="Times New Roman" w:eastAsia="Times New Roman" w:hAnsi="Times New Roman" w:cs="Times New Roman"/>
          <w:i/>
          <w:iCs/>
          <w:sz w:val="16"/>
          <w:szCs w:val="16"/>
        </w:rPr>
        <w:t>Leishmania</w:t>
      </w:r>
      <w:r>
        <w:t xml:space="preserve"> que ocasionan a veces ataque mucocutáneo. Siempre está indicada la farmacoterapia en casos de infección mucocutánea o visceral (véase “Fármacos antiparasitarios”, sección 4).</w:t>
      </w:r>
    </w:p>
    <w:p w14:paraId="19F62E3B" w14:textId="77777777" w:rsidR="00093A32" w:rsidRDefault="00093A32">
      <w:pPr>
        <w:pStyle w:val="BodyText"/>
        <w:ind w:firstLine="360"/>
      </w:pPr>
      <w:r>
        <w:t xml:space="preserve">En Estados Unidos, el fármaco más indicado contra la leishmaniasis es el estibogluconato de sodio, que es un antimonial pentavalente por vía parenteral que se aplica todos los días durante un mínimo de 20 días. El estibogluconato sódico se puede obtener del Servicio de Fármacos de los CDC gracias a un protocolo de fármaco nuevo en experimentación (véase apéndice I, “Directorio de recursos”). Los pacientes jóvenes y por lo demás sanos suelen tolerarlo de manera adecuada, pero puede ocasionar efectos tóxicos reversibles en corazón, páncreas e hígado. Otro agente sería el antimoniato de meglubina, que es también similar (no se le distribuye en Estados Unidos). En dicho país, la </w:t>
      </w:r>
      <w:r>
        <w:rPr>
          <w:rFonts w:ascii="Times New Roman" w:eastAsia="Times New Roman" w:hAnsi="Times New Roman" w:cs="Times New Roman"/>
          <w:i/>
          <w:iCs/>
          <w:sz w:val="16"/>
          <w:szCs w:val="16"/>
        </w:rPr>
        <w:t>Food and Drug Administration</w:t>
      </w:r>
      <w:r>
        <w:t xml:space="preserve"> ha aprobado el uso de anfotericina B en liposomas, para tratar la leishmaniasis visceral. En casos de enfermedad refractaria a los antimoniales cabe pensar en el uso de anfotericina B, el mismo fármaco pero en liposomas, la pentamidina o la paramomicina. En algunos casos de leishmaniasis cutánea americana se han utilizado con buenos resultados ketoconazol e itraconazol y calor local. La terapia local no es recomendable en infecciones que pudieran diseminarse y originar leishmaniasis de mucosas. En casos escogidos de la leishmaniasis cutánea del Viejo y del Nuevo Mundo se han utilizado con buenos resultados algunas terapias locales o tópicas.</w:t>
      </w:r>
    </w:p>
    <w:p w14:paraId="14585957" w14:textId="77777777" w:rsidR="00093A32" w:rsidRDefault="00093A32">
      <w:pPr>
        <w:pStyle w:val="BodyText"/>
        <w:spacing w:line="262" w:lineRule="auto"/>
        <w:ind w:firstLine="0"/>
        <w:sectPr w:rsidR="00093A32" w:rsidSect="00093A32">
          <w:headerReference w:type="even" r:id="rId483"/>
          <w:headerReference w:type="default" r:id="rId484"/>
          <w:footerReference w:type="even" r:id="rId485"/>
          <w:footerReference w:type="default" r:id="rId486"/>
          <w:headerReference w:type="first" r:id="rId487"/>
          <w:footerReference w:type="first" r:id="rId488"/>
          <w:footnotePr>
            <w:numFmt w:val="chicago"/>
          </w:footnotePr>
          <w:pgSz w:w="8501" w:h="13022"/>
          <w:pgMar w:top="710" w:right="796" w:bottom="428" w:left="783" w:header="0" w:footer="3" w:gutter="0"/>
          <w:cols w:space="720"/>
          <w:noEndnote/>
          <w:titlePg/>
          <w:docGrid w:linePitch="360"/>
          <w15:footnoteColumns w:val="1"/>
        </w:sectPr>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1C681229" w14:textId="77777777" w:rsidR="00093A32" w:rsidRDefault="00093A32">
      <w:pPr>
        <w:pStyle w:val="BodyText"/>
        <w:spacing w:after="100"/>
        <w:ind w:firstLine="0"/>
      </w:pPr>
      <w:r>
        <w:rPr>
          <w:b/>
          <w:bCs/>
        </w:rPr>
        <w:t>M</w:t>
      </w:r>
      <w:r>
        <w:rPr>
          <w:b/>
          <w:bCs/>
          <w:sz w:val="13"/>
          <w:szCs w:val="13"/>
        </w:rPr>
        <w:t>EDIDAS PREVENTIVAS</w:t>
      </w:r>
      <w:r>
        <w:rPr>
          <w:b/>
          <w:bCs/>
        </w:rPr>
        <w:t xml:space="preserve">: </w:t>
      </w:r>
      <w:r>
        <w:t xml:space="preserve">Es poco probable en casi todas las regiones con leishmaniasis endémica la eliminación de animales infectados que sirven de reservorios, de poblaciones de flebótomos, o ambos factores, y por ello se recomienda a los viajeros que reduzcan al mínimo su exposición a las picaduras de dichos vectores y para ello utilicen protección con malla fina de alambre, redes o mosquiteros de malla fina impregnados con insecticida como el permetrín o deltametrín, ropas protectoras y repelente de insectos, y también lleven al mínimo la exposición al aire libre del atardecer al amanecer. Las personas infectadas por especies </w:t>
      </w:r>
      <w:r>
        <w:rPr>
          <w:rFonts w:ascii="Times New Roman" w:eastAsia="Times New Roman" w:hAnsi="Times New Roman" w:cs="Times New Roman"/>
          <w:i/>
          <w:iCs/>
          <w:sz w:val="16"/>
          <w:szCs w:val="16"/>
        </w:rPr>
        <w:t>Leishmania</w:t>
      </w:r>
      <w:r>
        <w:t xml:space="preserve"> no deben donar sangre ni órganos.</w:t>
      </w:r>
    </w:p>
    <w:p w14:paraId="5F8D612B" w14:textId="77777777" w:rsidR="00093A32" w:rsidRDefault="00093A32">
      <w:pPr>
        <w:pStyle w:val="Bodytext70"/>
        <w:spacing w:after="0"/>
      </w:pPr>
      <w:r>
        <w:t>Lepra</w:t>
      </w:r>
    </w:p>
    <w:p w14:paraId="4DD5AA41"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 lepra o enfermedad de Hansen es un trastorno crónico que afecta más bien la piel, los nervios periféricos, la mucosa de las vías respiratorias altas y los testículos. Los síndromes clínicos incluyen una gran diversidad que refleja la respuesta inmunitaria de tipo celular a </w:t>
      </w:r>
      <w:r>
        <w:rPr>
          <w:rFonts w:ascii="Times New Roman" w:eastAsia="Times New Roman" w:hAnsi="Times New Roman" w:cs="Times New Roman"/>
          <w:i/>
          <w:iCs/>
          <w:sz w:val="16"/>
          <w:szCs w:val="16"/>
        </w:rPr>
        <w:t>Mycobacterium leprae</w:t>
      </w:r>
      <w:r>
        <w:t xml:space="preserve"> y el tropismo peculiar con predilección por nervios periféricos. Los dos polos del espectro en la lepra son las formas tuberculoide y lepromatosa. Los cuadros característicos son:</w:t>
      </w:r>
    </w:p>
    <w:p w14:paraId="18F14E37" w14:textId="77777777" w:rsidR="00093A32" w:rsidRDefault="00093A32">
      <w:pPr>
        <w:pStyle w:val="BodyText"/>
        <w:numPr>
          <w:ilvl w:val="0"/>
          <w:numId w:val="78"/>
        </w:numPr>
        <w:tabs>
          <w:tab w:val="left" w:pos="337"/>
        </w:tabs>
        <w:ind w:left="360" w:hanging="360"/>
      </w:pPr>
      <w:bookmarkStart w:id="391" w:name="bookmark994"/>
      <w:bookmarkEnd w:id="391"/>
      <w:r>
        <w:rPr>
          <w:rFonts w:ascii="Times New Roman" w:eastAsia="Times New Roman" w:hAnsi="Times New Roman" w:cs="Times New Roman"/>
          <w:b/>
          <w:bCs/>
          <w:i/>
          <w:iCs/>
          <w:sz w:val="16"/>
          <w:szCs w:val="16"/>
        </w:rPr>
        <w:t>Tuberculoide:</w:t>
      </w:r>
      <w:r>
        <w:t xml:space="preserve"> Se observan una o pocas lesiones cutáneas perfectamente definidas, hipopigmentadas o eritematosas, hipoestéticas o anestésicas, a menudo con bordes elevados, activos y en evolución y una zona clara central. Las respuestas mediadas por células (inmunitarias) están intactas.</w:t>
      </w:r>
    </w:p>
    <w:p w14:paraId="7C525C35" w14:textId="77777777" w:rsidR="00093A32" w:rsidRDefault="00093A32">
      <w:pPr>
        <w:pStyle w:val="BodyText"/>
        <w:numPr>
          <w:ilvl w:val="0"/>
          <w:numId w:val="78"/>
        </w:numPr>
        <w:tabs>
          <w:tab w:val="left" w:pos="337"/>
        </w:tabs>
        <w:ind w:left="360" w:hanging="360"/>
      </w:pPr>
      <w:bookmarkStart w:id="392" w:name="bookmark995"/>
      <w:bookmarkEnd w:id="392"/>
      <w:r>
        <w:rPr>
          <w:rFonts w:ascii="Times New Roman" w:eastAsia="Times New Roman" w:hAnsi="Times New Roman" w:cs="Times New Roman"/>
          <w:b/>
          <w:bCs/>
          <w:i/>
          <w:iCs/>
          <w:sz w:val="16"/>
          <w:szCs w:val="16"/>
        </w:rPr>
        <w:t>Lepromatosa:</w:t>
      </w:r>
      <w:r>
        <w:t xml:space="preserve"> Las máculas hipopigmentadas o eritematosas, poco precisas y numerosas en los comienzos, evolucionan hasta formar pápulas, nódulos o placas y al final hay hipoestesia. La infiltración dérmica de la cara, las manos y la piel en distribución bilateral y simétrica surge a veces sin las lesiones maculopapulares previas. Hay disminución muy grande de la inmunidad mediada por células, específica de </w:t>
      </w:r>
      <w:r>
        <w:rPr>
          <w:rFonts w:ascii="Times New Roman" w:eastAsia="Times New Roman" w:hAnsi="Times New Roman" w:cs="Times New Roman"/>
          <w:i/>
          <w:iCs/>
          <w:sz w:val="16"/>
          <w:szCs w:val="16"/>
        </w:rPr>
        <w:t>Mycobacterium leprae</w:t>
      </w:r>
      <w:r>
        <w:rPr>
          <w:i/>
          <w:iCs/>
        </w:rPr>
        <w:t>,</w:t>
      </w:r>
      <w:r>
        <w:t xml:space="preserve"> pero pueden surgir respuestas de anticuerpos séricos a antígenos derivados de </w:t>
      </w:r>
      <w:r>
        <w:rPr>
          <w:rFonts w:ascii="Times New Roman" w:eastAsia="Times New Roman" w:hAnsi="Times New Roman" w:cs="Times New Roman"/>
          <w:i/>
          <w:iCs/>
          <w:sz w:val="16"/>
          <w:szCs w:val="16"/>
        </w:rPr>
        <w:t>M. leprae</w:t>
      </w:r>
      <w:r>
        <w:t xml:space="preserve"> o aumentar títulos de anticuerpos inespecíficos (como el factor reumatoide o contra sífilis [en pruebas no treponémicas]).</w:t>
      </w:r>
    </w:p>
    <w:p w14:paraId="7EA86159" w14:textId="77777777" w:rsidR="00093A32" w:rsidRDefault="00093A32">
      <w:pPr>
        <w:pStyle w:val="BodyText"/>
        <w:numPr>
          <w:ilvl w:val="0"/>
          <w:numId w:val="78"/>
        </w:numPr>
        <w:tabs>
          <w:tab w:val="left" w:pos="337"/>
        </w:tabs>
        <w:ind w:left="360" w:hanging="360"/>
      </w:pPr>
      <w:bookmarkStart w:id="393" w:name="bookmark996"/>
      <w:bookmarkEnd w:id="393"/>
      <w:r>
        <w:rPr>
          <w:rFonts w:ascii="Times New Roman" w:eastAsia="Times New Roman" w:hAnsi="Times New Roman" w:cs="Times New Roman"/>
          <w:b/>
          <w:bCs/>
          <w:i/>
          <w:iCs/>
          <w:sz w:val="16"/>
          <w:szCs w:val="16"/>
        </w:rPr>
        <w:t>Formas limítrofes (dimorfas):</w:t>
      </w:r>
      <w:r>
        <w:t xml:space="preserve"> Una o varias lesiones cutáneas bien definidas semejantes a las tuberculoides, pero con una zona central elevada de aparición tardía de disestesias. Las formas limítrofes se subdividen en lepromatosa limítrofe, limítrofe pura y tuberculoide limítrofe.</w:t>
      </w:r>
    </w:p>
    <w:p w14:paraId="1CAB9C87" w14:textId="77777777" w:rsidR="00093A32" w:rsidRDefault="00093A32">
      <w:pPr>
        <w:pStyle w:val="BodyText"/>
        <w:numPr>
          <w:ilvl w:val="0"/>
          <w:numId w:val="78"/>
        </w:numPr>
        <w:tabs>
          <w:tab w:val="left" w:pos="337"/>
        </w:tabs>
        <w:ind w:left="360" w:hanging="360"/>
      </w:pPr>
      <w:bookmarkStart w:id="394" w:name="bookmark997"/>
      <w:bookmarkEnd w:id="394"/>
      <w:r>
        <w:rPr>
          <w:rFonts w:ascii="Times New Roman" w:eastAsia="Times New Roman" w:hAnsi="Times New Roman" w:cs="Times New Roman"/>
          <w:b/>
          <w:bCs/>
          <w:i/>
          <w:iCs/>
          <w:sz w:val="16"/>
          <w:szCs w:val="16"/>
        </w:rPr>
        <w:t>Indeterminado:</w:t>
      </w:r>
      <w:r>
        <w:t xml:space="preserve"> Puede surgir en cualquiera de las demás formas una variante temprana de lepra; se caracteriza por máculas hipopigmentadas con bordes poco precisos y sin disestesia concomitante.</w:t>
      </w:r>
    </w:p>
    <w:p w14:paraId="7EA0B0FE" w14:textId="77777777" w:rsidR="00093A32" w:rsidRDefault="00093A32">
      <w:pPr>
        <w:pStyle w:val="BodyText"/>
        <w:ind w:firstLine="360"/>
      </w:pPr>
      <w:r>
        <w:t xml:space="preserve">Surgen consecuencias graves de la lepra por reacciones inmunitarias y ataque de nervios, con anestesia resultante, lo cual puede originar que los traumatismos repetitivos no los perciba el sujeto, surjan fracturas e incluso resorción de huesos. </w:t>
      </w:r>
      <w:r>
        <w:rPr>
          <w:b/>
          <w:bCs/>
        </w:rPr>
        <w:t>C</w:t>
      </w:r>
      <w:r>
        <w:rPr>
          <w:b/>
          <w:bCs/>
          <w:sz w:val="13"/>
          <w:szCs w:val="13"/>
        </w:rPr>
        <w:t>AUSAS</w:t>
      </w:r>
      <w:r>
        <w:rPr>
          <w:b/>
          <w:bCs/>
        </w:rPr>
        <w:t xml:space="preserve">: </w:t>
      </w:r>
      <w:r>
        <w:t xml:space="preserve">La lepra es causada por </w:t>
      </w:r>
      <w:r>
        <w:rPr>
          <w:rFonts w:ascii="Times New Roman" w:eastAsia="Times New Roman" w:hAnsi="Times New Roman" w:cs="Times New Roman"/>
          <w:i/>
          <w:iCs/>
          <w:sz w:val="16"/>
          <w:szCs w:val="16"/>
        </w:rPr>
        <w:t>M. leprae</w:t>
      </w:r>
      <w:r>
        <w:rPr>
          <w:i/>
          <w:iCs/>
        </w:rPr>
        <w:t>,</w:t>
      </w:r>
      <w:r>
        <w:t xml:space="preserve"> un bacilo acidorresistente, intracelular obligado y grampositivo.</w:t>
      </w:r>
    </w:p>
    <w:p w14:paraId="75B30B30" w14:textId="77777777" w:rsidR="00093A32" w:rsidRDefault="00093A32">
      <w:pPr>
        <w:pStyle w:val="BodyText"/>
        <w:spacing w:line="266"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El principal mecanismo de transmisión es el contacto con seres humanos que tienen los tipos lepromatoso farmacorresistente, lepromatoso limítrofe o los tipos limítrofes, todos ellos resistentes a fármacos. Es frecuente que la exposición haya durado largo tiempo, como el de un contacto dentro del círculo familiar. Sin embargo, 70 a 80% de los casos en áreas endémicas no tienen el antecedente de exposición en el entorno hogareño ni otro contacto con un caso sabido</w:t>
      </w:r>
    </w:p>
    <w:p w14:paraId="70C127A5" w14:textId="77777777" w:rsidR="00093A32" w:rsidRDefault="00093A32">
      <w:pPr>
        <w:pStyle w:val="BodyText"/>
        <w:spacing w:after="100"/>
        <w:ind w:firstLine="0"/>
      </w:pPr>
      <w:r>
        <w:rPr>
          <w:b/>
          <w:bCs/>
        </w:rPr>
        <w:t>M</w:t>
      </w:r>
      <w:r>
        <w:rPr>
          <w:b/>
          <w:bCs/>
          <w:sz w:val="13"/>
          <w:szCs w:val="13"/>
        </w:rPr>
        <w:t>EDIDAS PREVENTIVAS</w:t>
      </w:r>
      <w:r>
        <w:rPr>
          <w:b/>
          <w:bCs/>
        </w:rPr>
        <w:t xml:space="preserve">: </w:t>
      </w:r>
      <w:r>
        <w:t xml:space="preserve">Es poco probable en casi todas las regiones con leishmaniasis endémica la eliminación de animales infectados que sirven de reservorios, de poblaciones de flebótomos, o ambos factores, y por ello se recomienda a los viajeros que reduzcan al mínimo su exposición a las picaduras de dichos vectores y para ello utilicen protección con malla fina de alambre, redes o mosquiteros de malla fina impregnados con insecticida como el permetrín o deltametrín, ropas protectoras y repelente de insectos, y también lleven al mínimo la exposición al aire libre del atardecer al amanecer. Las personas infectadas por especies </w:t>
      </w:r>
      <w:r>
        <w:rPr>
          <w:rFonts w:ascii="Times New Roman" w:eastAsia="Times New Roman" w:hAnsi="Times New Roman" w:cs="Times New Roman"/>
          <w:i/>
          <w:iCs/>
          <w:sz w:val="16"/>
          <w:szCs w:val="16"/>
        </w:rPr>
        <w:t>Leishmania</w:t>
      </w:r>
      <w:r>
        <w:t xml:space="preserve"> no deben donar sangre ni órganos.</w:t>
      </w:r>
    </w:p>
    <w:p w14:paraId="3D1AE4D8" w14:textId="77777777" w:rsidR="00093A32" w:rsidRDefault="00093A32">
      <w:pPr>
        <w:pStyle w:val="Bodytext70"/>
        <w:spacing w:after="0"/>
      </w:pPr>
      <w:r>
        <w:t>Lepra</w:t>
      </w:r>
    </w:p>
    <w:p w14:paraId="4BCA0EB5" w14:textId="77777777" w:rsidR="00093A32" w:rsidRDefault="00093A32">
      <w:pPr>
        <w:pStyle w:val="BodyText"/>
        <w:ind w:firstLine="0"/>
      </w:pPr>
      <w:r>
        <w:rPr>
          <w:b/>
          <w:bCs/>
        </w:rPr>
        <w:t>M</w:t>
      </w:r>
      <w:r>
        <w:rPr>
          <w:b/>
          <w:bCs/>
          <w:sz w:val="13"/>
          <w:szCs w:val="13"/>
        </w:rPr>
        <w:t>ANIFESTACIONES CLÍNICAS</w:t>
      </w:r>
      <w:r>
        <w:rPr>
          <w:b/>
          <w:bCs/>
        </w:rPr>
        <w:t xml:space="preserve">: </w:t>
      </w:r>
      <w:r>
        <w:t xml:space="preserve">La lepra o enfermedad de Hansen es un trastorno crónico que afecta más bien la piel, los nervios periféricos, la mucosa de las vías respiratorias altas y los testículos. Los síndromes clínicos incluyen una gran diversidad que refleja la respuesta inmunitaria de tipo celular a </w:t>
      </w:r>
      <w:r>
        <w:rPr>
          <w:rFonts w:ascii="Times New Roman" w:eastAsia="Times New Roman" w:hAnsi="Times New Roman" w:cs="Times New Roman"/>
          <w:i/>
          <w:iCs/>
          <w:sz w:val="16"/>
          <w:szCs w:val="16"/>
        </w:rPr>
        <w:t>Mycobacterium leprae</w:t>
      </w:r>
      <w:r>
        <w:t xml:space="preserve"> y el tropismo peculiar con predilección por nervios periféricos. Los dos polos del espectro en la lepra son las formas tuberculoide y lepromatosa. Los cuadros característicos son:</w:t>
      </w:r>
    </w:p>
    <w:p w14:paraId="21A3003C" w14:textId="77777777" w:rsidR="00093A32" w:rsidRDefault="00093A32">
      <w:pPr>
        <w:pStyle w:val="BodyText"/>
        <w:numPr>
          <w:ilvl w:val="0"/>
          <w:numId w:val="78"/>
        </w:numPr>
        <w:tabs>
          <w:tab w:val="left" w:pos="337"/>
        </w:tabs>
        <w:ind w:left="360" w:hanging="360"/>
      </w:pPr>
      <w:bookmarkStart w:id="395" w:name="bookmark998"/>
      <w:bookmarkEnd w:id="395"/>
      <w:r>
        <w:rPr>
          <w:rFonts w:ascii="Times New Roman" w:eastAsia="Times New Roman" w:hAnsi="Times New Roman" w:cs="Times New Roman"/>
          <w:b/>
          <w:bCs/>
          <w:i/>
          <w:iCs/>
          <w:sz w:val="16"/>
          <w:szCs w:val="16"/>
        </w:rPr>
        <w:t>Tuberculoide:</w:t>
      </w:r>
      <w:r>
        <w:t xml:space="preserve"> Se observan una o pocas lesiones cutáneas perfectamente definidas, hipopigmentadas o eritematosas, hipoestéticas o anestésicas, a menudo con bordes elevados, activos y en evolución y una zona clara central. Las respuestas mediadas por células (inmunitarias) están intactas.</w:t>
      </w:r>
    </w:p>
    <w:p w14:paraId="054CC668" w14:textId="77777777" w:rsidR="00093A32" w:rsidRDefault="00093A32">
      <w:pPr>
        <w:pStyle w:val="BodyText"/>
        <w:numPr>
          <w:ilvl w:val="0"/>
          <w:numId w:val="78"/>
        </w:numPr>
        <w:tabs>
          <w:tab w:val="left" w:pos="337"/>
        </w:tabs>
        <w:ind w:left="360" w:hanging="360"/>
      </w:pPr>
      <w:bookmarkStart w:id="396" w:name="bookmark999"/>
      <w:bookmarkEnd w:id="396"/>
      <w:r>
        <w:rPr>
          <w:rFonts w:ascii="Times New Roman" w:eastAsia="Times New Roman" w:hAnsi="Times New Roman" w:cs="Times New Roman"/>
          <w:b/>
          <w:bCs/>
          <w:i/>
          <w:iCs/>
          <w:sz w:val="16"/>
          <w:szCs w:val="16"/>
        </w:rPr>
        <w:t>Lepromatosa:</w:t>
      </w:r>
      <w:r>
        <w:t xml:space="preserve"> Las máculas hipopigmentadas o eritematosas, poco precisas y numerosas en los comienzos, evolucionan hasta formar pápulas, nódulos o placas y al final hay hipoestesia. La infiltración dérmica de la cara, las manos y la piel en distribución bilateral y simétrica surge a veces sin las lesiones maculopapulares previas. Hay disminución muy grande de la inmunidad mediada por células, específica de </w:t>
      </w:r>
      <w:r>
        <w:rPr>
          <w:rFonts w:ascii="Times New Roman" w:eastAsia="Times New Roman" w:hAnsi="Times New Roman" w:cs="Times New Roman"/>
          <w:i/>
          <w:iCs/>
          <w:sz w:val="16"/>
          <w:szCs w:val="16"/>
        </w:rPr>
        <w:t>Mycobacterium leprae</w:t>
      </w:r>
      <w:r>
        <w:rPr>
          <w:i/>
          <w:iCs/>
        </w:rPr>
        <w:t>,</w:t>
      </w:r>
      <w:r>
        <w:t xml:space="preserve"> pero pueden surgir respuestas de anticuerpos séricos a antígenos derivados de </w:t>
      </w:r>
      <w:r>
        <w:rPr>
          <w:rFonts w:ascii="Times New Roman" w:eastAsia="Times New Roman" w:hAnsi="Times New Roman" w:cs="Times New Roman"/>
          <w:i/>
          <w:iCs/>
          <w:sz w:val="16"/>
          <w:szCs w:val="16"/>
        </w:rPr>
        <w:t>M. leprae</w:t>
      </w:r>
      <w:r>
        <w:t xml:space="preserve"> o aumentar títulos de anticuerpos inespecíficos (como el factor reumatoide o contra sífilis [en pruebas no treponémicas]).</w:t>
      </w:r>
    </w:p>
    <w:p w14:paraId="6D6437A1" w14:textId="77777777" w:rsidR="00093A32" w:rsidRDefault="00093A32">
      <w:pPr>
        <w:pStyle w:val="BodyText"/>
        <w:numPr>
          <w:ilvl w:val="0"/>
          <w:numId w:val="78"/>
        </w:numPr>
        <w:tabs>
          <w:tab w:val="left" w:pos="337"/>
        </w:tabs>
        <w:ind w:left="360" w:hanging="360"/>
      </w:pPr>
      <w:bookmarkStart w:id="397" w:name="bookmark1000"/>
      <w:bookmarkEnd w:id="397"/>
      <w:r>
        <w:rPr>
          <w:rFonts w:ascii="Times New Roman" w:eastAsia="Times New Roman" w:hAnsi="Times New Roman" w:cs="Times New Roman"/>
          <w:b/>
          <w:bCs/>
          <w:i/>
          <w:iCs/>
          <w:sz w:val="16"/>
          <w:szCs w:val="16"/>
        </w:rPr>
        <w:t>Formas limítrofes (dimorfas):</w:t>
      </w:r>
      <w:r>
        <w:t xml:space="preserve"> Una o varias lesiones cutáneas bien definidas semejantes a las tuberculoides, pero con una zona central elevada de aparición tardía de disestesias. Las formas limítrofes se subdividen en lepromatosa limítrofe, limítrofe pura y tuberculoide limítrofe.</w:t>
      </w:r>
    </w:p>
    <w:p w14:paraId="38B71001" w14:textId="77777777" w:rsidR="00093A32" w:rsidRDefault="00093A32">
      <w:pPr>
        <w:pStyle w:val="BodyText"/>
        <w:numPr>
          <w:ilvl w:val="0"/>
          <w:numId w:val="78"/>
        </w:numPr>
        <w:tabs>
          <w:tab w:val="left" w:pos="337"/>
        </w:tabs>
        <w:ind w:left="360" w:hanging="360"/>
      </w:pPr>
      <w:bookmarkStart w:id="398" w:name="bookmark1001"/>
      <w:bookmarkEnd w:id="398"/>
      <w:r>
        <w:rPr>
          <w:rFonts w:ascii="Times New Roman" w:eastAsia="Times New Roman" w:hAnsi="Times New Roman" w:cs="Times New Roman"/>
          <w:b/>
          <w:bCs/>
          <w:i/>
          <w:iCs/>
          <w:sz w:val="16"/>
          <w:szCs w:val="16"/>
        </w:rPr>
        <w:t>Indeterminado:</w:t>
      </w:r>
      <w:r>
        <w:t xml:space="preserve"> Puede surgir en cualquiera de las demás formas una variante temprana de lepra; se caracteriza por máculas hipopigmentadas con bordes poco precisos y sin disestesia concomitante.</w:t>
      </w:r>
    </w:p>
    <w:p w14:paraId="61EDBB38" w14:textId="77777777" w:rsidR="00093A32" w:rsidRDefault="00093A32">
      <w:pPr>
        <w:pStyle w:val="BodyText"/>
        <w:ind w:firstLine="360"/>
      </w:pPr>
      <w:r>
        <w:t xml:space="preserve">Surgen consecuencias graves de la lepra por reacciones inmunitarias y ataque de nervios, con anestesia resultante, lo cual puede originar que los traumatismos repetitivos no los perciba el sujeto, surjan fracturas e incluso resorción de huesos. </w:t>
      </w:r>
      <w:r>
        <w:rPr>
          <w:b/>
          <w:bCs/>
        </w:rPr>
        <w:t>C</w:t>
      </w:r>
      <w:r>
        <w:rPr>
          <w:b/>
          <w:bCs/>
          <w:sz w:val="13"/>
          <w:szCs w:val="13"/>
        </w:rPr>
        <w:t>AUSAS</w:t>
      </w:r>
      <w:r>
        <w:rPr>
          <w:b/>
          <w:bCs/>
        </w:rPr>
        <w:t xml:space="preserve">: </w:t>
      </w:r>
      <w:r>
        <w:t xml:space="preserve">La lepra es causada por </w:t>
      </w:r>
      <w:r>
        <w:rPr>
          <w:rFonts w:ascii="Times New Roman" w:eastAsia="Times New Roman" w:hAnsi="Times New Roman" w:cs="Times New Roman"/>
          <w:i/>
          <w:iCs/>
          <w:sz w:val="16"/>
          <w:szCs w:val="16"/>
        </w:rPr>
        <w:t>M. leprae</w:t>
      </w:r>
      <w:r>
        <w:rPr>
          <w:i/>
          <w:iCs/>
        </w:rPr>
        <w:t>,</w:t>
      </w:r>
      <w:r>
        <w:t xml:space="preserve"> un bacilo acidorresistente, intracelular obligado y grampositivo.</w:t>
      </w:r>
    </w:p>
    <w:p w14:paraId="783450C5" w14:textId="77777777" w:rsidR="00093A32" w:rsidRDefault="00093A32">
      <w:pPr>
        <w:pStyle w:val="BodyText"/>
        <w:spacing w:line="266" w:lineRule="auto"/>
        <w:ind w:firstLine="0"/>
        <w:sectPr w:rsidR="00093A32" w:rsidSect="00093A32">
          <w:headerReference w:type="even" r:id="rId489"/>
          <w:headerReference w:type="default" r:id="rId490"/>
          <w:footerReference w:type="even" r:id="rId491"/>
          <w:footerReference w:type="default" r:id="rId492"/>
          <w:footnotePr>
            <w:numFmt w:val="chicago"/>
          </w:footnotePr>
          <w:type w:val="continuous"/>
          <w:pgSz w:w="8501" w:h="13022"/>
          <w:pgMar w:top="710" w:right="796" w:bottom="428" w:left="783" w:header="0" w:footer="0" w:gutter="0"/>
          <w:cols w:space="720"/>
          <w:noEndnote/>
          <w:docGrid w:linePitch="360"/>
          <w15:footnoteColumns w:val="1"/>
        </w:sectPr>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El principal mecanismo de transmisión es el contacto con seres humanos que tienen los tipos lepromatoso farmacorresistente, lepromatoso limítrofe o los tipos limítrofes, todos ellos resistentes a fármacos. Es frecuente que la exposición haya durado largo tiempo, como el de un contacto dentro del círculo familiar. Sin embargo, 70 a 80% de los casos en áreas endémicas no tienen el antecedente de exposición en el entorno hogareño ni otro contacto con un caso sabido </w:t>
      </w:r>
    </w:p>
    <w:p w14:paraId="0A0B9852" w14:textId="77777777" w:rsidR="00093A32" w:rsidRDefault="00093A32">
      <w:pPr>
        <w:pStyle w:val="BodyText"/>
        <w:spacing w:line="266" w:lineRule="auto"/>
        <w:ind w:firstLine="0"/>
      </w:pPr>
      <w:r>
        <w:t xml:space="preserve">o sospechado de lepra, lo cual sugiere la posibilidad de que la infección tenga otros orígenes. La fuente principal del material infectante probablemente sean las secreciones nasales de personas con las formas lepromatosa, lepromatosa marginal o marginal pura, que no han recibido tratamiento y que excretan gran número de microorganismos. Se advierte poca propagación de </w:t>
      </w:r>
      <w:r>
        <w:rPr>
          <w:rFonts w:ascii="Times New Roman" w:eastAsia="Times New Roman" w:hAnsi="Times New Roman" w:cs="Times New Roman"/>
          <w:i/>
          <w:iCs/>
          <w:sz w:val="16"/>
          <w:szCs w:val="16"/>
        </w:rPr>
        <w:t>M. leprae</w:t>
      </w:r>
      <w:r>
        <w:t xml:space="preserve"> de la piel intacta afectada. En Estados Unidos, 90% de los casos notificados provienen de otros países, en particular de migrantes y refugiados de áreas endémicas, sobre todo México y el sureste asiático. Siguen surgiendo casos propios en Texas, California, Louisiana y Hawaii. La infecciosidad de los leprosos (forma lepromatosa) probablemente cese una vez que se emprende el tratamiento, a menudo en término de días o semanas de haber comenzado la administración de rifampicina o en término de tres meses de haber comenzado la administración de dapsona o clofacimina. Es probable que en la transmisión de la enfermedad intervenga la tierra contaminada o los insectos vectores.</w:t>
      </w:r>
    </w:p>
    <w:p w14:paraId="79DF33EA" w14:textId="77777777" w:rsidR="00093A32" w:rsidRDefault="00093A32">
      <w:pPr>
        <w:pStyle w:val="BodyText"/>
        <w:ind w:firstLine="360"/>
      </w:pPr>
      <w:r>
        <w:t xml:space="preserve">El </w:t>
      </w:r>
      <w:r>
        <w:rPr>
          <w:b/>
          <w:bCs/>
        </w:rPr>
        <w:t xml:space="preserve">periodo de incubación </w:t>
      </w:r>
      <w:r>
        <w:t>varía de un año a varios años, pero suele ser de tres a cinco años. El correspondiente a la forma tuberculoide tiende a ser más breve que el de la variante lepromatosa.</w:t>
      </w:r>
    </w:p>
    <w:p w14:paraId="02D785B5" w14:textId="77777777" w:rsidR="00093A32" w:rsidRDefault="00093A32">
      <w:pPr>
        <w:pStyle w:val="BodyText"/>
        <w:ind w:firstLine="0"/>
      </w:pPr>
      <w:r>
        <w:rPr>
          <w:b/>
          <w:bCs/>
        </w:rPr>
        <w:t>M</w:t>
      </w:r>
      <w:r>
        <w:rPr>
          <w:b/>
          <w:bCs/>
          <w:sz w:val="13"/>
          <w:szCs w:val="13"/>
        </w:rPr>
        <w:t>ÉTODOS DIAGNÓSTICOS</w:t>
      </w:r>
      <w:r>
        <w:rPr>
          <w:b/>
          <w:bCs/>
        </w:rPr>
        <w:t xml:space="preserve">: </w:t>
      </w:r>
      <w:r>
        <w:t>El estudio histopatológico hecho por un patólogo experto es la mejor forma de confirmar el diagnóstico y también sienta las bases para la clasificación de la lepra. Pueden identificarse bacilos acidorresistentes en frotis especiales o muestras de lesiones cutáneas obtenidas por biopsia, pero rara vez en sujetos con las formas tuberculoide o indeterminada de la enfermedad. No se ha logrado el cultivo satisfactorio in vitro de los bacilos. La resistencia a fármacos se mide por la prueba de inoculación del cojincillo de la pata en ratones que se realiza sólo en laboratorios especializados.</w:t>
      </w:r>
    </w:p>
    <w:p w14:paraId="2131213C" w14:textId="77777777" w:rsidR="00093A32" w:rsidRDefault="00093A32">
      <w:pPr>
        <w:pStyle w:val="BodyText"/>
        <w:ind w:firstLine="360"/>
      </w:pPr>
      <w:r>
        <w:t xml:space="preserve">Se puede practicar la reacción en cadena de polimerasa de </w:t>
      </w:r>
      <w:r>
        <w:rPr>
          <w:rFonts w:ascii="Times New Roman" w:eastAsia="Times New Roman" w:hAnsi="Times New Roman" w:cs="Times New Roman"/>
          <w:i/>
          <w:iCs/>
          <w:sz w:val="16"/>
          <w:szCs w:val="16"/>
        </w:rPr>
        <w:t>M. leprae</w:t>
      </w:r>
      <w:r>
        <w:rPr>
          <w:i/>
          <w:iCs/>
        </w:rPr>
        <w:t>,</w:t>
      </w:r>
      <w:r>
        <w:t xml:space="preserve"> pero sólo después de consulta con el </w:t>
      </w:r>
      <w:r>
        <w:rPr>
          <w:rFonts w:ascii="Times New Roman" w:eastAsia="Times New Roman" w:hAnsi="Times New Roman" w:cs="Times New Roman"/>
          <w:i/>
          <w:iCs/>
          <w:sz w:val="16"/>
          <w:szCs w:val="16"/>
        </w:rPr>
        <w:t>National Hansen’s Disease Program</w:t>
      </w:r>
      <w:r>
        <w:rPr>
          <w:i/>
          <w:iCs/>
        </w:rPr>
        <w:t>,</w:t>
      </w:r>
      <w:r>
        <w:t xml:space="preserve"> Baton Rouge, LA (800-642-2477; </w:t>
      </w:r>
      <w:hyperlink r:id="rId493" w:history="1">
        <w:r>
          <w:t>www.bphc.hrsa.gov/nhdp</w:t>
        </w:r>
      </w:hyperlink>
      <w:r>
        <w:t xml:space="preserve">) en Estados Unidos. </w:t>
      </w:r>
      <w:r>
        <w:rPr>
          <w:b/>
          <w:bCs/>
        </w:rPr>
        <w:t>T</w:t>
      </w:r>
      <w:r>
        <w:rPr>
          <w:b/>
          <w:bCs/>
          <w:sz w:val="13"/>
          <w:szCs w:val="13"/>
        </w:rPr>
        <w:t>RATAMIENTO</w:t>
      </w:r>
      <w:r>
        <w:rPr>
          <w:b/>
          <w:bCs/>
        </w:rPr>
        <w:t xml:space="preserve">: </w:t>
      </w:r>
      <w:r>
        <w:t xml:space="preserve">El tratamiento de los leprosos se emprende en consulta con un leprólogo experto. En Estados Unidos, el </w:t>
      </w:r>
      <w:r>
        <w:rPr>
          <w:rFonts w:ascii="Times New Roman" w:eastAsia="Times New Roman" w:hAnsi="Times New Roman" w:cs="Times New Roman"/>
          <w:i/>
          <w:iCs/>
          <w:sz w:val="16"/>
          <w:szCs w:val="16"/>
        </w:rPr>
        <w:t>National Hansen’s Disease Program</w:t>
      </w:r>
      <w:r>
        <w:t xml:space="preserve"> da consulta sobre aspectos clínicos y patológicos y también información sobre clínicas que tratan la lepra; asimismo, ofrece la atención de médicos con experiencia en la enfermedad.</w:t>
      </w:r>
    </w:p>
    <w:p w14:paraId="74D4C247" w14:textId="77777777" w:rsidR="00093A32" w:rsidRDefault="00093A32">
      <w:pPr>
        <w:pStyle w:val="BodyText"/>
        <w:spacing w:line="276" w:lineRule="auto"/>
        <w:ind w:firstLine="360"/>
      </w:pPr>
      <w:r>
        <w:t xml:space="preserve">La dapsona que es uno de los fármacos primarios utilizados para combatir la lepra se administra en dosis de 100 mg/día en adultos y 1 mg/kg al día en niños. Hay que identificar a las personas en grupos de alto riesgo de mostrar deficiencia de deshidrogenasa de glucosa-6-fosfato, antes de administrar el fármaco. Todos los pacientes necesitan politerapia farmacológica. Se administrará la rifampicina junto con la dapsona durante un año en la forma oligobacilar (formas indeterminada, tuberculoide y tuberculoide limítrofe), con vigilancia minuciosa para detectar recaídas. Habrá que agregar clofacimina en la enfermedad multibacilar (limítrofe, lepromatosa limítrofe y lepromatosa) y también si hay ataque de la cara o un gran nervio, y se continuará durante dos años, como mínimo. Otros fármacos que incluyen ofloxacina, levofloxacina, clorhidrato de minociclina y claritromicina tienen actividad contra </w:t>
      </w:r>
      <w:r>
        <w:rPr>
          <w:rFonts w:ascii="Times New Roman" w:eastAsia="Times New Roman" w:hAnsi="Times New Roman" w:cs="Times New Roman"/>
          <w:i/>
          <w:iCs/>
          <w:sz w:val="16"/>
          <w:szCs w:val="16"/>
        </w:rPr>
        <w:t>M. leprae</w:t>
      </w:r>
      <w:r>
        <w:t>. Es importante tratar como si tuvieran una lepra multibacilar a todo paciente con enfermedad clínicamente compatible, en la cual se demuestra la presencia de bacilos acidorresistentes en las biopsias de muestras de piel o frotis.</w:t>
      </w:r>
    </w:p>
    <w:p w14:paraId="212E1994" w14:textId="77777777" w:rsidR="00093A32" w:rsidRDefault="00093A32">
      <w:pPr>
        <w:pStyle w:val="BodyText"/>
        <w:ind w:firstLine="360"/>
      </w:pPr>
      <w:r>
        <w:t xml:space="preserve">Los corticosteroides se utilizan para combatir la reacción leprosa conocida en países sajones, como eritema leprosa nodosa </w:t>
      </w:r>
      <w:r>
        <w:rPr>
          <w:i/>
          <w:iCs/>
        </w:rPr>
        <w:t>(</w:t>
      </w:r>
      <w:r>
        <w:rPr>
          <w:rFonts w:ascii="Times New Roman" w:eastAsia="Times New Roman" w:hAnsi="Times New Roman" w:cs="Times New Roman"/>
          <w:i/>
          <w:iCs/>
          <w:sz w:val="16"/>
          <w:szCs w:val="16"/>
        </w:rPr>
        <w:t>erythema nodosum leprosum</w:t>
      </w:r>
      <w:r>
        <w:rPr>
          <w:i/>
          <w:iCs/>
        </w:rPr>
        <w:t>,</w:t>
      </w:r>
      <w:r>
        <w:t xml:space="preserve"> ENL), que suele surgir en personas con enfermedad multibacilar después de emprender la farmacoterapia.</w:t>
      </w:r>
    </w:p>
    <w:p w14:paraId="0097F8F1" w14:textId="77777777" w:rsidR="00093A32" w:rsidRDefault="00093A32">
      <w:pPr>
        <w:pStyle w:val="BodyText"/>
        <w:ind w:firstLine="0"/>
      </w:pPr>
      <w:r>
        <w:t xml:space="preserve">En Estados Unidos, la </w:t>
      </w:r>
      <w:r>
        <w:rPr>
          <w:rFonts w:ascii="Times New Roman" w:eastAsia="Times New Roman" w:hAnsi="Times New Roman" w:cs="Times New Roman"/>
          <w:i/>
          <w:iCs/>
          <w:sz w:val="16"/>
          <w:szCs w:val="16"/>
        </w:rPr>
        <w:t>Food and Drug Administration</w:t>
      </w:r>
      <w:r>
        <w:t xml:space="preserve"> ha aprobado el uso de talidomida contra ENL, pero tal fármaco nunca se administrará a mujeres en edad de procreación, salvo que utilice dos métodos fiables anticonceptivos. También se pueden utilizar otros agentes como la clofacimina para tratar ENL.</w:t>
      </w:r>
    </w:p>
    <w:p w14:paraId="6135F58A" w14:textId="77777777" w:rsidR="00093A32" w:rsidRDefault="00093A32">
      <w:pPr>
        <w:pStyle w:val="BodyText"/>
        <w:ind w:firstLine="360"/>
      </w:pPr>
      <w:r>
        <w:t>La reacción de reversa que aparece más bien en personas con enfermedad limítrofe se caracteriza por neuropatías agudas y reacciones de hipersensibilidad tardía en el sitio de las lesiones actuales o antiguas; los cuadros en cuestión obligan a emprender tratamiento intensivo con corticosteroides para evitar secuelas neurológicas permanentes.</w:t>
      </w:r>
    </w:p>
    <w:p w14:paraId="6E198D9E" w14:textId="77777777" w:rsidR="00093A32" w:rsidRDefault="00093A32">
      <w:pPr>
        <w:pStyle w:val="BodyText"/>
        <w:ind w:firstLine="360"/>
      </w:pPr>
      <w:r>
        <w:t>Casi todos los enfermos se tratan en forma ambulatoria. Algunos necesitan medidas de rehabilitación, como operaciones quirúrgicas y fisioterapia.</w:t>
      </w:r>
    </w:p>
    <w:p w14:paraId="655ACD93"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Están indicadas las precauciones estándar. </w:t>
      </w:r>
      <w:r>
        <w:rPr>
          <w:b/>
          <w:bCs/>
        </w:rPr>
        <w:t>M</w:t>
      </w:r>
      <w:r>
        <w:rPr>
          <w:b/>
          <w:bCs/>
          <w:sz w:val="13"/>
          <w:szCs w:val="13"/>
        </w:rPr>
        <w:t>EDIDAS PREVENTIVAS</w:t>
      </w:r>
      <w:r>
        <w:rPr>
          <w:b/>
          <w:bCs/>
        </w:rPr>
        <w:t xml:space="preserve">: </w:t>
      </w:r>
      <w:r>
        <w:t>Se recomienda la higiene minuciosa de las manos en toda persona que tiene contacto con un sujeto con lepra lepromatosa. También hay que emprender medidas como la desinfección de secreciones nasales, de pañuelos y otros artículos inanimados, hasta establecer el tratamiento. En el comienzo habrá que examinar a los contactos del círculo familiar, en particular los que tienen la enfermedad multibacilar; dicho examen se repetirá cada año durante cinco años, como mínimo. No se recomienda la quimioprofilaxia. Las normas de los departamentos sanitarios locales en cuanto a lepra son variables y hay que consultarlas.</w:t>
      </w:r>
    </w:p>
    <w:p w14:paraId="678D5EE3" w14:textId="77777777" w:rsidR="00093A32" w:rsidRDefault="00093A32">
      <w:pPr>
        <w:pStyle w:val="BodyText"/>
        <w:ind w:firstLine="360"/>
      </w:pPr>
      <w:r>
        <w:t>Se ha señalado que una sola aplicación de la vacuna de Calmette-Guérin (BCG) brinda en promedio protección del 50% contra la lepra, y se logra mayor protección con una o dos dosis más. La primera vacuna comercial contra la lepra fue aprobada en la India en enero de 1998, pero no se le distribuye en Estados Unidos. No se recomienda para utilizar en contactos del círculo familiar de leprosos en Estados Unidos, la vacuna BCG y la vacuna de bacilos de lepra muertos por calor.</w:t>
      </w:r>
    </w:p>
    <w:p w14:paraId="357E062E" w14:textId="77777777" w:rsidR="00093A32" w:rsidRDefault="00093A32">
      <w:pPr>
        <w:pStyle w:val="BodyText"/>
        <w:spacing w:after="100" w:line="283" w:lineRule="auto"/>
        <w:ind w:firstLine="360"/>
      </w:pPr>
      <w:r>
        <w:t xml:space="preserve">Los casos recién diagnosticados de la enfermedad en Estados Unidos deben ser notificados a los departamentos sanitarios locales y estatales, los </w:t>
      </w:r>
      <w:r>
        <w:rPr>
          <w:rFonts w:ascii="Times New Roman" w:eastAsia="Times New Roman" w:hAnsi="Times New Roman" w:cs="Times New Roman"/>
          <w:i/>
          <w:iCs/>
          <w:sz w:val="16"/>
          <w:szCs w:val="16"/>
        </w:rPr>
        <w:t>Centers for Disease Control and Prevention, y el National Hansen’s Disease Program</w:t>
      </w:r>
      <w:r>
        <w:rPr>
          <w:i/>
          <w:iCs/>
        </w:rPr>
        <w:t>.</w:t>
      </w:r>
    </w:p>
    <w:p w14:paraId="3EBFD2C6" w14:textId="77777777" w:rsidR="00093A32" w:rsidRDefault="00093A32">
      <w:pPr>
        <w:pStyle w:val="Bodytext70"/>
        <w:spacing w:after="0"/>
      </w:pPr>
      <w:r>
        <w:t>Leptospirosis</w:t>
      </w:r>
    </w:p>
    <w:p w14:paraId="6005DB62" w14:textId="77777777" w:rsidR="00093A32" w:rsidRDefault="00093A32">
      <w:pPr>
        <w:pStyle w:val="BodyText"/>
        <w:ind w:firstLine="0"/>
      </w:pPr>
      <w:r>
        <w:rPr>
          <w:b/>
          <w:bCs/>
        </w:rPr>
        <w:t>M</w:t>
      </w:r>
      <w:r>
        <w:rPr>
          <w:b/>
          <w:bCs/>
          <w:sz w:val="13"/>
          <w:szCs w:val="13"/>
        </w:rPr>
        <w:t>ANIFESTACIONES CLÍNICAS</w:t>
      </w:r>
      <w:r>
        <w:rPr>
          <w:b/>
          <w:bCs/>
        </w:rPr>
        <w:t xml:space="preserve">: </w:t>
      </w:r>
      <w:r>
        <w:t>Es una enfermedad febril aguda con manifestaciones diversas que son consecuencia de vasculitis generalizada. La intensidad del trastorno varía de un cuadro sistémico que cede por sí solo (en alrededor de 90% de los pacientes) hasta un cuadro letal que incluye ictericia, insuficiencia renal y neumonitis hemorrágica. Sea cual sea su gravedad, el comienzo se caracteriza por síntomas inespecíficos que incluyen fiebre, escalofríos, cefalea, náuseas, vómitos y una erupción transitoria. Las manifestaciones clínicas más características son la congestión de conjuntivas sin secreción purulenta (30 a 40% de los casos) y mialgias de la pantorrilla y regiones lumbares (80% de los casos). Por todo lo comentado, la fase inicial “septicémica” por lo común dura tres a siete días, y después de ella surge una segunda fase “mediada por mecanismos inmunitarios”. En algunos pacientes, las dos fases están separadas por un periodo breve afebril (uno a tres días). Los signos que casi siempre surgen en la fase mediada por inmunidad incluyen fiebre, meningitis aséptica, congestión de conjuntivas, uveítis, dolor muscular al tacto, adenopatía y erupción purpúrica. En promedio, 10% de los pacientes tienen cuadro grave que incluye ictericia y disfunción renal (síndrome de Weil), neumonitis hemorrágica, arritmias cardiacas y colapso circulatorio que origina un índice de letalidad de 5 a 40%. La duración global del cuadro sintomático en ambas fases de la enfermedad varía de menos de una semana a varios meses.</w:t>
      </w:r>
    </w:p>
    <w:p w14:paraId="5BBE1631" w14:textId="77777777" w:rsidR="00093A32" w:rsidRDefault="00093A32">
      <w:pPr>
        <w:pStyle w:val="BodyText"/>
        <w:ind w:firstLine="0"/>
      </w:pPr>
      <w:r>
        <w:t xml:space="preserve">En Estados Unidos, la </w:t>
      </w:r>
      <w:r>
        <w:rPr>
          <w:rFonts w:ascii="Times New Roman" w:eastAsia="Times New Roman" w:hAnsi="Times New Roman" w:cs="Times New Roman"/>
          <w:i/>
          <w:iCs/>
          <w:sz w:val="16"/>
          <w:szCs w:val="16"/>
        </w:rPr>
        <w:t>Food and Drug Administration</w:t>
      </w:r>
      <w:r>
        <w:t xml:space="preserve"> ha aprobado el uso de talidomida contra ENL, pero tal fármaco nunca se administrará a mujeres en edad de procreación, salvo que utilice dos métodos fiables anticonceptivos. También se pueden utilizar otros agentes como la clofacimina para tratar ENL.</w:t>
      </w:r>
    </w:p>
    <w:p w14:paraId="26663C9B" w14:textId="77777777" w:rsidR="00093A32" w:rsidRDefault="00093A32">
      <w:pPr>
        <w:pStyle w:val="BodyText"/>
        <w:ind w:firstLine="360"/>
      </w:pPr>
      <w:r>
        <w:t>La reacción de reversa que aparece más bien en personas con enfermedad limítrofe se caracteriza por neuropatías agudas y reacciones de hipersensibilidad tardía en el sitio de las lesiones actuales o antiguas; los cuadros en cuestión obligan a emprender tratamiento intensivo con corticosteroides para evitar secuelas neurológicas permanentes.</w:t>
      </w:r>
    </w:p>
    <w:p w14:paraId="3B2FC1E1" w14:textId="77777777" w:rsidR="00093A32" w:rsidRDefault="00093A32">
      <w:pPr>
        <w:pStyle w:val="BodyText"/>
        <w:ind w:firstLine="360"/>
      </w:pPr>
      <w:r>
        <w:t>Casi todos los enfermos se tratan en forma ambulatoria. Algunos necesitan medidas de rehabilitación, como operaciones quirúrgicas y fisioterapia.</w:t>
      </w:r>
    </w:p>
    <w:p w14:paraId="322D97BA" w14:textId="77777777" w:rsidR="00093A32" w:rsidRDefault="00093A3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Están indicadas las precauciones estándar. </w:t>
      </w:r>
      <w:r>
        <w:rPr>
          <w:b/>
          <w:bCs/>
        </w:rPr>
        <w:t>M</w:t>
      </w:r>
      <w:r>
        <w:rPr>
          <w:b/>
          <w:bCs/>
          <w:sz w:val="13"/>
          <w:szCs w:val="13"/>
        </w:rPr>
        <w:t>EDIDAS PREVENTIVAS</w:t>
      </w:r>
      <w:r>
        <w:rPr>
          <w:b/>
          <w:bCs/>
        </w:rPr>
        <w:t xml:space="preserve">: </w:t>
      </w:r>
      <w:r>
        <w:t>Se recomienda la higiene minuciosa de las manos en toda persona que tiene contacto con un sujeto con lepra lepromatosa. También hay que emprender medidas como la desinfección de secreciones nasales, de pañuelos y otros artículos inanimados, hasta establecer el tratamiento. En el comienzo habrá que examinar a los contactos del círculo familiar, en particular los que tienen la enfermedad multibacilar; dicho examen se repetirá cada año durante cinco años, como mínimo. No se recomienda la quimioprofilaxia. Las normas de los departamentos sanitarios locales en cuanto a lepra son variables y hay que consultarlas.</w:t>
      </w:r>
    </w:p>
    <w:p w14:paraId="1A227CE2" w14:textId="77777777" w:rsidR="00093A32" w:rsidRDefault="00093A32">
      <w:pPr>
        <w:pStyle w:val="BodyText"/>
        <w:ind w:firstLine="360"/>
      </w:pPr>
      <w:r>
        <w:t>Se ha señalado que una sola aplicación de la vacuna de Calmette-Guérin (BCG) brinda en promedio protección del 50% contra la lepra, y se logra mayor protección con una o dos dosis más. La primera vacuna comercial contra la lepra fue aprobada en la India en enero de 1998, pero no se le distribuye en Estados Unidos. No se recomienda para utilizar en contactos del círculo familiar de leprosos en Estados Unidos, la vacuna BCG y la vacuna de bacilos de lepra muertos por calor.</w:t>
      </w:r>
    </w:p>
    <w:p w14:paraId="381DBA6D" w14:textId="77777777" w:rsidR="00093A32" w:rsidRDefault="00093A32">
      <w:pPr>
        <w:pStyle w:val="BodyText"/>
        <w:spacing w:after="100" w:line="283" w:lineRule="auto"/>
        <w:ind w:firstLine="360"/>
      </w:pPr>
      <w:r>
        <w:t xml:space="preserve">Los casos recién diagnosticados de la enfermedad en Estados Unidos deben ser notificados a los departamentos sanitarios locales y estatales, los </w:t>
      </w:r>
      <w:r>
        <w:rPr>
          <w:rFonts w:ascii="Times New Roman" w:eastAsia="Times New Roman" w:hAnsi="Times New Roman" w:cs="Times New Roman"/>
          <w:i/>
          <w:iCs/>
          <w:sz w:val="16"/>
          <w:szCs w:val="16"/>
        </w:rPr>
        <w:t>Centers for Disease Control and Prevention, y el National Hansen’s Disease Program</w:t>
      </w:r>
      <w:r>
        <w:rPr>
          <w:i/>
          <w:iCs/>
        </w:rPr>
        <w:t>.</w:t>
      </w:r>
    </w:p>
    <w:p w14:paraId="6785B6A5" w14:textId="77777777" w:rsidR="00093A32" w:rsidRDefault="00093A32">
      <w:pPr>
        <w:pStyle w:val="Bodytext70"/>
        <w:spacing w:after="0"/>
      </w:pPr>
      <w:r>
        <w:t>Leptospirosis</w:t>
      </w:r>
    </w:p>
    <w:p w14:paraId="0FBCC9FC" w14:textId="77777777" w:rsidR="00093A32" w:rsidRDefault="00093A32">
      <w:pPr>
        <w:pStyle w:val="BodyText"/>
        <w:ind w:firstLine="0"/>
        <w:sectPr w:rsidR="00093A32" w:rsidSect="00093A32">
          <w:headerReference w:type="even" r:id="rId494"/>
          <w:headerReference w:type="default" r:id="rId495"/>
          <w:footerReference w:type="even" r:id="rId496"/>
          <w:footerReference w:type="default" r:id="rId497"/>
          <w:headerReference w:type="first" r:id="rId498"/>
          <w:footerReference w:type="first" r:id="rId499"/>
          <w:footnotePr>
            <w:numFmt w:val="chicago"/>
          </w:footnotePr>
          <w:pgSz w:w="8501" w:h="13022"/>
          <w:pgMar w:top="710" w:right="796" w:bottom="428" w:left="783"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Es una enfermedad febril aguda con manifestaciones diversas que son consecuencia de vasculitis generalizada. La intensidad del trastorno varía de un cuadro sistémico que cede por sí solo (en alrededor de 90% de los pacientes) hasta un cuadro letal que incluye ictericia, insuficiencia renal y neumonitis hemorrágica. Sea cual sea su gravedad, el comienzo se caracteriza por síntomas inespecíficos que incluyen fiebre, escalofríos, cefalea, náuseas, vómitos y una erupción transitoria. Las manifestaciones clínicas más características son la congestión de conjuntivas sin secreción purulenta (30 a 40% de los casos) y mialgias de la pantorrilla y regiones lumbares (80% de los casos). Por todo lo comentado, la fase inicial “septicémica” por lo común dura tres a siete días, y después de ella surge una segunda fase “mediada por mecanismos inmunitarios”. En algunos pacientes, las dos fases están separadas por un periodo breve afebril (uno a tres días). Los signos que casi siempre surgen en la fase mediada por inmunidad incluyen fiebre, meningitis aséptica, congestión de conjuntivas, uveítis, dolor muscular al tacto, adenopatía y erupción purpúrica. En promedio, 10% de los pacientes tienen cuadro grave que incluye ictericia y disfunción renal (síndrome de Weil), neumonitis hemorrágica, arritmias cardiacas y colapso circulatorio que origina un índice de letalidad de 5 a 40%. La duración global del cuadro sintomático en ambas fases de la enfermedad varía de menos de una semana a varios meses.</w:t>
      </w:r>
    </w:p>
    <w:p w14:paraId="589D8D8E" w14:textId="77777777" w:rsidR="00093A32" w:rsidRDefault="00093A32">
      <w:pPr>
        <w:pStyle w:val="BodyText"/>
        <w:ind w:firstLine="0"/>
      </w:pPr>
      <w:r>
        <w:rPr>
          <w:b/>
          <w:bCs/>
        </w:rPr>
        <w:t>C</w:t>
      </w:r>
      <w:r>
        <w:rPr>
          <w:b/>
          <w:bCs/>
          <w:sz w:val="13"/>
          <w:szCs w:val="13"/>
        </w:rPr>
        <w:t>AUSAS</w:t>
      </w:r>
      <w:r>
        <w:rPr>
          <w:b/>
          <w:bCs/>
        </w:rPr>
        <w:t xml:space="preserve">: </w:t>
      </w:r>
      <w:r>
        <w:t xml:space="preserve">La leptospirosis es causada por espiroquetas del género </w:t>
      </w:r>
      <w:r>
        <w:rPr>
          <w:rFonts w:ascii="Times New Roman" w:eastAsia="Times New Roman" w:hAnsi="Times New Roman" w:cs="Times New Roman"/>
          <w:i/>
          <w:iCs/>
          <w:sz w:val="16"/>
          <w:szCs w:val="16"/>
        </w:rPr>
        <w:t>Leptospira</w:t>
      </w:r>
      <w:r>
        <w:rPr>
          <w:i/>
          <w:iCs/>
        </w:rPr>
        <w:t>.</w:t>
      </w:r>
      <w:r>
        <w:t xml:space="preserve"> En épocas pasadas las serovariedades que originaban la enfermedad eran clasificadas dentro de la especie </w:t>
      </w:r>
      <w:r>
        <w:rPr>
          <w:rFonts w:ascii="Times New Roman" w:eastAsia="Times New Roman" w:hAnsi="Times New Roman" w:cs="Times New Roman"/>
          <w:i/>
          <w:iCs/>
          <w:sz w:val="16"/>
          <w:szCs w:val="16"/>
        </w:rPr>
        <w:t>Leptospira interrogans.</w:t>
      </w:r>
      <w:r>
        <w:t xml:space="preserve"> Sin embargo, por medio de la subtipificación genética se ha sabido que existen varias especies particulares dentro de este grupo patógeno de leptospiras. </w:t>
      </w:r>
      <w:r>
        <w:rPr>
          <w:b/>
          <w:bCs/>
        </w:rPr>
        <w:t>A</w:t>
      </w:r>
      <w:r>
        <w:rPr>
          <w:b/>
          <w:bCs/>
          <w:sz w:val="13"/>
          <w:szCs w:val="13"/>
        </w:rPr>
        <w:t>SPECTOS EPIDEMIOLÓGICOS</w:t>
      </w:r>
      <w:r>
        <w:rPr>
          <w:b/>
          <w:bCs/>
        </w:rPr>
        <w:t xml:space="preserve">: </w:t>
      </w:r>
      <w:r>
        <w:t xml:space="preserve">Los reservorios de la especie </w:t>
      </w:r>
      <w:r>
        <w:rPr>
          <w:rFonts w:ascii="Times New Roman" w:eastAsia="Times New Roman" w:hAnsi="Times New Roman" w:cs="Times New Roman"/>
          <w:i/>
          <w:iCs/>
          <w:sz w:val="16"/>
          <w:szCs w:val="16"/>
        </w:rPr>
        <w:t>Leptospira</w:t>
      </w:r>
      <w:r>
        <w:t xml:space="preserve"> incluyen animales salvajes y domésticos de muy diversa índole que pueden dispersar durante varios años el germen y aún así permanecer asintomáticos. Los microorganismos excretados por orina, líquido amniótico o placenta de los animales son viables en la tierra o el agua, semanas o meses. Los seres humanos se infectan por el contacto de sus superficies mucosas o piel excoriada, con tierra, agua o tejidos animales contaminados. Los individuos predispuestos por sus labores incluyen quienes trabajan en rastros y con alcantarillados, veterinarios, granjeros y personal militar. Las exposiciones en sitios de recreo y grupos de casos se han vinculado con el vadeo de corrientes, natación o actividades en botes en aguas contaminadas, particularmente en inundaciones. Rara vez hay transmisión directa de una persona a otra.</w:t>
      </w:r>
    </w:p>
    <w:p w14:paraId="2F4C6597" w14:textId="77777777" w:rsidR="00093A32" w:rsidRDefault="00093A32">
      <w:pPr>
        <w:pStyle w:val="BodyText"/>
        <w:ind w:firstLine="360"/>
      </w:pPr>
      <w:r>
        <w:t xml:space="preserve">El </w:t>
      </w:r>
      <w:r>
        <w:rPr>
          <w:b/>
          <w:bCs/>
        </w:rPr>
        <w:t xml:space="preserve">periodo de incubación </w:t>
      </w:r>
      <w:r>
        <w:t xml:space="preserve">suele ser de cinco a 14 días con límites de dos a 30 días. </w:t>
      </w:r>
      <w:r>
        <w:rPr>
          <w:b/>
          <w:bCs/>
        </w:rPr>
        <w:t>M</w:t>
      </w:r>
      <w:r>
        <w:rPr>
          <w:b/>
          <w:bCs/>
          <w:sz w:val="13"/>
          <w:szCs w:val="13"/>
        </w:rPr>
        <w:t>ÉTODOS DIAGNÓSTICOS</w:t>
      </w:r>
      <w:r>
        <w:rPr>
          <w:b/>
          <w:bCs/>
        </w:rPr>
        <w:t xml:space="preserve">: </w:t>
      </w:r>
      <w:r>
        <w:t xml:space="preserve">Es posible aislar </w:t>
      </w:r>
      <w:r>
        <w:rPr>
          <w:rFonts w:ascii="Times New Roman" w:eastAsia="Times New Roman" w:hAnsi="Times New Roman" w:cs="Times New Roman"/>
          <w:i/>
          <w:iCs/>
          <w:sz w:val="16"/>
          <w:szCs w:val="16"/>
        </w:rPr>
        <w:t>Leptospira</w:t>
      </w:r>
      <w:r>
        <w:t xml:space="preserve"> de muestras de sangre o líquido cefalorraquídeo en la fase septicémica inicial del trastorno, y en muestras de orina después de siete a 10 días de la enfermedad. Sin embargo, el aislamiento puede ser muy difícil porque se necesitan medios y técnicas especiales e incubación incluso durante 16 semanas. Además, es escasa la sensibilidad del cultivo de diagnóstico. Por tales razones, siempre se obtendrán muestras de suero para facilitar el diagnóstico serológico. En la segunda semana de la enfermedad por lo común surgen los anticuerpos y se les mide por los inmunoensayos comerciales; sin embargo, a veces el incremento del título de las inmunoglobulinas puede retrasarse o no aparecer en algunos pacientes. La microaglutinación, que es el método serológico confirmatorio, se practica sólo en laboratorios especializados y para ella se necesitan muestras de suero de fase aguda y de convalecencia. Las técnicas inmunohistoquímicas detectan anticuerpos leptospíricos en tejidos infectados. Se ha creado una reacción en cadena de polimerasa para detectar </w:t>
      </w:r>
      <w:r>
        <w:rPr>
          <w:rFonts w:ascii="Times New Roman" w:eastAsia="Times New Roman" w:hAnsi="Times New Roman" w:cs="Times New Roman"/>
          <w:i/>
          <w:iCs/>
          <w:sz w:val="16"/>
          <w:szCs w:val="16"/>
        </w:rPr>
        <w:t>Leptospira</w:t>
      </w:r>
      <w:r>
        <w:t xml:space="preserve">, pero se le practica sólo en laboratorios especializados. </w:t>
      </w:r>
      <w:r>
        <w:rPr>
          <w:b/>
          <w:bCs/>
        </w:rPr>
        <w:t xml:space="preserve">Tratamiento: </w:t>
      </w:r>
      <w:r>
        <w:t>El fármaco más indicado para sujetos que necesitan hospitalización es la penicilina intravenosa. La penicilina G acorta el lapso de los síntomas sistémicos y la persistencia de las anormalidades en estudios de laboratorio, y puede evitar la aparición de leptospiruria. Como ocurre con otras espiroquetosis, a veces surge después de emprender la terapia con penicilina, una reacción de Jarisch-Herxheimer (reacción febril aguda acompañada de cefalea, mialgias y agravamiento del cuadro clínico, que dura menos de 24 h). Si la enfermedad no es intensa, con doxiciclina ingerible se ha acortado la evolución del padecimiento y también la frecuencia con que surge la leptospiruria. No debe utilizarse doxiciclina en embarazadas ni en niños menores de ocho años por el peligro de que queden con manchas en sus dientes. Otro fármaco por usar en niños menores de ocho años es la amoxicilina oral.</w:t>
      </w:r>
    </w:p>
    <w:p w14:paraId="20E22601" w14:textId="77777777" w:rsidR="00093A32" w:rsidRDefault="00093A32">
      <w:pPr>
        <w:pStyle w:val="BodyText"/>
        <w:ind w:firstLine="0"/>
      </w:pPr>
      <w:r>
        <w:rPr>
          <w:b/>
          <w:bCs/>
        </w:rPr>
        <w:t>A</w:t>
      </w:r>
      <w:r>
        <w:rPr>
          <w:b/>
          <w:bCs/>
          <w:sz w:val="13"/>
          <w:szCs w:val="13"/>
        </w:rPr>
        <w:t>ISLAMIENTO DEL PACIENTE HOSPITALIZADO</w:t>
      </w:r>
      <w:r>
        <w:rPr>
          <w:b/>
          <w:bCs/>
        </w:rPr>
        <w:t xml:space="preserve">: </w:t>
      </w:r>
      <w:r>
        <w:t>Además de las precauciones estándar, se recomienda seguir las precauciones para evitar la transmisión por contacto al establecer contacto con la orina.</w:t>
      </w:r>
    </w:p>
    <w:p w14:paraId="1ED8A72B" w14:textId="77777777" w:rsidR="00093A32" w:rsidRDefault="00093A32">
      <w:pPr>
        <w:pStyle w:val="Other0"/>
        <w:spacing w:line="240" w:lineRule="auto"/>
        <w:ind w:firstLine="0"/>
      </w:pPr>
      <w:r>
        <w:rPr>
          <w:b/>
          <w:bCs/>
        </w:rPr>
        <w:t>M</w:t>
      </w:r>
      <w:r>
        <w:rPr>
          <w:b/>
          <w:bCs/>
          <w:sz w:val="13"/>
          <w:szCs w:val="13"/>
        </w:rPr>
        <w:t>EDIDAS PREVENTIVAS</w:t>
      </w:r>
      <w:r>
        <w:rPr>
          <w:b/>
          <w:bCs/>
        </w:rPr>
        <w:t>:</w:t>
      </w:r>
    </w:p>
    <w:p w14:paraId="7891D5F0" w14:textId="77777777" w:rsidR="00093A32" w:rsidRDefault="00093A32">
      <w:pPr>
        <w:pStyle w:val="BodyText"/>
        <w:ind w:left="360" w:hanging="360"/>
      </w:pPr>
      <w:r>
        <w:t>• La vacunación de animales disminuye la gravedad de su enfermedad, pero no evita la leptospiruria. Por tal motivo, incluso los animales vacunados pueden transmitir el germen a los seres humanos.</w:t>
      </w:r>
    </w:p>
    <w:p w14:paraId="0DC956AB" w14:textId="77777777" w:rsidR="00093A32" w:rsidRDefault="00093A32">
      <w:pPr>
        <w:pStyle w:val="BodyText"/>
        <w:numPr>
          <w:ilvl w:val="0"/>
          <w:numId w:val="78"/>
        </w:numPr>
        <w:tabs>
          <w:tab w:val="left" w:pos="336"/>
        </w:tabs>
        <w:ind w:left="360" w:hanging="360"/>
      </w:pPr>
      <w:bookmarkStart w:id="399" w:name="bookmark1002"/>
      <w:bookmarkEnd w:id="399"/>
      <w:r>
        <w:t>En áreas endémicas identificadas, puede ser útil un programa de erradicación de reservorios.</w:t>
      </w:r>
    </w:p>
    <w:p w14:paraId="000EA8FB" w14:textId="77777777" w:rsidR="00093A32" w:rsidRDefault="00093A32">
      <w:pPr>
        <w:pStyle w:val="BodyText"/>
        <w:numPr>
          <w:ilvl w:val="0"/>
          <w:numId w:val="78"/>
        </w:numPr>
        <w:tabs>
          <w:tab w:val="left" w:pos="336"/>
        </w:tabs>
        <w:ind w:left="360" w:hanging="360"/>
      </w:pPr>
      <w:bookmarkStart w:id="400" w:name="bookmark1003"/>
      <w:bookmarkEnd w:id="400"/>
      <w:r>
        <w:t>Para disminuir los peligros, por parte de personas con exposición ocupacional conviene utilizar ropas protectoras, botas y guantes.</w:t>
      </w:r>
    </w:p>
    <w:p w14:paraId="4D7543E7" w14:textId="77777777" w:rsidR="00093A32" w:rsidRDefault="00093A32">
      <w:pPr>
        <w:pStyle w:val="BodyText"/>
        <w:numPr>
          <w:ilvl w:val="0"/>
          <w:numId w:val="78"/>
        </w:numPr>
        <w:tabs>
          <w:tab w:val="left" w:pos="336"/>
        </w:tabs>
        <w:spacing w:after="100"/>
        <w:ind w:left="360" w:hanging="360"/>
      </w:pPr>
      <w:bookmarkStart w:id="401" w:name="bookmark1004"/>
      <w:bookmarkEnd w:id="401"/>
      <w:r>
        <w:t>A veces se obtiene profilaxia eficaz con 200 mg de doxiciclina ingeridos una vez por semana (adultos) y cabe considerar su uso en grupos ocupacionales de alto riesgo, con exposición a corto plazo. Sin embargo, no se han definido las indicaciones para el uso profiláctico de dicho antibiótico, en niños.</w:t>
      </w:r>
    </w:p>
    <w:p w14:paraId="26BAE0E5" w14:textId="77777777" w:rsidR="00093A32" w:rsidRDefault="00093A32">
      <w:pPr>
        <w:pStyle w:val="Bodytext70"/>
        <w:spacing w:after="0"/>
      </w:pPr>
      <w:r>
        <w:t>Linfática, filariasis</w:t>
      </w:r>
    </w:p>
    <w:p w14:paraId="6A52687C"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(por W. bancrofti, B. malayi y B. timori)</w:t>
      </w:r>
    </w:p>
    <w:p w14:paraId="767F5F32" w14:textId="77777777" w:rsidR="00093A32" w:rsidRDefault="00093A32">
      <w:pPr>
        <w:pStyle w:val="BodyText"/>
        <w:ind w:firstLine="0"/>
      </w:pPr>
      <w:r>
        <w:rPr>
          <w:b/>
          <w:bCs/>
        </w:rPr>
        <w:t>M</w:t>
      </w:r>
      <w:r>
        <w:rPr>
          <w:b/>
          <w:bCs/>
          <w:sz w:val="13"/>
          <w:szCs w:val="13"/>
        </w:rPr>
        <w:t>ANIFESTACIONES CLÍNICAS</w:t>
      </w:r>
      <w:r>
        <w:rPr>
          <w:b/>
          <w:bCs/>
        </w:rPr>
        <w:t xml:space="preserve">: </w:t>
      </w:r>
      <w:r>
        <w:t>Casi todas las filariasis son asintomáticas. En los comienzos de la infección, los síntomas suelen ser causados por una reacción inflamatoria aguda en los vasos linfáticos, desencadenada por la muerte de los vermes adultos. Junto con la inflamación aguda pueden surgir cefalea, mialgias y linfadenitis. La enfermedad aguda se manifiesta a veces a los tres meses del contagio. Sin embargo, el daño inicial a la red linfática por lo común permanece en estado subclínico durante años. Con el paso del tiempo surge linfadenopatía moderada que afecta principalmente los ganglios linfáticos inguinales. La inflamación que es consecuencia de la muerte del verme adulto dentro de los linfáticos de las extremidades y de los genitales ocasiona adenolinfangitis que de manera característica es retrógrada. En la filariasis de Bancroft también pueden aparecer epididimitis, orquitis y funiculitis, y puede acompañarse de fiebre, escalofrío y otros síntomas sistémicos inespecíficos. En los niños es rara la disfunción linfática con edema que evoluciona en forma crónica en las extremidades y genitales. En unas cuantas personas, la elefantiasis puede ser consecuencia de fibrosis causada por disfunción crónica de los conductos linfáticos e infecciones bacterianas secundarias y recurrentes. La quiluria a veces surge como manifestación de la filariasis de Bancroft. Entre las manifestaciones del síndrome eosinófilo pulmonar tropical están tos, fiebre, notable eosinofilia y altas concentraciones de inmunoglobulina E en suero.</w:t>
      </w:r>
    </w:p>
    <w:p w14:paraId="0F73EE90" w14:textId="77777777" w:rsidR="00093A32" w:rsidRDefault="00093A32">
      <w:pPr>
        <w:pStyle w:val="BodyText"/>
        <w:spacing w:line="290" w:lineRule="auto"/>
        <w:ind w:firstLine="0"/>
        <w:rPr>
          <w:sz w:val="16"/>
          <w:szCs w:val="16"/>
        </w:rPr>
      </w:pPr>
      <w:r>
        <w:rPr>
          <w:b/>
          <w:bCs/>
        </w:rPr>
        <w:t>C</w:t>
      </w:r>
      <w:r>
        <w:rPr>
          <w:b/>
          <w:bCs/>
          <w:sz w:val="13"/>
          <w:szCs w:val="13"/>
        </w:rPr>
        <w:t>AUSAS</w:t>
      </w:r>
      <w:r>
        <w:rPr>
          <w:b/>
          <w:bCs/>
        </w:rPr>
        <w:t xml:space="preserve">: </w:t>
      </w:r>
      <w:r>
        <w:t xml:space="preserve">La filariasis es causada por tres nematodos filarianos: </w:t>
      </w:r>
      <w:r>
        <w:rPr>
          <w:rFonts w:ascii="Times New Roman" w:eastAsia="Times New Roman" w:hAnsi="Times New Roman" w:cs="Times New Roman"/>
          <w:i/>
          <w:iCs/>
          <w:sz w:val="16"/>
          <w:szCs w:val="16"/>
        </w:rPr>
        <w:t>Wuchereria bancrofti, Brugia malayi</w:t>
      </w:r>
      <w:r>
        <w:t xml:space="preserve"> y </w:t>
      </w:r>
      <w:r>
        <w:rPr>
          <w:rFonts w:ascii="Times New Roman" w:eastAsia="Times New Roman" w:hAnsi="Times New Roman" w:cs="Times New Roman"/>
          <w:i/>
          <w:iCs/>
          <w:sz w:val="16"/>
          <w:szCs w:val="16"/>
        </w:rPr>
        <w:t>Brugia timori.</w:t>
      </w:r>
    </w:p>
    <w:p w14:paraId="6D93C547" w14:textId="77777777" w:rsidR="00093A32" w:rsidRDefault="00093A32">
      <w:pPr>
        <w:pStyle w:val="BodyText"/>
        <w:spacing w:line="276" w:lineRule="auto"/>
        <w:ind w:firstLine="0"/>
      </w:pPr>
      <w:r>
        <w:rPr>
          <w:b/>
          <w:bCs/>
        </w:rPr>
        <w:t>A</w:t>
      </w:r>
      <w:r>
        <w:rPr>
          <w:b/>
          <w:bCs/>
          <w:sz w:val="13"/>
          <w:szCs w:val="13"/>
        </w:rPr>
        <w:t>SPECTOS EPIDEMIOLÓGICOS</w:t>
      </w:r>
      <w:r>
        <w:rPr>
          <w:b/>
          <w:bCs/>
        </w:rPr>
        <w:t xml:space="preserve">. </w:t>
      </w:r>
      <w:r>
        <w:t xml:space="preserve">El parásito es transmitido por la picadura de la especie infectada de algunos géneros de mosquitos como </w:t>
      </w:r>
      <w:r>
        <w:rPr>
          <w:rFonts w:ascii="Times New Roman" w:eastAsia="Times New Roman" w:hAnsi="Times New Roman" w:cs="Times New Roman"/>
          <w:i/>
          <w:iCs/>
          <w:sz w:val="16"/>
          <w:szCs w:val="16"/>
        </w:rPr>
        <w:t>Culex, Aedes, Anopheles</w:t>
      </w:r>
      <w:r>
        <w:t xml:space="preserve"> y </w:t>
      </w:r>
      <w:r>
        <w:rPr>
          <w:rFonts w:ascii="Times New Roman" w:eastAsia="Times New Roman" w:hAnsi="Times New Roman" w:cs="Times New Roman"/>
          <w:i/>
          <w:iCs/>
          <w:sz w:val="16"/>
          <w:szCs w:val="16"/>
        </w:rPr>
        <w:t>Mansonia</w:t>
      </w:r>
      <w:r>
        <w:rPr>
          <w:i/>
          <w:iCs/>
        </w:rPr>
        <w:t xml:space="preserve">. </w:t>
      </w:r>
      <w:r>
        <w:rPr>
          <w:rFonts w:ascii="Times New Roman" w:eastAsia="Times New Roman" w:hAnsi="Times New Roman" w:cs="Times New Roman"/>
          <w:i/>
          <w:iCs/>
          <w:sz w:val="16"/>
          <w:szCs w:val="16"/>
        </w:rPr>
        <w:t>Wuchereria bancrofti</w:t>
      </w:r>
      <w:r>
        <w:t xml:space="preserve"> está distribuida en Haití, la República Dominicana, Guayana, Brasil, países subsaharianos y del norte del África y en Asia, y abarca una amplia zona que va de la India al archipiélago indonesio y de ahí pasa al sur de China y Oceanía. Los seres humanos son el hospedador definitivo único del parásito. </w:t>
      </w:r>
      <w:r>
        <w:rPr>
          <w:rFonts w:ascii="Times New Roman" w:eastAsia="Times New Roman" w:hAnsi="Times New Roman" w:cs="Times New Roman"/>
          <w:i/>
          <w:iCs/>
          <w:sz w:val="16"/>
          <w:szCs w:val="16"/>
        </w:rPr>
        <w:t>Brugia malayi</w:t>
      </w:r>
      <w:r>
        <w:t xml:space="preserve"> aparece más bien en India y sureste asiático. </w:t>
      </w:r>
      <w:r>
        <w:rPr>
          <w:rFonts w:ascii="Times New Roman" w:eastAsia="Times New Roman" w:hAnsi="Times New Roman" w:cs="Times New Roman"/>
          <w:i/>
          <w:iCs/>
          <w:sz w:val="16"/>
          <w:szCs w:val="16"/>
        </w:rPr>
        <w:t xml:space="preserve">Brugia timori </w:t>
      </w:r>
      <w:r>
        <w:t>se limita a algunas islas de la porción oriental y del archipiélago indonesio. Los vermes adultos viven cinco a ocho años en promedio y es frecuente la reinfección, razón por la cual las microfilarias infectantes provenientes de los mosquitos pueden persistir decenios en la sangre de los pacientes; las microfilarias individuales pueden vivir incluso 1.5 años. El verme adulto no se transmite de una persona a otra ni por la sangre en transfusión, pero por este último mecanismo se pueden transmitir microfilarias.</w:t>
      </w:r>
    </w:p>
    <w:p w14:paraId="5904331F" w14:textId="77777777" w:rsidR="00093A32" w:rsidRDefault="00093A32">
      <w:pPr>
        <w:pStyle w:val="BodyText"/>
        <w:spacing w:after="60"/>
        <w:ind w:firstLine="360"/>
        <w:sectPr w:rsidR="00093A32" w:rsidSect="00093A32">
          <w:headerReference w:type="even" r:id="rId500"/>
          <w:headerReference w:type="default" r:id="rId501"/>
          <w:footerReference w:type="even" r:id="rId502"/>
          <w:footerReference w:type="default" r:id="rId503"/>
          <w:headerReference w:type="first" r:id="rId504"/>
          <w:footerReference w:type="first" r:id="rId505"/>
          <w:footnotePr>
            <w:numFmt w:val="chicago"/>
          </w:footnotePr>
          <w:pgSz w:w="8501" w:h="13022"/>
          <w:pgMar w:top="710" w:right="796" w:bottom="428" w:left="783" w:header="0" w:footer="3" w:gutter="0"/>
          <w:cols w:space="720"/>
          <w:noEndnote/>
          <w:titlePg/>
          <w:docGrid w:linePitch="360"/>
          <w15:footnoteColumns w:val="1"/>
        </w:sectPr>
      </w:pPr>
      <w:r>
        <w:t xml:space="preserve">No se ha definido con exactitud el </w:t>
      </w:r>
      <w:r>
        <w:rPr>
          <w:b/>
          <w:bCs/>
        </w:rPr>
        <w:t>periodo de incubación</w:t>
      </w:r>
      <w:r>
        <w:t>; el lapso que media desde el contagio hasta la aparición de microfilarias en la sangre puede ser de tres a 12 meses, según la especie del parásito.</w:t>
      </w:r>
    </w:p>
    <w:p w14:paraId="112A0FB2" w14:textId="77777777" w:rsidR="00093A32" w:rsidRDefault="00093A32">
      <w:pPr>
        <w:pStyle w:val="BodyText"/>
        <w:ind w:firstLine="0"/>
      </w:pPr>
      <w:r>
        <w:t>óptimo del tratamiento. La doxiciclina y la eritromicina o la azitromicina son eficaces para tratar la angiomatosis o la peliosis bacilares; la terapia debe practicarse durante varios meses para evitar recaídas en personas inmunodeficientes.</w:t>
      </w:r>
    </w:p>
    <w:p w14:paraId="15A8D491" w14:textId="77777777" w:rsidR="00093A32" w:rsidRDefault="00093A3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estos casos se recomienda seguir las precauciones estándar.</w:t>
      </w:r>
    </w:p>
    <w:p w14:paraId="08EF7B4C" w14:textId="77777777" w:rsidR="00093A32" w:rsidRDefault="00093A32">
      <w:pPr>
        <w:pStyle w:val="BodyText"/>
        <w:spacing w:after="100"/>
        <w:ind w:firstLine="0"/>
        <w:rPr>
          <w:sz w:val="16"/>
          <w:szCs w:val="16"/>
        </w:rPr>
      </w:pPr>
      <w:r>
        <w:rPr>
          <w:b/>
          <w:bCs/>
        </w:rPr>
        <w:t>M</w:t>
      </w:r>
      <w:r>
        <w:rPr>
          <w:b/>
          <w:bCs/>
          <w:sz w:val="13"/>
          <w:szCs w:val="13"/>
        </w:rPr>
        <w:t xml:space="preserve">EDIDAS </w:t>
      </w:r>
      <w:r>
        <w:rPr>
          <w:b/>
          <w:bCs/>
          <w:smallCaps/>
          <w:sz w:val="16"/>
          <w:szCs w:val="16"/>
        </w:rPr>
        <w:t>preventivas</w:t>
      </w:r>
      <w:r>
        <w:rPr>
          <w:b/>
          <w:bCs/>
          <w:smallCaps/>
          <w:sz w:val="20"/>
          <w:szCs w:val="20"/>
        </w:rPr>
        <w:t>:</w:t>
      </w:r>
      <w:r>
        <w:t xml:space="preserve"> Es importante que los niños no jueguen activamente con gatos y gatitos para reducir al mínimo la posibilidad de rasguños y mordeduras. Los sujetos inmunodeficientes evitarán el contacto con los gatos que rasguñen o muerdan; cuando adquieran un nuevo animal, evitarán el contacto con los que tengan menos de un año de vida. Es importante lavar inmediatamente los sitios de arañazos o mordeduras de gato. El cuidado de los animales debe incluir medidas para erradicar pulgas. No se recomienda someter a los gatos a pruebas para detectar la infección por </w:t>
      </w:r>
      <w:r>
        <w:rPr>
          <w:rFonts w:ascii="Times New Roman" w:eastAsia="Times New Roman" w:hAnsi="Times New Roman" w:cs="Times New Roman"/>
          <w:i/>
          <w:iCs/>
          <w:sz w:val="16"/>
          <w:szCs w:val="16"/>
        </w:rPr>
        <w:t>Bartonella.</w:t>
      </w:r>
    </w:p>
    <w:p w14:paraId="6659C40F" w14:textId="77777777" w:rsidR="00093A32" w:rsidRDefault="00093A32">
      <w:pPr>
        <w:pStyle w:val="Bodytext70"/>
        <w:spacing w:after="0"/>
      </w:pPr>
      <w:r>
        <w:rPr>
          <w:i/>
          <w:iCs/>
        </w:rPr>
        <w:t>Listeria monocytogenes</w:t>
      </w:r>
      <w:r>
        <w:rPr>
          <w:i/>
          <w:iCs/>
          <w:w w:val="100"/>
        </w:rPr>
        <w:t>,</w:t>
      </w:r>
      <w:r>
        <w:t xml:space="preserve"> infecciones</w:t>
      </w:r>
    </w:p>
    <w:p w14:paraId="1CC36F29" w14:textId="77777777" w:rsidR="00093A32" w:rsidRDefault="00093A32">
      <w:pPr>
        <w:pStyle w:val="Other0"/>
        <w:spacing w:line="252" w:lineRule="auto"/>
        <w:ind w:firstLine="0"/>
        <w:rPr>
          <w:sz w:val="20"/>
          <w:szCs w:val="20"/>
        </w:rPr>
      </w:pPr>
      <w:r>
        <w:rPr>
          <w:rFonts w:ascii="Arial" w:eastAsia="Arial" w:hAnsi="Arial" w:cs="Arial"/>
          <w:b/>
          <w:bCs/>
          <w:w w:val="70"/>
          <w:sz w:val="20"/>
          <w:szCs w:val="20"/>
        </w:rPr>
        <w:t>(Listeriosis)</w:t>
      </w:r>
    </w:p>
    <w:p w14:paraId="108C271A" w14:textId="77777777" w:rsidR="00093A32" w:rsidRDefault="00093A3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Las infecciones por el microorganismo mencionado son relativamente poco comunes. Las infecciones en niños se subdividen en maternas, neonatales o infantiles con cuadros predisponentes coexistentes o sin ellos. La infección materna se acompaña de un cuadro similar a influenza, fiebre, malestar general, cefalea, síntomas de vías gastrointestinales y dorsalgia. La forma neonatal incluye síndromes de comienzo temprano y comienzo tardío, similares a los de las infecciones por el estreptococo de grupo B. En la variante de comienzo temprano es frecuente observar premadurez, neumonía y septicemia. En promedio, 65% de las mujeres presentan un pródromo sintomático antes del diagnóstico de listeriosis en el feto o neonato. Se observan a veces amnionitis durante la primera fase del parto, líquido amniótico de color parduzco o infección perinatal asintomática. En la infección neonatal grave surgen eritemas con pequeños nódulos pálidos que en el estudio histopatológico incluyen granulomas, y por ello se le ha llamado a tal variante “granulomatosis infantiséptica”. La infección tardía surge después de la primera semana de vida y por lo común culmina en meningitis. La infección aparece más bien en el periodo neonatal y hay niños con merma de la inmunidad mediada por células que es resultado de cuadros inmunodeficientes o tratamiento de este tipo, nefropatía o hepatopatía o infección con virus de inmunodeficiencia humana. En infecciones de niños casi todos los menores tienen meningitis y prácticamente la mitad muestran algún cuadro predisponente. </w:t>
      </w:r>
      <w:r>
        <w:rPr>
          <w:rFonts w:ascii="Times New Roman" w:eastAsia="Times New Roman" w:hAnsi="Times New Roman" w:cs="Times New Roman"/>
          <w:i/>
          <w:iCs/>
          <w:sz w:val="16"/>
          <w:szCs w:val="16"/>
        </w:rPr>
        <w:t>Listeria monocytogenes</w:t>
      </w:r>
      <w:r>
        <w:t xml:space="preserve"> rara vez causa encefalitis difusa. Se ha sabido de brotes causados con alimentos contaminados y cuyo cuadro clínico se caracterizó por fiebre y diarrea. La enfermedad grave en adultos, incluidas embarazadas, que provino del consumo de alimentos contaminados, destaca el hecho de que los niños de mayor edad y los adultos pueden tener enfermedad sistémica y morir.</w:t>
      </w:r>
    </w:p>
    <w:p w14:paraId="6BC4D48E" w14:textId="77777777" w:rsidR="00093A32" w:rsidRDefault="00093A3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Listeria monocytogenes</w:t>
      </w:r>
      <w:r>
        <w:t xml:space="preserve"> es un bacilo grampositivo, móvil, no esporógeno y aerobio que produce una zona angosta de hemólisis en el agar-sangre.</w:t>
      </w:r>
    </w:p>
    <w:p w14:paraId="791B29B1" w14:textId="77777777" w:rsidR="00093A32" w:rsidRDefault="00093A32">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Listeria monocytogenes</w:t>
      </w:r>
      <w:r>
        <w:t xml:space="preserve"> está distribuida ampliamente en el entorno. La transmisión por los alimentos origina brotes e infecciones esporádicas. Se ha dicho que los alimentos que pueden causar el trastorno incluyen leche no pasteurizada; quesos blandos; carnes preparadas como salchichas, embutidos y paté; carne de aves mal cocida y verduras crudas no lavadas. El estado de portador fecal y vaginal asintomático en embarazadas puede ocasionar trastornos neonatales esporádicos por la vía transplacentaria o vías ascendentes de infección o por exposición durante la expulsión del feto. La infección materna se ha vinculado con casos de aborto, parto pretérmino y óbito fetal. La infección neonatal de comienzo tardío puede surgir por contagio del microorganismo al pasar el feto por el conducto del parto o de fuentes ambientales, seguida de invasión hematógena desde los intestinos. Se ha sabido de brotes nosocomiales en salas de cuna.</w:t>
      </w:r>
    </w:p>
    <w:p w14:paraId="221B70E6" w14:textId="77777777" w:rsidR="00093A32" w:rsidRDefault="00093A32">
      <w:pPr>
        <w:pStyle w:val="BodyText"/>
        <w:spacing w:line="276" w:lineRule="auto"/>
        <w:ind w:firstLine="360"/>
      </w:pPr>
      <w:r>
        <w:t xml:space="preserve">El </w:t>
      </w:r>
      <w:r>
        <w:rPr>
          <w:b/>
          <w:bCs/>
        </w:rPr>
        <w:t xml:space="preserve">periodo de incubación </w:t>
      </w:r>
      <w:r>
        <w:t xml:space="preserve">es variable y varía de un día a más de tres semanas. </w:t>
      </w:r>
      <w:r>
        <w:rPr>
          <w:b/>
          <w:bCs/>
        </w:rPr>
        <w:t>M</w:t>
      </w:r>
      <w:r>
        <w:rPr>
          <w:b/>
          <w:bCs/>
          <w:sz w:val="13"/>
          <w:szCs w:val="13"/>
        </w:rPr>
        <w:t>ÉTODOS DIAGNÓSTICOS</w:t>
      </w:r>
      <w:r>
        <w:rPr>
          <w:b/>
          <w:bCs/>
        </w:rPr>
        <w:t xml:space="preserve">: </w:t>
      </w:r>
      <w:r>
        <w:t xml:space="preserve">Es posible identificar el microorganismo en agar-sangre, en cultivos de muestras de sangre, líquido cefalorraquídeo (LCR), meconio, material de lavado gástrico, placenta, líquido amniótico y otros tejidos infectados que incluyen líquidos sinovial, pleural o pericárdico. El microorganismo se puede identificar por la tinción de Gram de material de aspiración gástrica, tejido placentario o muestras de biopsia de la erupción en la infección de comienzo temprano con el LCR de un niño infectado. A veces se confunde </w:t>
      </w:r>
      <w:r>
        <w:rPr>
          <w:rFonts w:ascii="Times New Roman" w:eastAsia="Times New Roman" w:hAnsi="Times New Roman" w:cs="Times New Roman"/>
          <w:i/>
          <w:iCs/>
          <w:sz w:val="16"/>
          <w:szCs w:val="16"/>
        </w:rPr>
        <w:t>Listeria monocytogenes</w:t>
      </w:r>
      <w:r>
        <w:t xml:space="preserve"> con un contaminante o un saprófito, por sus rasgos morfológicos semejantes a los de difteroides y estreptococos.</w:t>
      </w:r>
    </w:p>
    <w:p w14:paraId="11C6FC4D" w14:textId="77777777" w:rsidR="00093A32" w:rsidRDefault="00093A32">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19C9DA29" w14:textId="77777777" w:rsidR="00093A32" w:rsidRDefault="00093A32">
      <w:pPr>
        <w:pStyle w:val="BodyText"/>
        <w:numPr>
          <w:ilvl w:val="0"/>
          <w:numId w:val="78"/>
        </w:numPr>
        <w:tabs>
          <w:tab w:val="left" w:pos="341"/>
        </w:tabs>
        <w:ind w:left="360" w:hanging="360"/>
        <w:rPr>
          <w:sz w:val="16"/>
          <w:szCs w:val="16"/>
        </w:rPr>
      </w:pPr>
      <w:bookmarkStart w:id="402" w:name="bookmark1005"/>
      <w:bookmarkEnd w:id="402"/>
      <w:r>
        <w:t xml:space="preserve">Se recomienda en infecciones graves administrar como fármacos iniciales ampicilina intravenosa y un aminoglucósido, por lo común sulfato de gentamicina; tal combinación es más eficaz que la sola ampicilina </w:t>
      </w:r>
      <w:r>
        <w:rPr>
          <w:rFonts w:ascii="Times New Roman" w:eastAsia="Times New Roman" w:hAnsi="Times New Roman" w:cs="Times New Roman"/>
          <w:i/>
          <w:iCs/>
          <w:sz w:val="16"/>
          <w:szCs w:val="16"/>
        </w:rPr>
        <w:t>in vitro</w:t>
      </w:r>
      <w:r>
        <w:t xml:space="preserve"> y en modelos animales de infección por </w:t>
      </w:r>
      <w:r>
        <w:rPr>
          <w:rFonts w:ascii="Times New Roman" w:eastAsia="Times New Roman" w:hAnsi="Times New Roman" w:cs="Times New Roman"/>
          <w:i/>
          <w:iCs/>
          <w:sz w:val="16"/>
          <w:szCs w:val="16"/>
        </w:rPr>
        <w:t>L. monocytogenes</w:t>
      </w:r>
      <w:r>
        <w:rPr>
          <w:i/>
          <w:iCs/>
        </w:rPr>
        <w:t>.</w:t>
      </w:r>
      <w:r>
        <w:t xml:space="preserve"> Después de que se manifiesta la respuesta clínica, o en infecciones menos graves en hospedadores inmunocompetentes, se puede administrar la sola ampicilina. Si el paciente es alérgico a la penicilina, otro fármaco al que cabe recurrir es trimetoprim-sulfametoxazol. Las cefalosporinas no son activas contra </w:t>
      </w:r>
      <w:r>
        <w:rPr>
          <w:rFonts w:ascii="Times New Roman" w:eastAsia="Times New Roman" w:hAnsi="Times New Roman" w:cs="Times New Roman"/>
          <w:i/>
          <w:iCs/>
          <w:sz w:val="16"/>
          <w:szCs w:val="16"/>
        </w:rPr>
        <w:t>L. monocytogenes.</w:t>
      </w:r>
    </w:p>
    <w:p w14:paraId="6FC3159B" w14:textId="77777777" w:rsidR="00093A32" w:rsidRDefault="00093A32">
      <w:pPr>
        <w:pStyle w:val="BodyText"/>
        <w:numPr>
          <w:ilvl w:val="0"/>
          <w:numId w:val="78"/>
        </w:numPr>
        <w:tabs>
          <w:tab w:val="left" w:pos="341"/>
        </w:tabs>
        <w:ind w:left="360" w:hanging="360"/>
      </w:pPr>
      <w:bookmarkStart w:id="403" w:name="bookmark1006"/>
      <w:bookmarkEnd w:id="403"/>
      <w:r>
        <w:t>En el caso de infecciones invasoras sin meningitis acompañante, es satisfactorio el tratamiento durante 10 a 14 días. Si surge meningitis por el microorganismo, casi todos los expertos recomiendan 14 a 21 días de tratamiento. Se necesitan ciclos más largos en pacientes en muy grave estado o que tienen endocarditis o tromboencefalitis.</w:t>
      </w:r>
    </w:p>
    <w:p w14:paraId="2A20DCC9" w14:textId="77777777" w:rsidR="00093A32" w:rsidRDefault="00093A3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49C2E010" w14:textId="77777777" w:rsidR="00093A32" w:rsidRDefault="00093A32">
      <w:pPr>
        <w:pStyle w:val="Other0"/>
        <w:spacing w:line="240" w:lineRule="auto"/>
        <w:ind w:firstLine="0"/>
      </w:pPr>
      <w:r>
        <w:rPr>
          <w:b/>
          <w:bCs/>
        </w:rPr>
        <w:t>M</w:t>
      </w:r>
      <w:r>
        <w:rPr>
          <w:b/>
          <w:bCs/>
          <w:sz w:val="13"/>
          <w:szCs w:val="13"/>
        </w:rPr>
        <w:t>EDIDAS PREVENTIVAS</w:t>
      </w:r>
      <w:r>
        <w:rPr>
          <w:b/>
          <w:bCs/>
        </w:rPr>
        <w:t>:</w:t>
      </w:r>
    </w:p>
    <w:p w14:paraId="541AA5DF" w14:textId="77777777" w:rsidR="00093A32" w:rsidRDefault="00093A32">
      <w:pPr>
        <w:pStyle w:val="BodyText"/>
        <w:numPr>
          <w:ilvl w:val="0"/>
          <w:numId w:val="78"/>
        </w:numPr>
        <w:tabs>
          <w:tab w:val="left" w:pos="341"/>
        </w:tabs>
        <w:ind w:left="360" w:hanging="360"/>
      </w:pPr>
      <w:bookmarkStart w:id="404" w:name="bookmark1007"/>
      <w:bookmarkEnd w:id="404"/>
      <w:r>
        <w:t>La administración de antimicrobianos para combatir la infección diagnosticada durante el embarazo puede evitar la infección fetal o perinatal y sus consecuencias.</w:t>
      </w:r>
    </w:p>
    <w:p w14:paraId="1D5A309C" w14:textId="77777777" w:rsidR="00093A32" w:rsidRDefault="00093A32">
      <w:pPr>
        <w:pStyle w:val="BodyText"/>
        <w:numPr>
          <w:ilvl w:val="0"/>
          <w:numId w:val="78"/>
        </w:numPr>
        <w:tabs>
          <w:tab w:val="left" w:pos="341"/>
        </w:tabs>
        <w:ind w:left="360" w:hanging="360"/>
        <w:rPr>
          <w:sz w:val="16"/>
          <w:szCs w:val="16"/>
        </w:rPr>
      </w:pPr>
      <w:bookmarkStart w:id="405" w:name="bookmark1008"/>
      <w:bookmarkEnd w:id="405"/>
      <w:r>
        <w:t xml:space="preserve">En Estados Unidos ha disminuido sustancialmente la incidencia de listeriosis desde 1989 en que las instituciones normativas comenzaron a imponer directrices de tolerancia nula en alimentos de consumo rápido, infectados por </w:t>
      </w:r>
      <w:r>
        <w:rPr>
          <w:rFonts w:ascii="Times New Roman" w:eastAsia="Times New Roman" w:hAnsi="Times New Roman" w:cs="Times New Roman"/>
          <w:i/>
          <w:iCs/>
          <w:sz w:val="16"/>
          <w:szCs w:val="16"/>
        </w:rPr>
        <w:t>L. monocytogenes.</w:t>
      </w:r>
    </w:p>
    <w:p w14:paraId="280786EC" w14:textId="77777777" w:rsidR="00093A32" w:rsidRDefault="00093A32">
      <w:pPr>
        <w:pStyle w:val="BodyText"/>
        <w:numPr>
          <w:ilvl w:val="0"/>
          <w:numId w:val="78"/>
        </w:numPr>
        <w:tabs>
          <w:tab w:val="left" w:pos="341"/>
        </w:tabs>
        <w:ind w:left="360" w:hanging="360"/>
      </w:pPr>
      <w:bookmarkStart w:id="406" w:name="bookmark1009"/>
      <w:bookmarkEnd w:id="406"/>
      <w:r>
        <w:t>Las directrices generales para evitar la listeriosis son semejantes a las que se siguen para impedir otras enfermedades de origen alimentario (cocer lo mejor posible la carne de animales, lavar verduras crudas, separar las carnes crudas de las verduras, no consumir productos lácteos no pasteurizados y lavar manos, cuchillos y tablas para picar después de exposición a alimentos crudos). Además, las personas expuestas a un gran peligro de mostrar complicaciones por listeriosis (embarazadas y personas inmunodeficientes), deben cumplir con las recomendaciones dietéticas señaladas en el cuadro 3-39.</w:t>
      </w:r>
    </w:p>
    <w:p w14:paraId="43CFD2B1" w14:textId="77777777" w:rsidR="00093A32" w:rsidRDefault="00093A32">
      <w:pPr>
        <w:pStyle w:val="BodyText"/>
        <w:numPr>
          <w:ilvl w:val="0"/>
          <w:numId w:val="78"/>
        </w:numPr>
        <w:tabs>
          <w:tab w:val="left" w:pos="341"/>
        </w:tabs>
        <w:ind w:left="360" w:hanging="360"/>
        <w:sectPr w:rsidR="00093A32" w:rsidSect="00093A32">
          <w:headerReference w:type="even" r:id="rId506"/>
          <w:headerReference w:type="default" r:id="rId507"/>
          <w:footerReference w:type="even" r:id="rId508"/>
          <w:footerReference w:type="default" r:id="rId509"/>
          <w:headerReference w:type="first" r:id="rId510"/>
          <w:footerReference w:type="first" r:id="rId511"/>
          <w:footnotePr>
            <w:numFmt w:val="chicago"/>
          </w:footnotePr>
          <w:pgSz w:w="8501" w:h="13022"/>
          <w:pgMar w:top="710" w:right="796" w:bottom="428" w:left="783" w:header="0" w:footer="3" w:gutter="0"/>
          <w:cols w:space="720"/>
          <w:noEndnote/>
          <w:titlePg/>
          <w:docGrid w:linePitch="360"/>
          <w15:footnoteColumns w:val="1"/>
        </w:sectPr>
      </w:pPr>
      <w:bookmarkStart w:id="407" w:name="bookmark1010"/>
      <w:bookmarkEnd w:id="407"/>
      <w:r>
        <w:t>La listeriosis es una enfermedad de notificación nacional en Estados Unidos y hay señalar los casos al departamento sanitario regional para facilitar la identificación oportuna y la erradicación de brotes de fuentes comunes.</w:t>
      </w:r>
    </w:p>
    <w:p w14:paraId="16D2AAAB" w14:textId="77777777" w:rsidR="00093A32" w:rsidRDefault="00093A32">
      <w:pPr>
        <w:pStyle w:val="Heading31"/>
        <w:keepNext/>
        <w:keepLines/>
        <w:pBdr>
          <w:bottom w:val="single" w:sz="4" w:space="0" w:color="auto"/>
        </w:pBdr>
        <w:spacing w:after="380" w:line="221" w:lineRule="auto"/>
        <w:jc w:val="center"/>
      </w:pPr>
      <w:bookmarkStart w:id="408" w:name="bookmark1011"/>
      <w:bookmarkStart w:id="409" w:name="bookmark1012"/>
      <w:bookmarkStart w:id="410" w:name="bookmark1013"/>
      <w:r>
        <w:rPr>
          <w:b w:val="0"/>
          <w:bCs w:val="0"/>
        </w:rPr>
        <w:t xml:space="preserve">Cuadro 3-39. </w:t>
      </w:r>
      <w:r>
        <w:t>Recomendaciones respecto a alimentación en personas</w:t>
      </w:r>
      <w:r>
        <w:br/>
        <w:t>que están expuestas a un gran peligro de contraer la listeriosis</w:t>
      </w:r>
      <w:r>
        <w:rPr>
          <w:vertAlign w:val="superscript"/>
        </w:rPr>
        <w:t>1</w:t>
      </w:r>
      <w:bookmarkEnd w:id="408"/>
      <w:bookmarkEnd w:id="409"/>
      <w:bookmarkEnd w:id="410"/>
    </w:p>
    <w:p w14:paraId="2AEA17D9" w14:textId="77777777" w:rsidR="00093A32" w:rsidRDefault="00093A32">
      <w:pPr>
        <w:pStyle w:val="Bodytext20"/>
        <w:numPr>
          <w:ilvl w:val="0"/>
          <w:numId w:val="78"/>
        </w:numPr>
        <w:tabs>
          <w:tab w:val="left" w:pos="286"/>
        </w:tabs>
        <w:ind w:left="300" w:hanging="300"/>
      </w:pPr>
      <w:bookmarkStart w:id="411" w:name="bookmark1014"/>
      <w:bookmarkEnd w:id="411"/>
      <w:r>
        <w:t>No consumir quesos blandos (como feta, brie, Camembert, azul y queso fresco mexicano). Tampoco se consumirán quesos duros o preparados, en rebanadas o para untar, ni queso crema, queso de granja (cotage) o yogur</w:t>
      </w:r>
    </w:p>
    <w:p w14:paraId="71A19C5F" w14:textId="77777777" w:rsidR="00093A32" w:rsidRDefault="00093A32">
      <w:pPr>
        <w:pStyle w:val="Bodytext20"/>
        <w:numPr>
          <w:ilvl w:val="0"/>
          <w:numId w:val="78"/>
        </w:numPr>
        <w:tabs>
          <w:tab w:val="left" w:pos="286"/>
        </w:tabs>
        <w:ind w:left="300" w:hanging="300"/>
      </w:pPr>
      <w:bookmarkStart w:id="412" w:name="bookmark1015"/>
      <w:bookmarkEnd w:id="412"/>
      <w:r>
        <w:t>Se cocinarán sobrantes de alimentos o alimentos listos para consumo (salchichas) hasta que comiencen a emitir vapor, antes de consumirlos</w:t>
      </w:r>
    </w:p>
    <w:p w14:paraId="5FF8DFB9" w14:textId="77777777" w:rsidR="00093A32" w:rsidRDefault="00093A32">
      <w:pPr>
        <w:pStyle w:val="Bodytext20"/>
        <w:numPr>
          <w:ilvl w:val="0"/>
          <w:numId w:val="78"/>
        </w:numPr>
        <w:tabs>
          <w:tab w:val="left" w:pos="286"/>
        </w:tabs>
        <w:ind w:left="300" w:hanging="300"/>
      </w:pPr>
      <w:bookmarkStart w:id="413" w:name="bookmark1016"/>
      <w:bookmarkEnd w:id="413"/>
      <w:r>
        <w:t>No se consumirán alimentos en expendios automáticos de productos de salchichonería (como ensaladas preparadas, carnes o quesos), o bien se calentarán y recalentarán los alimentos hasta que emitan vapor antes de consumirlos</w:t>
      </w:r>
    </w:p>
    <w:p w14:paraId="69AB95BE" w14:textId="77777777" w:rsidR="00093A32" w:rsidRDefault="00093A32">
      <w:pPr>
        <w:pStyle w:val="Bodytext20"/>
        <w:numPr>
          <w:ilvl w:val="0"/>
          <w:numId w:val="78"/>
        </w:numPr>
        <w:tabs>
          <w:tab w:val="left" w:pos="286"/>
        </w:tabs>
        <w:ind w:left="300" w:hanging="300"/>
      </w:pPr>
      <w:bookmarkStart w:id="414" w:name="bookmark1017"/>
      <w:bookmarkEnd w:id="414"/>
      <w:r>
        <w:t>No se consumirán patés refrigerados ni carnes para untar, o bien se calentarán y recalentarán hasta que generen vapor; será mejor no consumir paté enlatado o al menudeo ni carne para untar</w:t>
      </w:r>
    </w:p>
    <w:p w14:paraId="769C9C8C" w14:textId="77777777" w:rsidR="00093A32" w:rsidRDefault="00093A32">
      <w:pPr>
        <w:pStyle w:val="Bodytext20"/>
        <w:numPr>
          <w:ilvl w:val="0"/>
          <w:numId w:val="78"/>
        </w:numPr>
        <w:pBdr>
          <w:bottom w:val="single" w:sz="4" w:space="0" w:color="auto"/>
        </w:pBdr>
        <w:tabs>
          <w:tab w:val="left" w:pos="286"/>
        </w:tabs>
        <w:spacing w:after="160"/>
        <w:ind w:left="300" w:hanging="300"/>
      </w:pPr>
      <w:bookmarkStart w:id="415" w:name="bookmark1018"/>
      <w:bookmarkEnd w:id="415"/>
      <w:r>
        <w:t>No se consumirá leche cruda o no pasteurizada que incluya la de cabra, productos lácteos o alimentos que contengan leche o productos no pasteurizados</w:t>
      </w:r>
    </w:p>
    <w:p w14:paraId="712E90BB" w14:textId="77777777" w:rsidR="00093A32" w:rsidRDefault="00093A32">
      <w:pPr>
        <w:pStyle w:val="Bodytext20"/>
        <w:spacing w:after="380" w:line="233" w:lineRule="auto"/>
        <w:ind w:left="240" w:hanging="240"/>
      </w:pPr>
      <w:r>
        <w:rPr>
          <w:vertAlign w:val="superscript"/>
        </w:rPr>
        <w:t>1</w:t>
      </w:r>
      <w:r>
        <w:t xml:space="preserve"> Los pacientes de alto riesgo son los que muestran inmunodeficiencia por enfermedades o tratamientos, y embarazadas.</w:t>
      </w:r>
    </w:p>
    <w:p w14:paraId="2273491A" w14:textId="77777777" w:rsidR="00093A32" w:rsidRDefault="00093A32">
      <w:pPr>
        <w:pStyle w:val="Bodytext70"/>
        <w:spacing w:after="0"/>
      </w:pPr>
      <w:r>
        <w:t>Lyme, enfermedad</w:t>
      </w:r>
    </w:p>
    <w:p w14:paraId="3BC824F7" w14:textId="77777777" w:rsidR="00093A32" w:rsidRDefault="00093A32">
      <w:pPr>
        <w:pStyle w:val="Bodytext80"/>
        <w:spacing w:line="226" w:lineRule="auto"/>
        <w:rPr>
          <w:sz w:val="20"/>
          <w:szCs w:val="20"/>
        </w:rPr>
      </w:pPr>
      <w:r>
        <w:rPr>
          <w:b/>
          <w:bCs/>
          <w:w w:val="70"/>
          <w:sz w:val="20"/>
          <w:szCs w:val="20"/>
        </w:rPr>
        <w:t xml:space="preserve">(Infección por </w:t>
      </w:r>
      <w:r>
        <w:rPr>
          <w:b/>
          <w:bCs/>
          <w:i/>
          <w:iCs/>
          <w:sz w:val="15"/>
          <w:szCs w:val="15"/>
        </w:rPr>
        <w:t>Borrelia burgdorferi</w:t>
      </w:r>
      <w:r>
        <w:rPr>
          <w:b/>
          <w:bCs/>
          <w:i/>
          <w:iCs/>
          <w:w w:val="70"/>
          <w:sz w:val="20"/>
          <w:szCs w:val="20"/>
        </w:rPr>
        <w:t>)</w:t>
      </w:r>
    </w:p>
    <w:p w14:paraId="083EEC41" w14:textId="77777777" w:rsidR="00093A32" w:rsidRDefault="00093A32">
      <w:pPr>
        <w:pStyle w:val="BodyText"/>
        <w:spacing w:line="276" w:lineRule="auto"/>
        <w:ind w:firstLine="0"/>
      </w:pPr>
      <w:r>
        <w:rPr>
          <w:b/>
          <w:bCs/>
        </w:rPr>
        <w:t>M</w:t>
      </w:r>
      <w:r>
        <w:rPr>
          <w:b/>
          <w:bCs/>
          <w:sz w:val="13"/>
          <w:szCs w:val="13"/>
        </w:rPr>
        <w:t>ANIFESTACIONES CLÍNICAS</w:t>
      </w:r>
      <w:r>
        <w:rPr>
          <w:b/>
          <w:bCs/>
        </w:rPr>
        <w:t xml:space="preserve">: </w:t>
      </w:r>
      <w:r>
        <w:t xml:space="preserve">El cuadro clínico de la enfermedad mencionada se divide en tres etapas: localizada temprana, diseminada temprana y tardía. La primera forma (localizada temprana) se caracteriza por la aparición de una erupción peculiar llamada </w:t>
      </w:r>
      <w:r>
        <w:rPr>
          <w:rFonts w:ascii="Times New Roman" w:eastAsia="Times New Roman" w:hAnsi="Times New Roman" w:cs="Times New Roman"/>
          <w:i/>
          <w:iCs/>
          <w:sz w:val="16"/>
          <w:szCs w:val="16"/>
        </w:rPr>
        <w:t>eritema migrans</w:t>
      </w:r>
      <w:r>
        <w:t xml:space="preserve"> en el sitio de una picadura reciente de una garrapata. El eritema mencionado comienza en la forma de una mácula o pápula rojizas que suelen expandirse con el paso de días o semanas hasta formar una gran lesión eritematosa anular de 5 cm de diámetro o más (mediana, 15 cm), a veces con una zona “clara” parcial en el centro. El eritema migrans localizado muestra una variación enorme en su tamaño y forma y puede tener en el centro áreas vesiculares o necróticas. Junto con el eritema suele surgir fiebre, malestar general, cefalea, rigidez leve del cuello, mialgia y artralgia. En personas no tratadas, los síntomas concomitantes pueden ser intermitentes y variar en un lapso de semanas.</w:t>
      </w:r>
    </w:p>
    <w:p w14:paraId="70FA28E4" w14:textId="77777777" w:rsidR="00093A32" w:rsidRDefault="00093A32">
      <w:pPr>
        <w:pStyle w:val="BodyText"/>
        <w:spacing w:line="276" w:lineRule="auto"/>
        <w:ind w:firstLine="360"/>
      </w:pPr>
      <w:r>
        <w:t xml:space="preserve">La manifestación más común de la forma diseminada temprana es el </w:t>
      </w:r>
      <w:r>
        <w:rPr>
          <w:rFonts w:ascii="Times New Roman" w:eastAsia="Times New Roman" w:hAnsi="Times New Roman" w:cs="Times New Roman"/>
          <w:i/>
          <w:iCs/>
          <w:sz w:val="16"/>
          <w:szCs w:val="16"/>
        </w:rPr>
        <w:t>eritema migrans</w:t>
      </w:r>
      <w:r>
        <w:t xml:space="preserve"> múltiple, que suele aparecer tres a cinco semanas después de la picadura de una garrapata infectada y que incluye lesiones eritematosas anulares secundarias semejantes a la lesión primaria, pero más pequeñas. Estas lesiones traducen espiroquetemia con diseminación cutánea. Otras manifestaciones frecuentes de la variante diseminada temprana (que aparece con erupción o sin ella) son las parálisis de pares craneales (en particular del par craneal VII), meningitis y conjuntivitis. En la etapa diseminada temprana es frecuente observar síntomas sistémicos, artralgias, mialgias, cefalea y fatiga. Rara vez se detecta en niños carditis, que suele caracterizarse por grados diversos de bloqueo cardiaco.</w:t>
      </w:r>
    </w:p>
    <w:p w14:paraId="47FFA445" w14:textId="77777777" w:rsidR="00093A32" w:rsidRDefault="00093A32">
      <w:pPr>
        <w:pStyle w:val="BodyText"/>
        <w:spacing w:after="280"/>
        <w:ind w:firstLine="360"/>
      </w:pPr>
      <w:r>
        <w:t>La enfermedad tardía se caracteriza más a menudo por artritis recurrente, por lo común oligoarticular, y que ataca grandes articulaciones, en particular la rodilla. La artritis puede aparecer sin el antecedente de que se hayan sucedido anteriormente las etapas de la enfermedad (incluido el eritema migrans). En raras ocasiones en la forma</w:t>
      </w:r>
    </w:p>
    <w:p w14:paraId="354DC535" w14:textId="77777777" w:rsidR="00093A32" w:rsidRDefault="00093A32">
      <w:pPr>
        <w:pStyle w:val="Heading31"/>
        <w:keepNext/>
        <w:keepLines/>
        <w:pBdr>
          <w:bottom w:val="single" w:sz="4" w:space="0" w:color="auto"/>
        </w:pBdr>
        <w:spacing w:after="380" w:line="221" w:lineRule="auto"/>
        <w:jc w:val="center"/>
      </w:pPr>
      <w:bookmarkStart w:id="416" w:name="bookmark1019"/>
      <w:bookmarkStart w:id="417" w:name="bookmark1020"/>
      <w:bookmarkStart w:id="418" w:name="bookmark1021"/>
      <w:r>
        <w:rPr>
          <w:b w:val="0"/>
          <w:bCs w:val="0"/>
        </w:rPr>
        <w:t xml:space="preserve">Cuadro 3-39. </w:t>
      </w:r>
      <w:r>
        <w:t>Recomendaciones respecto a alimentación en personas</w:t>
      </w:r>
      <w:r>
        <w:br/>
        <w:t>que están expuestas a un gran peligro de contraer la listeriosis</w:t>
      </w:r>
      <w:r>
        <w:rPr>
          <w:vertAlign w:val="superscript"/>
        </w:rPr>
        <w:t>1</w:t>
      </w:r>
      <w:bookmarkEnd w:id="416"/>
      <w:bookmarkEnd w:id="417"/>
      <w:bookmarkEnd w:id="418"/>
    </w:p>
    <w:p w14:paraId="03934971" w14:textId="77777777" w:rsidR="00093A32" w:rsidRDefault="00093A32">
      <w:pPr>
        <w:pStyle w:val="Bodytext20"/>
        <w:numPr>
          <w:ilvl w:val="0"/>
          <w:numId w:val="78"/>
        </w:numPr>
        <w:tabs>
          <w:tab w:val="left" w:pos="286"/>
        </w:tabs>
        <w:ind w:left="300" w:hanging="300"/>
      </w:pPr>
      <w:bookmarkStart w:id="419" w:name="bookmark1022"/>
      <w:bookmarkEnd w:id="419"/>
      <w:r>
        <w:t>No consumir quesos blandos (como feta, brie, Camembert, azul y queso fresco mexicano). Tampoco se consumirán quesos duros o preparados, en rebanadas o para untar, ni queso crema, queso de granja (cotage) o yogur</w:t>
      </w:r>
    </w:p>
    <w:p w14:paraId="44751698" w14:textId="77777777" w:rsidR="00093A32" w:rsidRDefault="00093A32">
      <w:pPr>
        <w:pStyle w:val="Bodytext20"/>
        <w:numPr>
          <w:ilvl w:val="0"/>
          <w:numId w:val="78"/>
        </w:numPr>
        <w:tabs>
          <w:tab w:val="left" w:pos="286"/>
        </w:tabs>
        <w:ind w:left="300" w:hanging="300"/>
      </w:pPr>
      <w:bookmarkStart w:id="420" w:name="bookmark1023"/>
      <w:bookmarkEnd w:id="420"/>
      <w:r>
        <w:t>Se cocinarán sobrantes de alimentos o alimentos listos para consumo (salchichas) hasta que comiencen a emitir vapor, antes de consumirlos</w:t>
      </w:r>
    </w:p>
    <w:p w14:paraId="5AF094F1" w14:textId="77777777" w:rsidR="00093A32" w:rsidRDefault="00093A32">
      <w:pPr>
        <w:pStyle w:val="Bodytext20"/>
        <w:numPr>
          <w:ilvl w:val="0"/>
          <w:numId w:val="78"/>
        </w:numPr>
        <w:tabs>
          <w:tab w:val="left" w:pos="286"/>
        </w:tabs>
        <w:ind w:left="300" w:hanging="300"/>
      </w:pPr>
      <w:bookmarkStart w:id="421" w:name="bookmark1024"/>
      <w:bookmarkEnd w:id="421"/>
      <w:r>
        <w:t>No se consumirán alimentos en expendios automáticos de productos de salchichonería (como ensaladas preparadas, carnes o quesos), o bien se calentarán y recalentarán los alimentos hasta que emitan vapor antes de consumirlos</w:t>
      </w:r>
    </w:p>
    <w:p w14:paraId="4C99C692" w14:textId="5A8EC594" w:rsidR="00C31EB8" w:rsidRDefault="00093A32">
      <w:bookmarkStart w:id="422" w:name="bookmark1025"/>
      <w:bookmarkEnd w:id="422"/>
      <w:r>
        <w:t>No se consumirán patés refrigerados ni carnes para untar, o bien se calentarán y recalentarán hasta que</w:t>
      </w:r>
    </w:p>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5245" w14:textId="77777777" w:rsidR="003B3A37" w:rsidRDefault="003B3A37" w:rsidP="00093A32">
      <w:pPr>
        <w:spacing w:after="0" w:line="240" w:lineRule="auto"/>
      </w:pPr>
      <w:r>
        <w:separator/>
      </w:r>
    </w:p>
  </w:endnote>
  <w:endnote w:type="continuationSeparator" w:id="0">
    <w:p w14:paraId="1B4295A6" w14:textId="77777777" w:rsidR="003B3A37" w:rsidRDefault="003B3A37" w:rsidP="0009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DAC9" w14:textId="77777777" w:rsidR="00093A32" w:rsidRDefault="00093A32">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DACD" w14:textId="77777777" w:rsidR="00093A32" w:rsidRDefault="00093A32">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CDD3" w14:textId="77777777" w:rsidR="00093A32" w:rsidRDefault="00093A32">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6858" w14:textId="77777777" w:rsidR="00093A32" w:rsidRDefault="00093A3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D585" w14:textId="77777777" w:rsidR="00093A32" w:rsidRDefault="00093A3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F8F3" w14:textId="77777777" w:rsidR="00093A32" w:rsidRDefault="00093A3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71CC" w14:textId="77777777" w:rsidR="00093A32" w:rsidRDefault="00093A3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D98B" w14:textId="77777777" w:rsidR="00093A32" w:rsidRDefault="00093A32">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C208" w14:textId="77777777" w:rsidR="00093A32" w:rsidRDefault="00093A32">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52D3" w14:textId="77777777" w:rsidR="00093A32" w:rsidRDefault="00093A32">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8C01" w14:textId="77777777" w:rsidR="00093A32" w:rsidRDefault="00093A32">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D231" w14:textId="77777777" w:rsidR="00093A32" w:rsidRDefault="00093A32">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8829" w14:textId="77777777" w:rsidR="00093A32" w:rsidRDefault="00093A32">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AD1F" w14:textId="77777777" w:rsidR="00093A32" w:rsidRDefault="00093A3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E4F9" w14:textId="77777777" w:rsidR="00093A32" w:rsidRDefault="00093A32"/>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8870" w14:textId="77777777" w:rsidR="00093A32" w:rsidRDefault="00093A32"/>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7A07" w14:textId="77777777" w:rsidR="00093A32" w:rsidRDefault="00093A3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3E31" w14:textId="77777777" w:rsidR="00093A32" w:rsidRDefault="00093A32"/>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11F8" w14:textId="77777777" w:rsidR="00093A32" w:rsidRDefault="00093A32"/>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232E" w14:textId="77777777" w:rsidR="00093A32" w:rsidRDefault="00093A32">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A15C" w14:textId="77777777" w:rsidR="00093A32" w:rsidRDefault="00093A32">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C795" w14:textId="77777777" w:rsidR="00093A32" w:rsidRDefault="00093A32">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72AF" w14:textId="77777777" w:rsidR="00093A32" w:rsidRDefault="00093A32"/>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574A" w14:textId="77777777" w:rsidR="00093A32" w:rsidRDefault="00093A32"/>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17B8" w14:textId="77777777" w:rsidR="00093A32" w:rsidRDefault="00093A32"/>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5CAA" w14:textId="77777777" w:rsidR="00093A32" w:rsidRDefault="00093A32"/>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CBF8" w14:textId="77777777" w:rsidR="00093A32" w:rsidRDefault="00093A32">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7E0D" w14:textId="77777777" w:rsidR="00093A32" w:rsidRDefault="00093A32">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758F" w14:textId="77777777" w:rsidR="00093A32" w:rsidRDefault="00093A32">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1CC7" w14:textId="77777777" w:rsidR="00093A32" w:rsidRDefault="00093A32">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E7A9" w14:textId="77777777" w:rsidR="00093A32" w:rsidRDefault="00093A32">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D6A6" w14:textId="77777777" w:rsidR="00093A32" w:rsidRDefault="00093A32">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B405" w14:textId="77777777" w:rsidR="00093A32" w:rsidRDefault="00093A32">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2F26" w14:textId="77777777" w:rsidR="00093A32" w:rsidRDefault="00093A32">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7312" w14:textId="77777777" w:rsidR="00093A32" w:rsidRDefault="00093A32">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52DD" w14:textId="77777777" w:rsidR="00093A32" w:rsidRDefault="00093A32">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98E8" w14:textId="77777777" w:rsidR="00093A32" w:rsidRDefault="00093A32">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97A5" w14:textId="77777777" w:rsidR="00093A32" w:rsidRDefault="00093A32">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1D64" w14:textId="77777777" w:rsidR="00093A32" w:rsidRDefault="00093A32">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343" w14:textId="77777777" w:rsidR="00093A32" w:rsidRDefault="00093A32">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18D9" w14:textId="77777777" w:rsidR="00093A32" w:rsidRDefault="00093A32">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8E86" w14:textId="77777777" w:rsidR="00093A32" w:rsidRDefault="00093A32"/>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8340" w14:textId="77777777" w:rsidR="00093A32" w:rsidRDefault="00093A32"/>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CC48" w14:textId="77777777" w:rsidR="00093A32" w:rsidRDefault="00093A32">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98E4" w14:textId="77777777" w:rsidR="00093A32" w:rsidRDefault="00093A32">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FF34" w14:textId="77777777" w:rsidR="00093A32" w:rsidRDefault="00093A32">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5549" w14:textId="77777777" w:rsidR="00093A32" w:rsidRDefault="00093A32">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1F10B" w14:textId="77777777" w:rsidR="00093A32" w:rsidRDefault="00093A32">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74B4" w14:textId="77777777" w:rsidR="00093A32" w:rsidRDefault="00093A32">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2802" w14:textId="77777777" w:rsidR="00093A32" w:rsidRDefault="00093A32">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AFEE" w14:textId="77777777" w:rsidR="00093A32" w:rsidRDefault="00093A32">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EC67" w14:textId="77777777" w:rsidR="00093A32" w:rsidRDefault="00093A32">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B693" w14:textId="77777777" w:rsidR="00093A32" w:rsidRDefault="00093A32">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F72E" w14:textId="77777777" w:rsidR="00093A32" w:rsidRDefault="00093A32">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FD9B" w14:textId="77777777" w:rsidR="00093A32" w:rsidRDefault="00093A32">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A2FB" w14:textId="77777777" w:rsidR="00093A32" w:rsidRDefault="00093A32">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C696" w14:textId="77777777" w:rsidR="00093A32" w:rsidRDefault="00093A32">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F18E" w14:textId="77777777" w:rsidR="00093A32" w:rsidRDefault="00093A32">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983E" w14:textId="77777777" w:rsidR="00093A32" w:rsidRDefault="00093A32">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56C8" w14:textId="77777777" w:rsidR="00093A32" w:rsidRDefault="00093A32">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A317" w14:textId="77777777" w:rsidR="00093A32" w:rsidRDefault="00093A32">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B6CB" w14:textId="77777777" w:rsidR="00093A32" w:rsidRDefault="00093A32">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6CA9" w14:textId="77777777" w:rsidR="00093A32" w:rsidRDefault="00093A32">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32A2" w14:textId="77777777" w:rsidR="00093A32" w:rsidRDefault="00093A32">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2557" w14:textId="77777777" w:rsidR="00093A32" w:rsidRDefault="00093A32">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29DA" w14:textId="77777777" w:rsidR="00093A32" w:rsidRDefault="00093A32">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057F" w14:textId="77777777" w:rsidR="00093A32" w:rsidRDefault="00093A32">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405E" w14:textId="77777777" w:rsidR="00093A32" w:rsidRDefault="00093A32">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5014" w14:textId="77777777" w:rsidR="00093A32" w:rsidRDefault="00093A32">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7FFB" w14:textId="77777777" w:rsidR="00093A32" w:rsidRDefault="00093A32"/>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C900" w14:textId="77777777" w:rsidR="00093A32" w:rsidRDefault="00093A32"/>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13BC" w14:textId="77777777" w:rsidR="00093A32" w:rsidRDefault="00093A32">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BA84" w14:textId="77777777" w:rsidR="00093A32" w:rsidRDefault="00093A32">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2084" w14:textId="77777777" w:rsidR="00093A32" w:rsidRDefault="00093A32">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9E64" w14:textId="77777777" w:rsidR="00093A32" w:rsidRDefault="00093A32"/>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19A3" w14:textId="77777777" w:rsidR="00093A32" w:rsidRDefault="00093A32"/>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C1F9" w14:textId="77777777" w:rsidR="00093A32" w:rsidRDefault="00093A32">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2F02" w14:textId="77777777" w:rsidR="00093A32" w:rsidRDefault="00093A32">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59B8" w14:textId="77777777" w:rsidR="00093A32" w:rsidRDefault="00093A32">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7966" w14:textId="77777777" w:rsidR="00093A32" w:rsidRDefault="00093A32"/>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F628" w14:textId="77777777" w:rsidR="00093A32" w:rsidRDefault="00093A32"/>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E7AE" w14:textId="77777777" w:rsidR="00093A32" w:rsidRDefault="00093A32"/>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A47B7" w14:textId="77777777" w:rsidR="00093A32" w:rsidRDefault="00093A32"/>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801A" w14:textId="77777777" w:rsidR="00093A32" w:rsidRDefault="00093A32">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480B" w14:textId="77777777" w:rsidR="00093A32" w:rsidRDefault="00093A32">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0FCF" w14:textId="77777777" w:rsidR="00093A32" w:rsidRDefault="00093A32">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567C" w14:textId="77777777" w:rsidR="00093A32" w:rsidRDefault="00093A32">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0C99" w14:textId="77777777" w:rsidR="00093A32" w:rsidRDefault="00093A32">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3D9" w14:textId="77777777" w:rsidR="00093A32" w:rsidRDefault="00093A32">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7BE2" w14:textId="77777777" w:rsidR="00093A32" w:rsidRDefault="00093A32">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1F8E" w14:textId="77777777" w:rsidR="00093A32" w:rsidRDefault="00093A32">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31F7" w14:textId="77777777" w:rsidR="00093A32" w:rsidRDefault="00093A32">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6F29" w14:textId="77777777" w:rsidR="00093A32" w:rsidRDefault="00093A32">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63BB" w14:textId="77777777" w:rsidR="00093A32" w:rsidRDefault="00093A32">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F338" w14:textId="77777777" w:rsidR="00093A32" w:rsidRDefault="00093A32">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3A3E" w14:textId="77777777" w:rsidR="00093A32" w:rsidRDefault="00093A32">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BDB7" w14:textId="77777777" w:rsidR="00093A32" w:rsidRDefault="00093A32">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D6E3" w14:textId="77777777" w:rsidR="00093A32" w:rsidRDefault="00093A32">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D759" w14:textId="77777777" w:rsidR="00093A32" w:rsidRDefault="00093A32">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AFF4" w14:textId="77777777" w:rsidR="00093A32" w:rsidRDefault="00093A32">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BA7BD" w14:textId="77777777" w:rsidR="00093A32" w:rsidRDefault="00093A32">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249A" w14:textId="77777777" w:rsidR="00093A32" w:rsidRDefault="00093A32">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4139" w14:textId="77777777" w:rsidR="00093A32" w:rsidRDefault="00093A32">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A115" w14:textId="77777777" w:rsidR="00093A32" w:rsidRDefault="00093A32">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1DA9" w14:textId="77777777" w:rsidR="00093A32" w:rsidRDefault="00093A32"/>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A7ED" w14:textId="77777777" w:rsidR="00093A32" w:rsidRDefault="00093A32"/>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5315" w14:textId="77777777" w:rsidR="00093A32" w:rsidRDefault="00093A32"/>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E929" w14:textId="77777777" w:rsidR="00093A32" w:rsidRDefault="00093A32"/>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1370" w14:textId="77777777" w:rsidR="00093A32" w:rsidRDefault="00093A32"/>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3B8B" w14:textId="77777777" w:rsidR="00093A32" w:rsidRDefault="00093A32"/>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9C05" w14:textId="77777777" w:rsidR="00093A32" w:rsidRDefault="00093A32"/>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BBAC" w14:textId="77777777" w:rsidR="00093A32" w:rsidRDefault="00093A32"/>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4E65" w14:textId="77777777" w:rsidR="00093A32" w:rsidRDefault="00093A32">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33E9" w14:textId="77777777" w:rsidR="00093A32" w:rsidRDefault="00093A32">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6C94" w14:textId="77777777" w:rsidR="00093A32" w:rsidRDefault="00093A32">
    <w:pPr>
      <w:spacing w:line="1" w:lineRule="exact"/>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91A8" w14:textId="77777777" w:rsidR="00093A32" w:rsidRDefault="00093A32">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E023" w14:textId="77777777" w:rsidR="00093A32" w:rsidRDefault="00093A32">
    <w:pPr>
      <w:spacing w:line="1" w:lineRule="exact"/>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BF09" w14:textId="77777777" w:rsidR="00093A32" w:rsidRDefault="00093A32">
    <w:pPr>
      <w:spacing w:line="1" w:lineRule="exact"/>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8DC9" w14:textId="77777777" w:rsidR="00093A32" w:rsidRDefault="00093A32">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CA53" w14:textId="77777777" w:rsidR="00093A32" w:rsidRDefault="00093A32">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1F89" w14:textId="77777777" w:rsidR="00093A32" w:rsidRDefault="00093A32">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7161" w14:textId="77777777" w:rsidR="00093A32" w:rsidRDefault="00093A32">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2BDF" w14:textId="77777777" w:rsidR="00093A32" w:rsidRDefault="00093A32">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0C79" w14:textId="77777777" w:rsidR="00093A32" w:rsidRDefault="00093A32">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02EA" w14:textId="77777777" w:rsidR="00093A32" w:rsidRDefault="00093A32">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83BE" w14:textId="77777777" w:rsidR="00093A32" w:rsidRDefault="00093A32">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C6B5" w14:textId="77777777" w:rsidR="00093A32" w:rsidRDefault="00093A32">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54B6" w14:textId="77777777" w:rsidR="00093A32" w:rsidRDefault="00093A32">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0D93" w14:textId="77777777" w:rsidR="00093A32" w:rsidRDefault="00093A32">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11D3" w14:textId="77777777" w:rsidR="00093A32" w:rsidRDefault="00093A32">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A990" w14:textId="77777777" w:rsidR="00093A32" w:rsidRDefault="00093A32">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B081" w14:textId="77777777" w:rsidR="00093A32" w:rsidRDefault="00093A32">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46EA" w14:textId="77777777" w:rsidR="00093A32" w:rsidRDefault="00093A32">
    <w:pPr>
      <w:spacing w:line="1" w:lineRule="exact"/>
    </w:pPr>
    <w:r>
      <w:rPr>
        <w:noProof/>
      </w:rPr>
      <mc:AlternateContent>
        <mc:Choice Requires="wps">
          <w:drawing>
            <wp:anchor distT="0" distB="0" distL="0" distR="0" simplePos="0" relativeHeight="252030976" behindDoc="1" locked="0" layoutInCell="1" allowOverlap="1" wp14:anchorId="3E9904EB" wp14:editId="0F5E7089">
              <wp:simplePos x="0" y="0"/>
              <wp:positionH relativeFrom="page">
                <wp:posOffset>7239000</wp:posOffset>
              </wp:positionH>
              <wp:positionV relativeFrom="page">
                <wp:posOffset>4992370</wp:posOffset>
              </wp:positionV>
              <wp:extent cx="408305" cy="82550"/>
              <wp:effectExtent l="0" t="0" r="0" b="0"/>
              <wp:wrapNone/>
              <wp:docPr id="883" name="Shape 88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4B3A9F5" w14:textId="77777777" w:rsidR="00093A32" w:rsidRDefault="00093A3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3E9904EB" id="_x0000_t202" coordsize="21600,21600" o:spt="202" path="m,l,21600r21600,l21600,xe">
              <v:stroke joinstyle="miter"/>
              <v:path gradientshapeok="t" o:connecttype="rect"/>
            </v:shapetype>
            <v:shape id="Shape 883" o:spid="_x0000_s1174" type="#_x0000_t202" style="position:absolute;margin-left:570pt;margin-top:393.1pt;width:32.15pt;height:6.5pt;z-index:-251285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" filled="f" stroked="f">
              <v:textbox style="mso-fit-shape-to-text:t" inset="0,0,0,0">
                <w:txbxContent>
                  <w:p w14:paraId="04B3A9F5" w14:textId="77777777" w:rsidR="00093A32" w:rsidRDefault="00093A3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7F31" w14:textId="77777777" w:rsidR="00093A32" w:rsidRDefault="00093A32">
    <w:pPr>
      <w:spacing w:line="1" w:lineRule="exact"/>
    </w:pPr>
    <w:r>
      <w:rPr>
        <w:noProof/>
      </w:rPr>
      <mc:AlternateContent>
        <mc:Choice Requires="wps">
          <w:drawing>
            <wp:anchor distT="0" distB="0" distL="0" distR="0" simplePos="0" relativeHeight="252029952" behindDoc="1" locked="0" layoutInCell="1" allowOverlap="1" wp14:anchorId="350FDDFC" wp14:editId="3CC3D873">
              <wp:simplePos x="0" y="0"/>
              <wp:positionH relativeFrom="page">
                <wp:posOffset>7239000</wp:posOffset>
              </wp:positionH>
              <wp:positionV relativeFrom="page">
                <wp:posOffset>4992370</wp:posOffset>
              </wp:positionV>
              <wp:extent cx="408305" cy="82550"/>
              <wp:effectExtent l="0" t="0" r="0" b="0"/>
              <wp:wrapNone/>
              <wp:docPr id="881" name="Shape 88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3BE027A9" w14:textId="77777777" w:rsidR="00093A32" w:rsidRDefault="00093A3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350FDDFC" id="_x0000_t202" coordsize="21600,21600" o:spt="202" path="m,l,21600r21600,l21600,xe">
              <v:stroke joinstyle="miter"/>
              <v:path gradientshapeok="t" o:connecttype="rect"/>
            </v:shapetype>
            <v:shape id="Shape 881" o:spid="_x0000_s1175" type="#_x0000_t202" style="position:absolute;margin-left:570pt;margin-top:393.1pt;width:32.15pt;height:6.5pt;z-index:-251286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" filled="f" stroked="f">
              <v:textbox style="mso-fit-shape-to-text:t" inset="0,0,0,0">
                <w:txbxContent>
                  <w:p w14:paraId="3BE027A9" w14:textId="77777777" w:rsidR="00093A32" w:rsidRDefault="00093A3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0539" w14:textId="77777777" w:rsidR="00093A32" w:rsidRDefault="00093A32">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9F94" w14:textId="77777777" w:rsidR="00093A32" w:rsidRDefault="00093A32">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A9DA" w14:textId="77777777" w:rsidR="00093A32" w:rsidRDefault="00093A32">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6807" w14:textId="77777777" w:rsidR="00093A32" w:rsidRDefault="00093A32">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29C7" w14:textId="77777777" w:rsidR="00093A32" w:rsidRDefault="00093A32">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2B14" w14:textId="77777777" w:rsidR="00093A32" w:rsidRDefault="00093A32"/>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AE71" w14:textId="77777777" w:rsidR="00093A32" w:rsidRDefault="00093A32"/>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D264" w14:textId="77777777" w:rsidR="00093A32" w:rsidRDefault="00093A32">
    <w:pPr>
      <w:spacing w:line="1" w:lineRule="exact"/>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5CA1" w14:textId="77777777" w:rsidR="00093A32" w:rsidRDefault="00093A32">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C197" w14:textId="77777777" w:rsidR="00093A32" w:rsidRDefault="00093A32">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2280" w14:textId="77777777" w:rsidR="00093A32" w:rsidRDefault="00093A32">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F467" w14:textId="77777777" w:rsidR="00093A32" w:rsidRDefault="00093A32"/>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C02B" w14:textId="77777777" w:rsidR="00093A32" w:rsidRDefault="00093A32"/>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A936" w14:textId="77777777" w:rsidR="00093A32" w:rsidRDefault="00093A32">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D327" w14:textId="77777777" w:rsidR="00093A32" w:rsidRDefault="00093A32">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A5E64" w14:textId="77777777" w:rsidR="00093A32" w:rsidRDefault="00093A32">
    <w:pPr>
      <w:spacing w:line="1" w:lineRule="exact"/>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DB6D" w14:textId="77777777" w:rsidR="00093A32" w:rsidRDefault="00093A32">
    <w:pPr>
      <w:spacing w:line="1" w:lineRule="exact"/>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1BC4" w14:textId="77777777" w:rsidR="00093A32" w:rsidRDefault="00093A32">
    <w:pPr>
      <w:spacing w:line="1" w:lineRule="exact"/>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85D5" w14:textId="77777777" w:rsidR="00093A32" w:rsidRDefault="00093A32"/>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DBE7" w14:textId="77777777" w:rsidR="00093A32" w:rsidRDefault="00093A32"/>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63E4" w14:textId="77777777" w:rsidR="00093A32" w:rsidRDefault="00093A32">
    <w:pPr>
      <w:spacing w:line="1" w:lineRule="exact"/>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F800" w14:textId="77777777" w:rsidR="00093A32" w:rsidRDefault="00093A32">
    <w:pPr>
      <w:spacing w:line="1" w:lineRule="exact"/>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4452" w14:textId="77777777" w:rsidR="00093A32" w:rsidRDefault="00093A32">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23B1" w14:textId="77777777" w:rsidR="00093A32" w:rsidRDefault="00093A32"/>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FCC0" w14:textId="77777777" w:rsidR="00093A32" w:rsidRDefault="00093A32"/>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4F10" w14:textId="77777777" w:rsidR="00093A32" w:rsidRDefault="00093A32"/>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F41E" w14:textId="77777777" w:rsidR="00093A32" w:rsidRDefault="00093A32"/>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1293" w14:textId="77777777" w:rsidR="00093A32" w:rsidRDefault="00093A32">
    <w:pPr>
      <w:spacing w:line="1" w:lineRule="exact"/>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C24B" w14:textId="77777777" w:rsidR="00093A32" w:rsidRDefault="00093A32">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C43D" w14:textId="77777777" w:rsidR="00093A32" w:rsidRDefault="00093A32">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D0FC" w14:textId="77777777" w:rsidR="00093A32" w:rsidRDefault="00093A32">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DC5F" w14:textId="77777777" w:rsidR="00093A32" w:rsidRDefault="00093A32">
    <w:pPr>
      <w:spacing w:line="1" w:lineRule="exact"/>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4D91" w14:textId="77777777" w:rsidR="00093A32" w:rsidRDefault="00093A32">
    <w:pPr>
      <w:spacing w:line="1" w:lineRule="exact"/>
    </w:pP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4612" w14:textId="77777777" w:rsidR="00093A32" w:rsidRDefault="00093A32"/>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3428" w14:textId="77777777" w:rsidR="00093A32" w:rsidRDefault="00093A32"/>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C25F" w14:textId="77777777" w:rsidR="00093A32" w:rsidRDefault="00093A32">
    <w:pPr>
      <w:spacing w:line="1" w:lineRule="exact"/>
    </w:pP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8480" w14:textId="77777777" w:rsidR="00093A32" w:rsidRDefault="00093A32">
    <w:pPr>
      <w:spacing w:line="1" w:lineRule="exact"/>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E37C" w14:textId="77777777" w:rsidR="00093A32" w:rsidRDefault="00093A32"/>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4977" w14:textId="77777777" w:rsidR="00093A32" w:rsidRDefault="00093A32"/>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4D8F" w14:textId="77777777" w:rsidR="00093A32" w:rsidRDefault="00093A32">
    <w:pPr>
      <w:spacing w:line="1" w:lineRule="exact"/>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222E" w14:textId="77777777" w:rsidR="00093A32" w:rsidRDefault="00093A32">
    <w:pPr>
      <w:spacing w:line="1" w:lineRule="exact"/>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CE10" w14:textId="77777777" w:rsidR="00093A32" w:rsidRDefault="00093A32">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707" w14:textId="77777777" w:rsidR="00093A32" w:rsidRDefault="00093A32"/>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64AA" w14:textId="77777777" w:rsidR="00093A32" w:rsidRDefault="00093A32"/>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A609" w14:textId="77777777" w:rsidR="00093A32" w:rsidRDefault="00093A32"/>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339C" w14:textId="77777777" w:rsidR="00093A32" w:rsidRDefault="00093A32"/>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19EB" w14:textId="77777777" w:rsidR="00093A32" w:rsidRDefault="00093A32"/>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5CF15" w14:textId="77777777" w:rsidR="00093A32" w:rsidRDefault="00093A32"/>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8782" w14:textId="77777777" w:rsidR="00093A32" w:rsidRDefault="00093A32"/>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A982" w14:textId="77777777" w:rsidR="00093A32" w:rsidRDefault="00093A32"/>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F9B7" w14:textId="77777777" w:rsidR="00093A32" w:rsidRDefault="00093A32"/>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9587" w14:textId="77777777" w:rsidR="00093A32" w:rsidRDefault="00093A32"/>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8E30" w14:textId="77777777" w:rsidR="00093A32" w:rsidRDefault="00093A32"/>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E5E2" w14:textId="77777777" w:rsidR="00093A32" w:rsidRDefault="00093A32"/>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A1D4" w14:textId="77777777" w:rsidR="00093A32" w:rsidRDefault="00093A32">
    <w:pPr>
      <w:spacing w:line="1" w:lineRule="exact"/>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0DB5" w14:textId="77777777" w:rsidR="00093A32" w:rsidRDefault="00093A32">
    <w:pPr>
      <w:spacing w:line="1" w:lineRule="exact"/>
    </w:pP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8FA1" w14:textId="77777777" w:rsidR="00093A32" w:rsidRDefault="00093A32">
    <w:pPr>
      <w:spacing w:line="1" w:lineRule="exact"/>
    </w:pP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A558" w14:textId="77777777" w:rsidR="00093A32" w:rsidRDefault="00093A32">
    <w:pPr>
      <w:spacing w:line="1" w:lineRule="exact"/>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7FF3" w14:textId="77777777" w:rsidR="00093A32" w:rsidRDefault="00093A32">
    <w:pPr>
      <w:spacing w:line="1" w:lineRule="exact"/>
    </w:pP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A34A" w14:textId="77777777" w:rsidR="00093A32" w:rsidRDefault="00093A32"/>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5899" w14:textId="77777777" w:rsidR="00093A32" w:rsidRDefault="00093A32"/>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5732" w14:textId="77777777" w:rsidR="00093A32" w:rsidRDefault="00093A32">
    <w:pPr>
      <w:spacing w:line="1" w:lineRule="exact"/>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CC06" w14:textId="77777777" w:rsidR="00093A32" w:rsidRDefault="00093A32">
    <w:pPr>
      <w:spacing w:line="1" w:lineRule="exact"/>
    </w:pP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6462" w14:textId="77777777" w:rsidR="00093A32" w:rsidRDefault="00093A32">
    <w:pPr>
      <w:spacing w:line="1" w:lineRule="exact"/>
    </w:pP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61DD" w14:textId="77777777" w:rsidR="00093A32" w:rsidRDefault="00093A32">
    <w:pPr>
      <w:spacing w:line="1" w:lineRule="exact"/>
    </w:pP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B196" w14:textId="77777777" w:rsidR="00093A32" w:rsidRDefault="00093A32">
    <w:pPr>
      <w:spacing w:line="1" w:lineRule="exact"/>
    </w:pP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931B" w14:textId="77777777" w:rsidR="00093A32" w:rsidRDefault="00093A32">
    <w:pPr>
      <w:spacing w:line="1" w:lineRule="exact"/>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F1BD" w14:textId="77777777" w:rsidR="00093A32" w:rsidRDefault="00093A32">
    <w:pPr>
      <w:spacing w:line="1" w:lineRule="exact"/>
    </w:pP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EEA6" w14:textId="77777777" w:rsidR="00093A32" w:rsidRDefault="00093A32">
    <w:pPr>
      <w:spacing w:line="1" w:lineRule="exact"/>
    </w:pP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33F0" w14:textId="77777777" w:rsidR="00093A32" w:rsidRDefault="00093A32">
    <w:pPr>
      <w:spacing w:line="1" w:lineRule="exact"/>
    </w:pP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0BC7" w14:textId="77777777" w:rsidR="00093A32" w:rsidRDefault="00093A32"/>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E6C4" w14:textId="77777777" w:rsidR="00093A32" w:rsidRDefault="00093A32"/>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90A88" w14:textId="77777777" w:rsidR="00093A32" w:rsidRDefault="00093A32"/>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A683" w14:textId="77777777" w:rsidR="00093A32" w:rsidRDefault="00093A32"/>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1C93" w14:textId="77777777" w:rsidR="00093A32" w:rsidRDefault="00093A32">
    <w:pPr>
      <w:spacing w:line="1" w:lineRule="exact"/>
    </w:pP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EAFA" w14:textId="77777777" w:rsidR="00093A32" w:rsidRDefault="00093A32">
    <w:pPr>
      <w:spacing w:line="1" w:lineRule="exact"/>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A24B" w14:textId="77777777" w:rsidR="00093A32" w:rsidRDefault="00093A32"/>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05B6" w14:textId="77777777" w:rsidR="00093A32" w:rsidRDefault="00093A32"/>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23458" w14:textId="77777777" w:rsidR="00093A32" w:rsidRDefault="00093A32">
    <w:pPr>
      <w:spacing w:line="1" w:lineRule="exact"/>
    </w:pP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CDCE" w14:textId="77777777" w:rsidR="00093A32" w:rsidRDefault="00093A32">
    <w:pPr>
      <w:spacing w:line="1" w:lineRule="exact"/>
    </w:pP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E726" w14:textId="77777777" w:rsidR="00093A32" w:rsidRDefault="00093A32"/>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AB8" w14:textId="77777777" w:rsidR="00093A32" w:rsidRDefault="00093A32"/>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E7A0" w14:textId="77777777" w:rsidR="00093A32" w:rsidRDefault="00093A32">
    <w:pPr>
      <w:spacing w:line="1" w:lineRule="exact"/>
    </w:pP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C18A" w14:textId="77777777" w:rsidR="00093A32" w:rsidRDefault="00093A32">
    <w:pPr>
      <w:spacing w:line="1" w:lineRule="exact"/>
    </w:pP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294A" w14:textId="77777777" w:rsidR="00093A32" w:rsidRDefault="00093A32"/>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FA5E" w14:textId="77777777" w:rsidR="00093A32" w:rsidRDefault="00093A32"/>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AB02" w14:textId="77777777" w:rsidR="00093A32" w:rsidRDefault="00093A32">
    <w:pPr>
      <w:spacing w:line="1" w:lineRule="exact"/>
    </w:pP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6C9C" w14:textId="77777777" w:rsidR="00093A32" w:rsidRDefault="00093A32">
    <w:pPr>
      <w:spacing w:line="1" w:lineRule="exact"/>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C105" w14:textId="77777777" w:rsidR="00093A32" w:rsidRDefault="00093A32">
    <w:pPr>
      <w:spacing w:line="1" w:lineRule="exact"/>
    </w:pP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CA16" w14:textId="77777777" w:rsidR="00093A32" w:rsidRDefault="00093A32">
    <w:pPr>
      <w:spacing w:line="1" w:lineRule="exact"/>
    </w:pP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13B2" w14:textId="77777777" w:rsidR="00093A32" w:rsidRDefault="00093A32">
    <w:pPr>
      <w:spacing w:line="1" w:lineRule="exact"/>
    </w:pP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41CC" w14:textId="77777777" w:rsidR="00093A32" w:rsidRDefault="00093A32"/>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3CE4" w14:textId="77777777" w:rsidR="00093A32" w:rsidRDefault="00093A32"/>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9C5B" w14:textId="77777777" w:rsidR="00093A32" w:rsidRDefault="00093A32">
    <w:pPr>
      <w:spacing w:line="1" w:lineRule="exact"/>
    </w:pP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4342" w14:textId="77777777" w:rsidR="00093A32" w:rsidRDefault="00093A32">
    <w:pPr>
      <w:spacing w:line="1" w:lineRule="exact"/>
    </w:pP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F3D4" w14:textId="77777777" w:rsidR="00093A32" w:rsidRDefault="00093A32">
    <w:pPr>
      <w:spacing w:line="1" w:lineRule="exact"/>
    </w:pP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3527" w14:textId="77777777" w:rsidR="00093A32" w:rsidRDefault="00093A32">
    <w:pPr>
      <w:spacing w:line="1" w:lineRule="exact"/>
    </w:pP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DBA0" w14:textId="77777777" w:rsidR="00093A32" w:rsidRDefault="00093A32">
    <w:pPr>
      <w:spacing w:line="1" w:lineRule="exact"/>
    </w:pP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D0A4" w14:textId="77777777" w:rsidR="00093A32" w:rsidRDefault="00093A32">
    <w:pPr>
      <w:spacing w:line="1" w:lineRule="exact"/>
    </w:pP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521D" w14:textId="77777777" w:rsidR="00093A32" w:rsidRDefault="00093A32"/>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9A79" w14:textId="77777777" w:rsidR="00093A32" w:rsidRDefault="00093A32"/>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84EE" w14:textId="77777777" w:rsidR="00093A32" w:rsidRDefault="00093A32">
    <w:pPr>
      <w:spacing w:line="1" w:lineRule="exact"/>
    </w:pP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2B93" w14:textId="77777777" w:rsidR="00093A32" w:rsidRDefault="00093A32">
    <w:pPr>
      <w:spacing w:line="1" w:lineRule="exact"/>
    </w:pP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8699" w14:textId="77777777" w:rsidR="00093A32" w:rsidRDefault="00093A32">
    <w:pPr>
      <w:spacing w:line="1" w:lineRule="exact"/>
    </w:pP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69FD" w14:textId="77777777" w:rsidR="00093A32" w:rsidRDefault="00093A32">
    <w:pPr>
      <w:spacing w:line="1" w:lineRule="exact"/>
    </w:pP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6940" w14:textId="77777777" w:rsidR="00093A32" w:rsidRDefault="00093A32">
    <w:pPr>
      <w:spacing w:line="1" w:lineRule="exact"/>
    </w:pP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3246" w14:textId="77777777" w:rsidR="00093A32" w:rsidRDefault="00093A32">
    <w:pPr>
      <w:spacing w:line="1" w:lineRule="exact"/>
    </w:pP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95D5" w14:textId="77777777" w:rsidR="00093A32" w:rsidRDefault="00093A32">
    <w:pPr>
      <w:spacing w:line="1" w:lineRule="exact"/>
    </w:pP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EA4C" w14:textId="77777777" w:rsidR="00093A32" w:rsidRDefault="00093A32">
    <w:pPr>
      <w:spacing w:line="1" w:lineRule="exact"/>
    </w:pP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DA8A" w14:textId="77777777" w:rsidR="00093A32" w:rsidRDefault="00093A32">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498F8" w14:textId="77777777" w:rsidR="003B3A37" w:rsidRDefault="003B3A37" w:rsidP="00093A32">
      <w:pPr>
        <w:spacing w:after="0" w:line="240" w:lineRule="auto"/>
      </w:pPr>
      <w:r>
        <w:separator/>
      </w:r>
    </w:p>
  </w:footnote>
  <w:footnote w:type="continuationSeparator" w:id="0">
    <w:p w14:paraId="437603FD" w14:textId="77777777" w:rsidR="003B3A37" w:rsidRDefault="003B3A37" w:rsidP="00093A32">
      <w:pPr>
        <w:spacing w:after="0" w:line="240" w:lineRule="auto"/>
      </w:pPr>
      <w:r>
        <w:continuationSeparator/>
      </w:r>
    </w:p>
  </w:footnote>
  <w:footnote w:id="1">
    <w:p w14:paraId="6CC21F17" w14:textId="77777777" w:rsidR="00093A32" w:rsidRDefault="00093A32">
      <w:pPr>
        <w:pStyle w:val="Footnote0"/>
        <w:spacing w:line="266" w:lineRule="auto"/>
      </w:pPr>
      <w:r>
        <w:footnoteRef/>
      </w:r>
      <w:r>
        <w:t xml:space="preserve"> Centers for Disease Control and Prevention. Yellow fever vaccine recommendations of the Advisory Committee on Immunization Practices (ACIP), 2002. </w:t>
      </w:r>
      <w:r>
        <w:rPr>
          <w:i/>
          <w:iCs/>
        </w:rPr>
        <w:t>MMWR Recomm Rep.</w:t>
      </w:r>
      <w:r>
        <w:t xml:space="preserve"> 2002;51(RR-17):1-10.</w:t>
      </w:r>
    </w:p>
  </w:footnote>
  <w:footnote w:id="2">
    <w:p w14:paraId="6E2FAF90" w14:textId="77777777" w:rsidR="00093A32" w:rsidRDefault="00093A32">
      <w:pPr>
        <w:pStyle w:val="Footnote0"/>
        <w:spacing w:line="266" w:lineRule="auto"/>
      </w:pPr>
      <w:r>
        <w:footnoteRef/>
      </w:r>
      <w:r>
        <w:t xml:space="preserve"> Centers for Disease Control and Prevention. Inactivated Japanese encephalitis virus vaccine: recommendations of the Advisory Committee on Immunization Practices (ACIP). </w:t>
      </w:r>
      <w:r>
        <w:rPr>
          <w:i/>
          <w:iCs/>
        </w:rPr>
        <w:t xml:space="preserve">MMWR Recomm Rep. </w:t>
      </w:r>
      <w:r>
        <w:t>1993;42(RR01):1-15</w:t>
      </w:r>
    </w:p>
  </w:footnote>
  <w:footnote w:id="3">
    <w:p w14:paraId="366F0B0B" w14:textId="77777777" w:rsidR="00093A32" w:rsidRDefault="00093A32">
      <w:pPr>
        <w:pStyle w:val="Footnote0"/>
        <w:spacing w:line="266" w:lineRule="auto"/>
      </w:pPr>
      <w:r>
        <w:footnoteRef/>
      </w:r>
      <w:r>
        <w:t xml:space="preserve"> Centers for Disease Control and Prevention. Inactivated Japanese encephalitis virus vaccine: recommendations of the Advisory Committee on Immunization Practices (ACIP). </w:t>
      </w:r>
      <w:r>
        <w:rPr>
          <w:i/>
          <w:iCs/>
        </w:rPr>
        <w:t xml:space="preserve">MMWR Recomm Rep. </w:t>
      </w:r>
      <w:r>
        <w:t>1993;42(RR01):1-15</w:t>
      </w:r>
    </w:p>
  </w:footnote>
  <w:footnote w:id="4">
    <w:p w14:paraId="5D0775D8" w14:textId="77777777" w:rsidR="00093A32" w:rsidRDefault="00093A32">
      <w:pPr>
        <w:pStyle w:val="Footnote0"/>
        <w:spacing w:line="266" w:lineRule="auto"/>
        <w:ind w:left="200" w:hanging="200"/>
      </w:pPr>
      <w:r>
        <w:footnoteRef/>
      </w:r>
      <w:r>
        <w:t xml:space="preserve"> Centers for Disease Control and Prevention. Notice to readers: use of anthrax vaccine in response to terrorism: supplemental recommendations of the Advisory Committee on Immunization Practices. </w:t>
      </w:r>
      <w:r>
        <w:rPr>
          <w:i/>
          <w:iCs/>
        </w:rPr>
        <w:t>MMWR Morb Mortal Wkly Rep.</w:t>
      </w:r>
      <w:r>
        <w:t xml:space="preserve"> 2002;51:1024-1026.</w:t>
      </w:r>
    </w:p>
  </w:footnote>
  <w:footnote w:id="5">
    <w:p w14:paraId="0240B8F0" w14:textId="77777777" w:rsidR="00093A32" w:rsidRDefault="00093A32">
      <w:pPr>
        <w:pStyle w:val="Footnote0"/>
        <w:spacing w:line="266" w:lineRule="auto"/>
      </w:pPr>
      <w:r>
        <w:footnoteRef/>
      </w:r>
      <w:r>
        <w:t xml:space="preserve"> Centers for Disease Control and Prevention, Committee of the National Association of State Public Health Veterinarians. Compendium of measures to control </w:t>
      </w:r>
      <w:r>
        <w:rPr>
          <w:i/>
          <w:iCs/>
        </w:rPr>
        <w:t>Chlamydiapsittaci</w:t>
      </w:r>
      <w:r>
        <w:t xml:space="preserve"> infection among humans (psittacosis) and pet birds (avian chlamydiosis), 2000. </w:t>
      </w:r>
      <w:r>
        <w:rPr>
          <w:i/>
          <w:iCs/>
        </w:rPr>
        <w:t>MMWR Recomm Rep.</w:t>
      </w:r>
      <w:r>
        <w:t xml:space="preserve"> 2000; 49(No. RR-8):1-17.</w:t>
      </w:r>
    </w:p>
  </w:footnote>
  <w:footnote w:id="6">
    <w:p w14:paraId="08037E05" w14:textId="77777777" w:rsidR="00093A32" w:rsidRDefault="00093A32">
      <w:pPr>
        <w:pStyle w:val="Footnote0"/>
        <w:spacing w:line="266" w:lineRule="auto"/>
      </w:pPr>
      <w:r>
        <w:footnoteRef/>
      </w:r>
      <w:r>
        <w:t xml:space="preserve"> Centers for Disease Control and Prevention, Committee of the National Association of State Public Health Veterinarians. Compendium of measures to control </w:t>
      </w:r>
      <w:r>
        <w:rPr>
          <w:i/>
          <w:iCs/>
        </w:rPr>
        <w:t>Chlamydiapsittaci</w:t>
      </w:r>
      <w:r>
        <w:t xml:space="preserve"> infection among humans (psittacosis) and pet birds (avian chlamydiosis), 2000. </w:t>
      </w:r>
      <w:r>
        <w:rPr>
          <w:i/>
          <w:iCs/>
        </w:rPr>
        <w:t>MMWR Recomm Rep.</w:t>
      </w:r>
      <w:r>
        <w:t xml:space="preserve"> 2000; 49(No. RR-8):1-17.</w:t>
      </w:r>
    </w:p>
  </w:footnote>
  <w:footnote w:id="7">
    <w:p w14:paraId="09064D74" w14:textId="77777777" w:rsidR="00093A32" w:rsidRDefault="00093A32">
      <w:pPr>
        <w:pStyle w:val="Footnote0"/>
        <w:spacing w:line="266" w:lineRule="auto"/>
      </w:pPr>
      <w:r>
        <w:footnoteRef/>
      </w:r>
      <w:r>
        <w:t xml:space="preserve"> Centers for Disease Control and Prevention. Screening to detect </w:t>
      </w:r>
      <w:r>
        <w:rPr>
          <w:i/>
          <w:iCs/>
        </w:rPr>
        <w:t>Chlamydia trachomatis</w:t>
      </w:r>
      <w:r>
        <w:t xml:space="preserve"> and </w:t>
      </w:r>
      <w:r>
        <w:rPr>
          <w:i/>
          <w:iCs/>
        </w:rPr>
        <w:t>Neisseria gonorrhoeae</w:t>
      </w:r>
      <w:r>
        <w:t xml:space="preserve"> infections-2002. </w:t>
      </w:r>
      <w:r>
        <w:rPr>
          <w:i/>
          <w:iCs/>
        </w:rPr>
        <w:t>MMWR</w:t>
      </w:r>
      <w:r>
        <w:t xml:space="preserve"> 2002;51(RR-15):1-38.</w:t>
      </w:r>
    </w:p>
  </w:footnote>
  <w:footnote w:id="8">
    <w:p w14:paraId="51D6181F" w14:textId="77777777" w:rsidR="00093A32" w:rsidRDefault="00093A32">
      <w:pPr>
        <w:pStyle w:val="Footnote0"/>
      </w:pPr>
      <w:r>
        <w:footnoteRef/>
      </w:r>
      <w:r>
        <w:t xml:space="preserve"> Si se desean datos al respecto, consultar al departamento sanitario estatal.</w:t>
      </w:r>
    </w:p>
  </w:footnote>
  <w:footnote w:id="9">
    <w:p w14:paraId="1D6848AA" w14:textId="77777777" w:rsidR="00093A32" w:rsidRDefault="00093A32">
      <w:pPr>
        <w:pStyle w:val="Footnote0"/>
        <w:spacing w:line="266" w:lineRule="auto"/>
      </w:pPr>
      <w:r>
        <w:footnoteRef/>
      </w:r>
      <w:r>
        <w:t xml:space="preserve"> Para datos y recomendaciones más detalladas, consultar American Academy of Pediatrics, Provisional Committee on Quality Improvement, Subcommittee on Gastroenteritis. Practice parameter: the management of acute gastroenteritis in young children. </w:t>
      </w:r>
      <w:r>
        <w:rPr>
          <w:i/>
          <w:iCs/>
        </w:rPr>
        <w:t>Pediatrics.</w:t>
      </w:r>
      <w:r>
        <w:t xml:space="preserve"> 1996;97:424-435.</w:t>
      </w:r>
    </w:p>
  </w:footnote>
  <w:footnote w:id="10">
    <w:p w14:paraId="44B867D1" w14:textId="77777777" w:rsidR="00093A32" w:rsidRDefault="00093A32">
      <w:pPr>
        <w:pStyle w:val="Footnote0"/>
        <w:spacing w:line="269" w:lineRule="auto"/>
      </w:pPr>
      <w:r>
        <w:footnoteRef/>
      </w:r>
      <w:r>
        <w:t xml:space="preserve"> Centers for Disease Control and Prevention. Screening to detect </w:t>
      </w:r>
      <w:r>
        <w:rPr>
          <w:i/>
          <w:iCs/>
        </w:rPr>
        <w:t>Chlamydia trachomatis</w:t>
      </w:r>
      <w:r>
        <w:t xml:space="preserve"> y </w:t>
      </w:r>
      <w:r>
        <w:rPr>
          <w:i/>
          <w:iCs/>
        </w:rPr>
        <w:t>Neisseria gonorrhoeae</w:t>
      </w:r>
      <w:r>
        <w:t xml:space="preserve"> infections-2002. </w:t>
      </w:r>
      <w:r>
        <w:rPr>
          <w:i/>
          <w:iCs/>
        </w:rPr>
        <w:t>MMWR Recomm Rep.</w:t>
      </w:r>
      <w:r>
        <w:t xml:space="preserve"> 2002;51(RR-15):1-38.</w:t>
      </w:r>
    </w:p>
    <w:p w14:paraId="71739065" w14:textId="77777777" w:rsidR="00093A32" w:rsidRDefault="00093A32">
      <w:pPr>
        <w:pStyle w:val="Footnote0"/>
        <w:spacing w:line="269" w:lineRule="auto"/>
      </w:pPr>
      <w:r>
        <w:t xml:space="preserve">t American Academy of Pediatrics, Committee on Child Abuse and Neglect. Guidelines for the evaluation of sexual abuse of children: subject review [published correction appears in </w:t>
      </w:r>
      <w:r>
        <w:rPr>
          <w:i/>
          <w:iCs/>
        </w:rPr>
        <w:t>Pediatrics.</w:t>
      </w:r>
      <w:r>
        <w:t xml:space="preserve"> 1999;103:1049]. </w:t>
      </w:r>
      <w:r>
        <w:rPr>
          <w:i/>
          <w:iCs/>
        </w:rPr>
        <w:t>Pediatrics.</w:t>
      </w:r>
      <w:r>
        <w:t xml:space="preserve"> 1999;103:186-191.</w:t>
      </w:r>
    </w:p>
  </w:footnote>
  <w:footnote w:id="11">
    <w:p w14:paraId="797759DD" w14:textId="77777777" w:rsidR="00093A32" w:rsidRDefault="00093A32">
      <w:pPr>
        <w:pStyle w:val="Footnote0"/>
        <w:spacing w:line="252" w:lineRule="auto"/>
        <w:ind w:firstLine="240"/>
      </w:pPr>
      <w:r>
        <w:footnoteRef/>
      </w:r>
      <w:r>
        <w:t xml:space="preserve"> intravenoso; IM, intramuscular.</w:t>
      </w:r>
    </w:p>
    <w:p w14:paraId="72BF7821" w14:textId="77777777" w:rsidR="00093A32" w:rsidRDefault="00093A32">
      <w:pPr>
        <w:pStyle w:val="Footnote0"/>
        <w:numPr>
          <w:ilvl w:val="0"/>
          <w:numId w:val="3"/>
        </w:numPr>
        <w:tabs>
          <w:tab w:val="left" w:pos="154"/>
        </w:tabs>
        <w:spacing w:line="252" w:lineRule="auto"/>
        <w:ind w:left="240" w:hanging="240"/>
      </w:pPr>
      <w:r>
        <w:t xml:space="preserve">Además del tratamiento recomendado contra la infección por gonococos, es recomendable la terapia contra </w:t>
      </w:r>
      <w:r>
        <w:rPr>
          <w:i/>
          <w:iCs/>
        </w:rPr>
        <w:t>Chlamydia trachomatis</w:t>
      </w:r>
      <w:r>
        <w:t xml:space="preserve"> en el supuesto de que también haya otra infección coexistente.</w:t>
      </w:r>
    </w:p>
    <w:p w14:paraId="36708C24" w14:textId="77777777" w:rsidR="00093A32" w:rsidRDefault="00093A32">
      <w:pPr>
        <w:pStyle w:val="Footnote0"/>
        <w:numPr>
          <w:ilvl w:val="0"/>
          <w:numId w:val="3"/>
        </w:numPr>
        <w:tabs>
          <w:tab w:val="left" w:pos="173"/>
        </w:tabs>
        <w:spacing w:line="252" w:lineRule="auto"/>
        <w:ind w:left="240" w:hanging="240"/>
      </w:pPr>
      <w:r>
        <w:t>Debe pensarse en la hospitalización, en especial de personas tratadas en forma ambulatoria cuyo cuadro no ha mejorado y de sujetos que posiblemente no cumplan con los regímenes terapéuticos.</w:t>
      </w:r>
    </w:p>
    <w:p w14:paraId="16BD0830" w14:textId="77777777" w:rsidR="00093A32" w:rsidRDefault="00093A32">
      <w:pPr>
        <w:pStyle w:val="Footnote0"/>
        <w:numPr>
          <w:ilvl w:val="0"/>
          <w:numId w:val="3"/>
        </w:numPr>
        <w:tabs>
          <w:tab w:val="left" w:pos="173"/>
        </w:tabs>
        <w:spacing w:line="252" w:lineRule="auto"/>
        <w:ind w:left="240" w:hanging="240"/>
      </w:pPr>
      <w:r>
        <w:t xml:space="preserve">En el caso de personas alérgicas a lactámicos beta: ciprofloxacina (400 mg, IV cada 12 h) u ofloxacina (400 mg, IV cada 12 h) </w:t>
      </w:r>
      <w:r>
        <w:rPr>
          <w:i/>
          <w:iCs/>
        </w:rPr>
        <w:t>o</w:t>
      </w:r>
      <w:r>
        <w:t xml:space="preserve"> levofloxacina (250 mg, IV al día) </w:t>
      </w:r>
      <w:r>
        <w:rPr>
          <w:i/>
          <w:iCs/>
        </w:rPr>
        <w:t xml:space="preserve">o </w:t>
      </w:r>
      <w:r>
        <w:t>espectinomicina (2 g, IM cada 12 h). La administración de espectinomicina obliga a practicar un cultivo de vigilancia si existe infección faríngea. Se recomienda la hospitalización.</w:t>
      </w:r>
    </w:p>
    <w:p w14:paraId="6CEFDB5F" w14:textId="77777777" w:rsidR="00093A32" w:rsidRDefault="00093A32">
      <w:pPr>
        <w:pStyle w:val="Footnote0"/>
        <w:numPr>
          <w:ilvl w:val="0"/>
          <w:numId w:val="3"/>
        </w:numPr>
        <w:tabs>
          <w:tab w:val="left" w:pos="178"/>
        </w:tabs>
        <w:spacing w:line="252" w:lineRule="auto"/>
        <w:ind w:left="240" w:hanging="240"/>
      </w:pPr>
      <w:r>
        <w:t>Como otra posibilidad se puede interrumpir la terapia parenteral 24 a 48 h después de que surgió la mejoría y se completa el ciclo de siete días con un antimicrobiano ingerible apropiado como ciprofloxacina (500 mg ingeridos, dos veces al día), ofloxacina (400 mg ingeridos dos veces al día) o levofloxacina (500 mg ingeridos una vez al día). Las fluoroquinolonas están contraindicadas en embarazadas, mujeres que amamantan a su hijo y por lo común en individuos menores de 18 años (véase “Antimicrobianos y fármacos similares”, sección 4). Algunos expertos recomiendan que el tratamiento dure más tiempo. No se utilizarán las fluoroquinolonas contra infecciones adquiridas en Asia, islas del Pacífico, incluida Hawaii, o California.</w:t>
      </w:r>
    </w:p>
    <w:p w14:paraId="48BFC5B8" w14:textId="77777777" w:rsidR="00093A32" w:rsidRDefault="00093A32">
      <w:pPr>
        <w:pStyle w:val="Footnote0"/>
        <w:numPr>
          <w:ilvl w:val="0"/>
          <w:numId w:val="3"/>
        </w:numPr>
        <w:tabs>
          <w:tab w:val="left" w:pos="173"/>
        </w:tabs>
        <w:spacing w:line="252" w:lineRule="auto"/>
        <w:jc w:val="both"/>
      </w:pPr>
      <w:r>
        <w:t>Es importante lavar los ojos con solución salina para eliminar las secreciones acumuladas.</w:t>
      </w:r>
    </w:p>
  </w:footnote>
  <w:footnote w:id="12">
    <w:p w14:paraId="00110794" w14:textId="77777777" w:rsidR="00093A32" w:rsidRDefault="00093A32">
      <w:pPr>
        <w:pStyle w:val="Footnote0"/>
        <w:tabs>
          <w:tab w:val="left" w:pos="173"/>
        </w:tabs>
      </w:pPr>
      <w:r>
        <w:rPr>
          <w:sz w:val="8"/>
          <w:szCs w:val="8"/>
          <w:vertAlign w:val="superscript"/>
        </w:rPr>
        <w:footnoteRef/>
      </w:r>
      <w:r>
        <w:rPr>
          <w:sz w:val="8"/>
          <w:szCs w:val="8"/>
        </w:rPr>
        <w:tab/>
      </w:r>
      <w:r>
        <w:t>Se define como las personas que viven con el caso índice, o que no viven con él pero que han dedicado</w:t>
      </w:r>
    </w:p>
    <w:p w14:paraId="285C632D" w14:textId="77777777" w:rsidR="00093A32" w:rsidRDefault="00093A32">
      <w:pPr>
        <w:pStyle w:val="Footnote0"/>
        <w:ind w:left="220"/>
      </w:pPr>
      <w:r>
        <w:t>4 h o más con él durante cinco de los siete días anteriores (como mínimo) al día de la hospitalización del caso índice.</w:t>
      </w:r>
    </w:p>
  </w:footnote>
  <w:footnote w:id="13">
    <w:p w14:paraId="7B5587D8" w14:textId="77777777" w:rsidR="00093A32" w:rsidRDefault="00093A32">
      <w:pPr>
        <w:pStyle w:val="Footnote0"/>
        <w:tabs>
          <w:tab w:val="left" w:pos="173"/>
        </w:tabs>
        <w:spacing w:after="420"/>
        <w:ind w:left="220" w:hanging="220"/>
      </w:pPr>
      <w:r>
        <w:rPr>
          <w:sz w:val="8"/>
          <w:szCs w:val="8"/>
          <w:vertAlign w:val="superscript"/>
        </w:rPr>
        <w:footnoteRef/>
      </w:r>
      <w:r>
        <w:rPr>
          <w:sz w:val="8"/>
          <w:szCs w:val="8"/>
        </w:rPr>
        <w:tab/>
      </w:r>
      <w:r>
        <w:t>La vacunación completa se define como la aplicación de una dosis, como mínimo, de la vacuna de conjugado a los 15 meses o más; dos dosis entre los 12 y 14 meses de vida; o una serie primaria de dos a tres dosis si el niño tiene menos de 12 meses con una dosis de refuerzo a los 12 meses o más.</w:t>
      </w:r>
    </w:p>
    <w:p w14:paraId="1B49506C" w14:textId="77777777" w:rsidR="00093A32" w:rsidRDefault="00093A32">
      <w:pPr>
        <w:pStyle w:val="Footnote0"/>
        <w:numPr>
          <w:ilvl w:val="0"/>
          <w:numId w:val="4"/>
        </w:numPr>
        <w:tabs>
          <w:tab w:val="left" w:pos="307"/>
        </w:tabs>
        <w:spacing w:line="276" w:lineRule="auto"/>
        <w:ind w:left="340" w:hanging="340"/>
        <w:rPr>
          <w:sz w:val="19"/>
          <w:szCs w:val="19"/>
        </w:rPr>
      </w:pPr>
      <w:r>
        <w:rPr>
          <w:b/>
          <w:bCs/>
          <w:i/>
          <w:iCs/>
          <w:sz w:val="16"/>
          <w:szCs w:val="16"/>
        </w:rPr>
        <w:t>Niños en unidades de atención pediátrica y escuela y salas de cuna.</w:t>
      </w:r>
      <w:r>
        <w:rPr>
          <w:rFonts w:ascii="Garamond" w:eastAsia="Garamond" w:hAnsi="Garamond" w:cs="Garamond"/>
          <w:sz w:val="19"/>
          <w:szCs w:val="19"/>
        </w:rPr>
        <w:t xml:space="preserve"> Cuando han surgido dos casos o más de enfermedad invasora en término de 60 días y acuden a la institución de atención pediátrica niños no inmunizados o vacunados de manera incompleta, habrá que pensar en la profilaxia a base de rifampicina para tal grupo de menores y el personal supervisor. Cuando ha habido un solo caso, no hay consenso en cuanto a la conveniencia de profilaxia con dicho antibiótico en grupos de niños expuestos, no vacunados o vacunados de manera incompleta, aunque muchos expertos recomiendan no emprender medidas preventivas.</w:t>
      </w:r>
    </w:p>
    <w:p w14:paraId="669F08E3" w14:textId="77777777" w:rsidR="00093A32" w:rsidRDefault="00093A32">
      <w:pPr>
        <w:pStyle w:val="Footnote0"/>
        <w:spacing w:line="269" w:lineRule="auto"/>
        <w:ind w:left="340"/>
        <w:rPr>
          <w:sz w:val="19"/>
          <w:szCs w:val="19"/>
        </w:rPr>
      </w:pPr>
      <w:r>
        <w:rPr>
          <w:rFonts w:ascii="Garamond" w:eastAsia="Garamond" w:hAnsi="Garamond" w:cs="Garamond"/>
          <w:sz w:val="19"/>
          <w:szCs w:val="19"/>
        </w:rPr>
        <w:t>Además de las recomendaciones anteriores respecto de la quimioprofilaxia, los niños no vacunados o vacunados de manera incompleta deben recibir una dosis de vacuna, y se les programará para que completen el plan de vacunación recomendado, específico para su edad (véase más adelante en este resumen “Vacunaciones”).</w:t>
      </w:r>
    </w:p>
    <w:p w14:paraId="7E24DB81" w14:textId="77777777" w:rsidR="00093A32" w:rsidRDefault="00093A32">
      <w:pPr>
        <w:pStyle w:val="Footnote0"/>
        <w:numPr>
          <w:ilvl w:val="0"/>
          <w:numId w:val="4"/>
        </w:numPr>
        <w:tabs>
          <w:tab w:val="left" w:pos="307"/>
        </w:tabs>
        <w:spacing w:line="269" w:lineRule="auto"/>
        <w:ind w:left="340" w:hanging="340"/>
        <w:rPr>
          <w:sz w:val="19"/>
          <w:szCs w:val="19"/>
        </w:rPr>
      </w:pPr>
      <w:r>
        <w:rPr>
          <w:b/>
          <w:bCs/>
          <w:i/>
          <w:iCs/>
          <w:sz w:val="16"/>
          <w:szCs w:val="16"/>
        </w:rPr>
        <w:t>Paciente índice (primero).</w:t>
      </w:r>
      <w:r>
        <w:rPr>
          <w:rFonts w:ascii="Garamond" w:eastAsia="Garamond" w:hAnsi="Garamond" w:cs="Garamond"/>
          <w:sz w:val="19"/>
          <w:szCs w:val="19"/>
        </w:rPr>
        <w:t xml:space="preserve"> El tratamiento de la enfermedad por Hib con cefotaxima o ceftriaxona sódicas por lo común erradica la colonización por Hib, por lo que ya no es necesaria la profilaxia en el primer paciente (caso índice). Los niños tratados con ampicilina o cloranfenicol y los que tienen menos de dos años</w:t>
      </w:r>
    </w:p>
  </w:footnote>
  <w:footnote w:id="14">
    <w:p w14:paraId="6705EB68" w14:textId="77777777" w:rsidR="00093A32" w:rsidRDefault="00093A32">
      <w:pPr>
        <w:pStyle w:val="Footnote0"/>
        <w:spacing w:line="266" w:lineRule="auto"/>
      </w:pPr>
      <w:r>
        <w:footnoteRef/>
      </w:r>
      <w:r>
        <w:t xml:space="preserve"> Las dosis recomendadas para la profilaxia después de exposición corresponden a la de productos aprobados en Estados Unidos. Puede variar la concentración de anticuerpos contra HB en otros productos, por lo que en otros países a veces se recomiendan dosis diferentes.</w:t>
      </w:r>
    </w:p>
  </w:footnote>
  <w:footnote w:id="15">
    <w:p w14:paraId="6924E53F" w14:textId="77777777" w:rsidR="00093A32" w:rsidRDefault="00093A32">
      <w:pPr>
        <w:pStyle w:val="Footnote0"/>
        <w:pBdr>
          <w:top w:val="single" w:sz="4" w:space="0" w:color="auto"/>
        </w:pBdr>
        <w:ind w:firstLine="240"/>
      </w:pPr>
      <w:r>
        <w:t>HBsAg, antígeno de superficie de hepatitis B; HBIG, concentrado inmunoglobulínico de hepatitis B</w:t>
      </w:r>
    </w:p>
  </w:footnote>
  <w:footnote w:id="16">
    <w:p w14:paraId="477B9461" w14:textId="77777777" w:rsidR="00093A32" w:rsidRDefault="00093A32">
      <w:pPr>
        <w:pStyle w:val="Footnote0"/>
        <w:tabs>
          <w:tab w:val="left" w:pos="168"/>
        </w:tabs>
        <w:ind w:left="240" w:hanging="240"/>
      </w:pPr>
      <w:r>
        <w:rPr>
          <w:sz w:val="8"/>
          <w:szCs w:val="8"/>
          <w:vertAlign w:val="superscript"/>
        </w:rPr>
        <w:footnoteRef/>
      </w:r>
      <w:r>
        <w:rPr>
          <w:sz w:val="8"/>
          <w:szCs w:val="8"/>
        </w:rPr>
        <w:tab/>
      </w:r>
      <w:r>
        <w:t>Las dos vacunas se aplican en un calendario de tres o cuatro dosis; cabe aplicar cuatro dosis si se utiliza una dosis desde el nacimiento y se usa una vacuna mixta para completar la serie. Para la dosis del neonato se utilizará sólo vacuna monoantigénica. Cabe usar para completar la serie vacuna monoantigénica o mixta que contenga vacuna de hepatitis B.</w:t>
      </w:r>
    </w:p>
  </w:footnote>
  <w:footnote w:id="17">
    <w:p w14:paraId="6AF815B1" w14:textId="77777777" w:rsidR="00093A32" w:rsidRDefault="00093A32">
      <w:pPr>
        <w:pStyle w:val="Footnote0"/>
        <w:tabs>
          <w:tab w:val="left" w:pos="173"/>
        </w:tabs>
        <w:ind w:left="240" w:hanging="240"/>
      </w:pPr>
      <w:r>
        <w:rPr>
          <w:sz w:val="8"/>
          <w:szCs w:val="8"/>
          <w:vertAlign w:val="superscript"/>
        </w:rPr>
        <w:footnoteRef/>
      </w:r>
      <w:r>
        <w:rPr>
          <w:sz w:val="8"/>
          <w:szCs w:val="8"/>
        </w:rPr>
        <w:tab/>
      </w:r>
      <w:r>
        <w:t xml:space="preserve">Distribuido por Merck &amp; Co Inc, West Point PA. Para adolescentes de 11 a 15 años de edad se sigue un plan de dosis, en la cual la primera se aplica a los cero meses y después otra cuatro a seis meses después, y en estos casos se usa la dosis de Recombivax HB para adultos (10 pg). Además, en Estados Unidos se ha aprobado para usar a los dos, cuatro, y 12 a 15 meses de edad (Comvax) una combinación de vacuna de hepatitis B (Recombivax, 5 pg) y vacuna contra </w:t>
      </w:r>
      <w:r>
        <w:rPr>
          <w:i/>
          <w:iCs/>
        </w:rPr>
        <w:t>Haemophilus influenzae</w:t>
      </w:r>
      <w:r>
        <w:t xml:space="preserve"> tipo b (PRP-OMP).</w:t>
      </w:r>
    </w:p>
  </w:footnote>
  <w:footnote w:id="18">
    <w:p w14:paraId="4A6519F1" w14:textId="77777777" w:rsidR="00093A32" w:rsidRDefault="00093A32">
      <w:pPr>
        <w:pStyle w:val="Footnote0"/>
        <w:tabs>
          <w:tab w:val="left" w:pos="173"/>
        </w:tabs>
        <w:ind w:left="240" w:hanging="240"/>
      </w:pPr>
      <w:r>
        <w:rPr>
          <w:sz w:val="8"/>
          <w:szCs w:val="8"/>
          <w:vertAlign w:val="superscript"/>
        </w:rPr>
        <w:footnoteRef/>
      </w:r>
      <w:r>
        <w:rPr>
          <w:sz w:val="8"/>
          <w:szCs w:val="8"/>
        </w:rPr>
        <w:tab/>
      </w:r>
      <w:r>
        <w:t xml:space="preserve">Distribuido por GlaxoSmithKline Biologicals, Rixensart, Bélgica. En Estados Unidos </w:t>
      </w:r>
      <w:r>
        <w:rPr>
          <w:i/>
          <w:iCs/>
        </w:rPr>
        <w:t>The US Food and Drug Administration</w:t>
      </w:r>
      <w:r>
        <w:t xml:space="preserve"> ha aprobado la vacuna para utilizar en un plan opcional de cuatro dosis que se aplican a cero, uno, dos y 12 meses de vida.</w:t>
      </w:r>
    </w:p>
    <w:p w14:paraId="23A10918" w14:textId="77777777" w:rsidR="00093A32" w:rsidRDefault="00093A32">
      <w:pPr>
        <w:pStyle w:val="Footnote0"/>
        <w:numPr>
          <w:ilvl w:val="0"/>
          <w:numId w:val="5"/>
        </w:numPr>
        <w:tabs>
          <w:tab w:val="left" w:pos="403"/>
        </w:tabs>
        <w:ind w:left="420" w:hanging="180"/>
      </w:pPr>
      <w:r>
        <w:t>Además, se ha aprobado una combinación de vacunas contra hepatitis B (Engerix-B, 20 pg) y hepatitis A (Havrix, 720 ELU) (Twinrix) para personas de 18 años de vida y mayores en un plan de tres dosis aplicadas a cero, uno y seis meses o más después.</w:t>
      </w:r>
    </w:p>
    <w:p w14:paraId="73E6AFB0" w14:textId="77777777" w:rsidR="00093A32" w:rsidRDefault="00093A32">
      <w:pPr>
        <w:pStyle w:val="Footnote0"/>
        <w:numPr>
          <w:ilvl w:val="0"/>
          <w:numId w:val="5"/>
        </w:numPr>
        <w:tabs>
          <w:tab w:val="left" w:pos="408"/>
        </w:tabs>
        <w:ind w:left="420" w:hanging="180"/>
      </w:pPr>
      <w:r>
        <w:t>También se ha aprobado una combinación de toxoides de difteria y tétanos y tos ferina acelular (DTaP), virus poliomielítico inactivado (IPV) y hepatitis B (Engerix-B, 10 pg) para emplear en personas desde las seis semanas hasta los seis años de edad en un plan de tres dosis aplicadas preferentemente a los dos, cuatro y seis meses de vida (Pediatricx [GlaxoSmithKline Biologicals, Rixensart, Bélgica]). Para mayor información véase “Tos ferina” en esta sección.</w:t>
      </w:r>
    </w:p>
  </w:footnote>
  <w:footnote w:id="19">
    <w:p w14:paraId="73EEE833" w14:textId="77777777" w:rsidR="00093A32" w:rsidRDefault="00093A32">
      <w:pPr>
        <w:pStyle w:val="Footnote0"/>
        <w:tabs>
          <w:tab w:val="left" w:pos="178"/>
        </w:tabs>
        <w:spacing w:line="470" w:lineRule="auto"/>
        <w:jc w:val="both"/>
      </w:pPr>
      <w:r>
        <w:rPr>
          <w:sz w:val="8"/>
          <w:szCs w:val="8"/>
          <w:vertAlign w:val="superscript"/>
        </w:rPr>
        <w:footnoteRef/>
      </w:r>
      <w:r>
        <w:rPr>
          <w:sz w:val="8"/>
          <w:szCs w:val="8"/>
        </w:rPr>
        <w:tab/>
      </w:r>
      <w:r>
        <w:t>Presentación especial para pacientes dializados.</w:t>
      </w:r>
    </w:p>
  </w:footnote>
  <w:footnote w:id="20">
    <w:p w14:paraId="2F4ED0B5" w14:textId="77777777" w:rsidR="00093A32" w:rsidRDefault="00093A32">
      <w:pPr>
        <w:pStyle w:val="Footnote0"/>
        <w:tabs>
          <w:tab w:val="left" w:pos="173"/>
        </w:tabs>
        <w:spacing w:after="420"/>
      </w:pPr>
      <w:r>
        <w:rPr>
          <w:sz w:val="8"/>
          <w:szCs w:val="8"/>
          <w:vertAlign w:val="superscript"/>
        </w:rPr>
        <w:footnoteRef/>
      </w:r>
      <w:r>
        <w:rPr>
          <w:sz w:val="8"/>
          <w:szCs w:val="8"/>
        </w:rPr>
        <w:tab/>
      </w:r>
      <w:r>
        <w:t>Dos dosis de 1.0 ml en un solo sitio en un plan de cuatro dosis, a cero, uno, dos y seis a 12 meses.</w:t>
      </w:r>
    </w:p>
    <w:p w14:paraId="7DA9840B" w14:textId="77777777" w:rsidR="00093A32" w:rsidRDefault="00093A32">
      <w:pPr>
        <w:pStyle w:val="Footnote0"/>
        <w:spacing w:line="269" w:lineRule="auto"/>
        <w:rPr>
          <w:sz w:val="19"/>
          <w:szCs w:val="19"/>
        </w:rPr>
      </w:pPr>
      <w:r>
        <w:rPr>
          <w:rFonts w:ascii="Garamond" w:eastAsia="Garamond" w:hAnsi="Garamond" w:cs="Garamond"/>
          <w:sz w:val="19"/>
          <w:szCs w:val="19"/>
        </w:rPr>
        <w:t>embarazo no constituye contraindicación para la aplicación de la vacuna. Tampoco constituye contraindicación la lactancia.</w:t>
      </w:r>
    </w:p>
    <w:p w14:paraId="6B3BA775" w14:textId="77777777" w:rsidR="00093A32" w:rsidRDefault="00093A32">
      <w:pPr>
        <w:pStyle w:val="Footnote0"/>
        <w:spacing w:line="276" w:lineRule="auto"/>
        <w:ind w:firstLine="360"/>
        <w:rPr>
          <w:sz w:val="19"/>
          <w:szCs w:val="19"/>
        </w:rPr>
      </w:pPr>
      <w:r>
        <w:rPr>
          <w:b/>
          <w:bCs/>
          <w:i/>
          <w:iCs/>
          <w:sz w:val="16"/>
          <w:szCs w:val="16"/>
        </w:rPr>
        <w:t>Pruebas serológicas.</w:t>
      </w:r>
      <w:r>
        <w:rPr>
          <w:rFonts w:ascii="Garamond" w:eastAsia="Garamond" w:hAnsi="Garamond" w:cs="Garamond"/>
          <w:sz w:val="19"/>
          <w:szCs w:val="19"/>
        </w:rPr>
        <w:t xml:space="preserve"> Las pruebas para valorar susceptibilidad antes de vacunar no están indicadas sistemáticamente en niños o adolescentes. Cabe pensar en la práctica de pruebas en busca de infección previa en personas dentro de grupos de riesgo con altas cifras de infección por HBV, como los usuarios de drogas inyectables, varones homosexuales o bisexuales activos y contactos del núcleo familiar de personas que tienen el antígeno de superficie de hepatitis B (HB), siempre y cuando la práctica de las pruebas no retarde ni obstaculice los intentos de vacunación.</w:t>
      </w:r>
    </w:p>
    <w:p w14:paraId="6A94314E" w14:textId="77777777" w:rsidR="00093A32" w:rsidRDefault="00093A32">
      <w:pPr>
        <w:pStyle w:val="Footnote0"/>
        <w:spacing w:line="269" w:lineRule="auto"/>
        <w:ind w:firstLine="360"/>
        <w:rPr>
          <w:sz w:val="19"/>
          <w:szCs w:val="19"/>
        </w:rPr>
      </w:pPr>
      <w:r>
        <w:rPr>
          <w:rFonts w:ascii="Garamond" w:eastAsia="Garamond" w:hAnsi="Garamond" w:cs="Garamond"/>
          <w:sz w:val="19"/>
          <w:szCs w:val="19"/>
        </w:rPr>
        <w:t>No se necesitan las pruebas sistemáticas en busca de anticuerpo contra HB</w:t>
      </w:r>
    </w:p>
    <w:p w14:paraId="52347CA3" w14:textId="77777777" w:rsidR="00093A32" w:rsidRDefault="00093A32">
      <w:pPr>
        <w:pStyle w:val="Footnote0"/>
        <w:spacing w:line="269" w:lineRule="auto"/>
        <w:ind w:firstLine="360"/>
        <w:rPr>
          <w:sz w:val="19"/>
          <w:szCs w:val="19"/>
        </w:rPr>
      </w:pPr>
      <w:r>
        <w:rPr>
          <w:rFonts w:ascii="Garamond" w:eastAsia="Garamond" w:hAnsi="Garamond" w:cs="Garamond"/>
          <w:sz w:val="19"/>
          <w:szCs w:val="19"/>
        </w:rPr>
        <w:t>después de la vacunación, pero se recomienda su práctica uno a dos meses después de aplicar la tercera dosis de la vacuna en los grupos específicos siguientes: 1) pacientes sometidos a hemodiálisis; 2) personas con infección por VIH; 3) individuos con riesgo ocupacional de exposición a lesiones punzocortantes; 4) enfermos inmunodeficientes en peligro de exposición a HBV; y 5) contactos sexuales regulares de individuos con el</w:t>
      </w:r>
    </w:p>
  </w:footnote>
  <w:footnote w:id="21">
    <w:p w14:paraId="429E6A5B" w14:textId="77777777" w:rsidR="00093A32" w:rsidRDefault="00093A32">
      <w:pPr>
        <w:pStyle w:val="Footnote0"/>
        <w:spacing w:line="269" w:lineRule="auto"/>
      </w:pPr>
      <w:r>
        <w:footnoteRef/>
      </w:r>
      <w:r>
        <w:t xml:space="preserve"> Centers for Disease Control and Prevention. Combination vaccines for childhood immunization. recommendations of the Advisory Comittee on Immunization Practices (ACIP), the American Academy of Pediatrics (AAP), and the American Academy of family Physicians (AAFP). </w:t>
      </w:r>
      <w:r>
        <w:rPr>
          <w:i/>
          <w:iCs/>
        </w:rPr>
        <w:t>MMWR Recomm Rep.</w:t>
      </w:r>
      <w:r>
        <w:t xml:space="preserve"> 1999;48 (RR-05):1-15</w:t>
      </w:r>
    </w:p>
  </w:footnote>
  <w:footnote w:id="22">
    <w:p w14:paraId="52630989" w14:textId="77777777" w:rsidR="00093A32" w:rsidRDefault="00093A32">
      <w:pPr>
        <w:pStyle w:val="Footnote0"/>
        <w:spacing w:line="254" w:lineRule="auto"/>
        <w:ind w:firstLine="240"/>
      </w:pPr>
      <w:r>
        <w:t>HBV, virus de hepatitis B</w:t>
      </w:r>
    </w:p>
  </w:footnote>
  <w:footnote w:id="23">
    <w:p w14:paraId="3C71BCDD" w14:textId="77777777" w:rsidR="00093A32" w:rsidRDefault="00093A32">
      <w:pPr>
        <w:pStyle w:val="Footnote0"/>
        <w:spacing w:after="540" w:line="331" w:lineRule="auto"/>
        <w:ind w:left="240" w:hanging="240"/>
      </w:pPr>
      <w:r>
        <w:rPr>
          <w:sz w:val="8"/>
          <w:szCs w:val="8"/>
          <w:vertAlign w:val="superscript"/>
        </w:rPr>
        <w:footnoteRef/>
      </w:r>
      <w:r>
        <w:rPr>
          <w:sz w:val="8"/>
          <w:szCs w:val="8"/>
        </w:rPr>
        <w:t xml:space="preserve"> </w:t>
      </w:r>
      <w:r>
        <w:t>Se harán intentos especiales para vacunar a niños nativos de Alaska y de islas de Asia-Pacífico, así como a hijos de la primera generación de migrantes que provienen de áreas en que HBV es endémica.</w:t>
      </w:r>
    </w:p>
    <w:p w14:paraId="726739EE" w14:textId="77777777" w:rsidR="00093A32" w:rsidRDefault="00093A32">
      <w:pPr>
        <w:pStyle w:val="Footnote0"/>
        <w:spacing w:line="269" w:lineRule="auto"/>
        <w:rPr>
          <w:sz w:val="19"/>
          <w:szCs w:val="19"/>
        </w:rPr>
      </w:pPr>
      <w:r>
        <w:rPr>
          <w:rFonts w:ascii="Garamond" w:eastAsia="Garamond" w:hAnsi="Garamond" w:cs="Garamond"/>
          <w:sz w:val="19"/>
          <w:szCs w:val="19"/>
        </w:rPr>
        <w:t>tiempo (no residenciales) atendidas por personal con antígeno de superficie de HB; se recomienda enfáticamente su práctica si un interno con antígeno de superficie se comporta en forma agresiva o tiene problemas médicos especiales (como una dermatitis exudativa o lesiones cutáneas abiertas) que incrementen el peligro de exposición a la sangre o a las secreciones de dichos usuarios.</w:t>
      </w:r>
    </w:p>
    <w:p w14:paraId="7D2662E2" w14:textId="77777777" w:rsidR="00093A32" w:rsidRDefault="00093A32">
      <w:pPr>
        <w:pStyle w:val="Footnote0"/>
        <w:spacing w:line="276" w:lineRule="auto"/>
        <w:ind w:firstLine="360"/>
        <w:rPr>
          <w:sz w:val="19"/>
          <w:szCs w:val="19"/>
        </w:rPr>
      </w:pPr>
      <w:r>
        <w:rPr>
          <w:b/>
          <w:bCs/>
          <w:i/>
          <w:iCs/>
          <w:sz w:val="16"/>
          <w:szCs w:val="16"/>
        </w:rPr>
        <w:t>Pacientes sometidos a hemodiálisis.</w:t>
      </w:r>
      <w:r>
        <w:rPr>
          <w:rFonts w:ascii="Garamond" w:eastAsia="Garamond" w:hAnsi="Garamond" w:cs="Garamond"/>
          <w:sz w:val="19"/>
          <w:szCs w:val="19"/>
        </w:rPr>
        <w:t xml:space="preserve"> Es recomendable que los pacientes susceptibles que reciben hemodiálisis sean vacunados. Conviene la vacunación en el comienzo de la evolución de la nefropatía porque la reacción inmunitaria es mejor que cuando está en etapa avanzada.</w:t>
      </w:r>
    </w:p>
    <w:p w14:paraId="44AC6905" w14:textId="77777777" w:rsidR="00093A32" w:rsidRDefault="00093A32">
      <w:pPr>
        <w:pStyle w:val="Footnote0"/>
        <w:spacing w:line="276" w:lineRule="auto"/>
        <w:ind w:firstLine="360"/>
        <w:rPr>
          <w:sz w:val="19"/>
          <w:szCs w:val="19"/>
        </w:rPr>
      </w:pPr>
      <w:r>
        <w:rPr>
          <w:b/>
          <w:bCs/>
          <w:i/>
          <w:iCs/>
          <w:sz w:val="16"/>
          <w:szCs w:val="16"/>
        </w:rPr>
        <w:t>Niños adoptados y sus contactos familiares, provenientes de países en que es endémica la infección por HBV.</w:t>
      </w:r>
      <w:r>
        <w:rPr>
          <w:rFonts w:ascii="Garamond" w:eastAsia="Garamond" w:hAnsi="Garamond" w:cs="Garamond"/>
          <w:sz w:val="19"/>
          <w:szCs w:val="19"/>
        </w:rPr>
        <w:t xml:space="preserve"> Es importante practicar métodos de detección de antígeno de superficie de HBV en todo niño adoptado de países en que la infección por tal virus es endémica, para la fecha de la adopción o antes de que ocurra. También se vacunarán a todos los miembros no vacunados de la familia y otros contactos del núcleo familiar si se advierte que el niño adoptado tiene el antígeno de superficie en cuestión, medida que se emprenderá preferentemente antes de la adopción. También se vacunará a los niños adoptados que no tienen el antígeno de superficie de hepatitis B.</w:t>
      </w:r>
    </w:p>
  </w:footnote>
  <w:footnote w:id="24">
    <w:p w14:paraId="2545B478" w14:textId="77777777" w:rsidR="00093A32" w:rsidRDefault="00093A32">
      <w:pPr>
        <w:pStyle w:val="Footnote0"/>
        <w:spacing w:line="266" w:lineRule="auto"/>
      </w:pPr>
      <w:r>
        <w:footnoteRef/>
      </w:r>
      <w:r>
        <w:t xml:space="preserve"> Centers for Disease Control and Prevention. Hepatitis B virus infection: a comprehensive immunization strategy to eliminate transmission in the United States-2003 update: recommendations of the Advisory Committee on Immunization Practices (ACIP). </w:t>
      </w:r>
      <w:r>
        <w:rPr>
          <w:i/>
          <w:iCs/>
        </w:rPr>
        <w:t>MMWR Morb Mortal Wkly Rep.</w:t>
      </w:r>
      <w:r>
        <w:t xml:space="preserve"> En prensa.</w:t>
      </w:r>
    </w:p>
  </w:footnote>
  <w:footnote w:id="25">
    <w:p w14:paraId="7E29164A" w14:textId="77777777" w:rsidR="00093A32" w:rsidRDefault="00093A32">
      <w:pPr>
        <w:pStyle w:val="Footnote0"/>
        <w:spacing w:line="266" w:lineRule="auto"/>
      </w:pPr>
      <w:r>
        <w:footnoteRef/>
      </w:r>
      <w:r>
        <w:t xml:space="preserve"> Centers for Disease Control and Prevention, Guidelines for laboratory testing and result reporting of antibody to hepatitis C. </w:t>
      </w:r>
      <w:r>
        <w:rPr>
          <w:i/>
          <w:iCs/>
        </w:rPr>
        <w:t>MMWR Recomm Rep.</w:t>
      </w:r>
      <w:r>
        <w:t xml:space="preserve"> 2003;52(RR-3):1-16.</w:t>
      </w:r>
    </w:p>
  </w:footnote>
  <w:footnote w:id="26">
    <w:p w14:paraId="094905A7" w14:textId="77777777" w:rsidR="00093A32" w:rsidRDefault="00093A32">
      <w:pPr>
        <w:pStyle w:val="Footnote0"/>
        <w:numPr>
          <w:ilvl w:val="0"/>
          <w:numId w:val="6"/>
        </w:numPr>
        <w:tabs>
          <w:tab w:val="left" w:pos="288"/>
        </w:tabs>
        <w:spacing w:line="269" w:lineRule="auto"/>
        <w:ind w:left="300" w:hanging="300"/>
      </w:pPr>
      <w:r>
        <w:t xml:space="preserve">Si se desea una lista completa de las normas actuales emitidas por la </w:t>
      </w:r>
      <w:r>
        <w:rPr>
          <w:i/>
          <w:iCs/>
        </w:rPr>
        <w:t>American Academy of Pediatrics</w:t>
      </w:r>
      <w:r>
        <w:t xml:space="preserve"> en cuanto al virus de inmunodeficiencia humana y el síndrome de inmunodeficiencia adquirida, consultar la página </w:t>
      </w:r>
      <w:hyperlink r:id="rId1" w:history="1">
        <w:r>
          <w:t>http://aappolicy.aapjournals.org/</w:t>
        </w:r>
      </w:hyperlink>
      <w:r>
        <w:t>.</w:t>
      </w:r>
    </w:p>
    <w:p w14:paraId="516A9961" w14:textId="77777777" w:rsidR="00093A32" w:rsidRDefault="00093A32">
      <w:pPr>
        <w:pStyle w:val="Footnote0"/>
        <w:spacing w:line="269" w:lineRule="auto"/>
        <w:ind w:left="300" w:hanging="300"/>
      </w:pPr>
      <w:r>
        <w:t xml:space="preserve">t Centers for Disease Control and Prevention. 1993 revised classification system for HIV infection and expanded surveillance case definition for AIDS among adolescents and adults. </w:t>
      </w:r>
      <w:r>
        <w:rPr>
          <w:i/>
          <w:iCs/>
        </w:rPr>
        <w:t xml:space="preserve">MMWR Recomm Rep. </w:t>
      </w:r>
      <w:r>
        <w:t>1992;41(RR-17):1-19.</w:t>
      </w:r>
    </w:p>
  </w:footnote>
  <w:footnote w:id="27">
    <w:p w14:paraId="018B038C" w14:textId="77777777" w:rsidR="00093A32" w:rsidRDefault="00093A32">
      <w:pPr>
        <w:pStyle w:val="Footnote0"/>
        <w:tabs>
          <w:tab w:val="left" w:pos="283"/>
        </w:tabs>
        <w:spacing w:line="269" w:lineRule="auto"/>
        <w:ind w:left="300" w:hanging="300"/>
      </w:pPr>
      <w:r>
        <w:footnoteRef/>
      </w:r>
      <w:r>
        <w:tab/>
        <w:t xml:space="preserve">Centers for Disease Control and Prevention. 1994 revised classification system for human immunodeficiency virus infection in children less than 13 years of age. Official authorized addenda: human immunodeficiency virus infection codes and official guidelines for coding and reporting ICD-9- CM. </w:t>
      </w:r>
      <w:r>
        <w:rPr>
          <w:i/>
          <w:iCs/>
        </w:rPr>
        <w:t>MMWR Recomm Rep.</w:t>
      </w:r>
      <w:r>
        <w:t xml:space="preserve"> 1994;43(RR-12):1-19.</w:t>
      </w:r>
    </w:p>
    <w:p w14:paraId="4D13B526" w14:textId="77777777" w:rsidR="00093A32" w:rsidRDefault="00093A32">
      <w:pPr>
        <w:pStyle w:val="Footnote0"/>
        <w:spacing w:line="269" w:lineRule="auto"/>
        <w:ind w:left="300" w:hanging="300"/>
      </w:pPr>
      <w:r>
        <w:t xml:space="preserve">§ Centers for Disease Control and Prevention. Guidelines for preventing opportunistic infections among HIV-infected persons—2002. Recommendations of the US Public Health Service and the Infectious Diseases Society of America. </w:t>
      </w:r>
      <w:r>
        <w:rPr>
          <w:i/>
          <w:iCs/>
        </w:rPr>
        <w:t>MMWR Recomm Rep.</w:t>
      </w:r>
      <w:r>
        <w:t xml:space="preserve"> 2002;51(RR-8):1-46.</w:t>
      </w:r>
    </w:p>
  </w:footnote>
  <w:footnote w:id="28">
    <w:p w14:paraId="081961DA" w14:textId="77777777" w:rsidR="00093A32" w:rsidRDefault="00093A32">
      <w:pPr>
        <w:pStyle w:val="Footnote0"/>
        <w:spacing w:line="266" w:lineRule="auto"/>
      </w:pPr>
      <w:r>
        <w:footnoteRef/>
      </w:r>
      <w:r>
        <w:t xml:space="preserve"> Centers for Disease Control and Prevention. Updated U.S. Public Health Service guidelines for the management of occupational exposures to HBV, HCV, y HIV and recommendations for postexposure prophylaxis. </w:t>
      </w:r>
      <w:r>
        <w:rPr>
          <w:i/>
          <w:iCs/>
        </w:rPr>
        <w:t>MMWR Recomm Rep.</w:t>
      </w:r>
      <w:r>
        <w:t xml:space="preserve"> 2001;50(RR-11):1-42.</w:t>
      </w:r>
    </w:p>
  </w:footnote>
  <w:footnote w:id="29">
    <w:p w14:paraId="50CBAE7A" w14:textId="77777777" w:rsidR="00093A32" w:rsidRDefault="00093A32">
      <w:pPr>
        <w:pStyle w:val="Footnote0"/>
        <w:numPr>
          <w:ilvl w:val="0"/>
          <w:numId w:val="7"/>
        </w:numPr>
        <w:tabs>
          <w:tab w:val="left" w:pos="288"/>
        </w:tabs>
        <w:spacing w:line="269" w:lineRule="auto"/>
        <w:ind w:left="300" w:hanging="300"/>
      </w:pPr>
      <w:r>
        <w:t xml:space="preserve">Si se desea una lista completa de las normas actuales emitidas por la </w:t>
      </w:r>
      <w:r>
        <w:rPr>
          <w:i/>
          <w:iCs/>
        </w:rPr>
        <w:t>American Academy of Pediatrics</w:t>
      </w:r>
      <w:r>
        <w:t xml:space="preserve"> en cuanto al virus de inmunodeficiencia humana y el síndrome de inmunodeficiencia adquirida, consultar la página </w:t>
      </w:r>
      <w:hyperlink r:id="rId2" w:history="1">
        <w:r>
          <w:t>http://aappolicy.aapjournals.org/</w:t>
        </w:r>
      </w:hyperlink>
      <w:r>
        <w:t>.</w:t>
      </w:r>
    </w:p>
    <w:p w14:paraId="30F166B2" w14:textId="77777777" w:rsidR="00093A32" w:rsidRDefault="00093A32">
      <w:pPr>
        <w:pStyle w:val="Footnote0"/>
        <w:spacing w:line="269" w:lineRule="auto"/>
        <w:ind w:left="300" w:hanging="300"/>
      </w:pPr>
      <w:r>
        <w:t xml:space="preserve">t Centers for Disease Control and Prevention. 1993 revised classification system for HIV infection and expanded surveillance case definition for AIDS among adolescents and adults. </w:t>
      </w:r>
      <w:r>
        <w:rPr>
          <w:i/>
          <w:iCs/>
        </w:rPr>
        <w:t xml:space="preserve">MMWR Recomm Rep. </w:t>
      </w:r>
      <w:r>
        <w:t>1992;41(RR-17):1-19.</w:t>
      </w:r>
    </w:p>
  </w:footnote>
  <w:footnote w:id="30">
    <w:p w14:paraId="37FD957A" w14:textId="77777777" w:rsidR="00093A32" w:rsidRDefault="00093A32">
      <w:pPr>
        <w:pStyle w:val="Footnote0"/>
        <w:tabs>
          <w:tab w:val="left" w:pos="283"/>
        </w:tabs>
        <w:spacing w:line="269" w:lineRule="auto"/>
        <w:ind w:left="300" w:hanging="300"/>
      </w:pPr>
      <w:r>
        <w:footnoteRef/>
      </w:r>
      <w:r>
        <w:tab/>
        <w:t xml:space="preserve">Centers for Disease Control and Prevention. 1994 revised classification system for human immunodeficiency virus infection in children less than 13 years of age. Official authorized addenda: human immunodeficiency virus infection codes and official guidelines for coding and reporting ICD-9- CM. </w:t>
      </w:r>
      <w:r>
        <w:rPr>
          <w:i/>
          <w:iCs/>
        </w:rPr>
        <w:t>MMWR Recomm Rep.</w:t>
      </w:r>
      <w:r>
        <w:t xml:space="preserve"> 1994;43(RR-12):1-19.</w:t>
      </w:r>
    </w:p>
    <w:p w14:paraId="165C48DB" w14:textId="77777777" w:rsidR="00093A32" w:rsidRDefault="00093A32">
      <w:pPr>
        <w:pStyle w:val="Footnote0"/>
        <w:spacing w:line="269" w:lineRule="auto"/>
        <w:ind w:left="300" w:hanging="300"/>
      </w:pPr>
      <w:r>
        <w:t xml:space="preserve">§ Centers for Disease Control and Prevention. Guidelines for preventing opportunistic infections among HIV-infected persons—2002. Recommendations of the US Public Health Service and the Infectious Diseases Society of America. </w:t>
      </w:r>
      <w:r>
        <w:rPr>
          <w:i/>
          <w:iCs/>
        </w:rPr>
        <w:t>MMWR Recomm Rep.</w:t>
      </w:r>
      <w:r>
        <w:t xml:space="preserve"> 2002;51(RR-8):1-46.</w:t>
      </w:r>
    </w:p>
  </w:footnote>
  <w:footnote w:id="31">
    <w:p w14:paraId="6D63C3BC" w14:textId="77777777" w:rsidR="00093A32" w:rsidRDefault="00093A32">
      <w:pPr>
        <w:pStyle w:val="Footnote0"/>
        <w:spacing w:line="257" w:lineRule="auto"/>
        <w:ind w:firstLine="240"/>
      </w:pPr>
      <w:r>
        <w:t>SIDA, síndrome de inmunodeficiencia adquirida; VIH, virus de inmunodeficiencia humana.</w:t>
      </w:r>
    </w:p>
  </w:footnote>
  <w:footnote w:id="32">
    <w:p w14:paraId="2758FCC2" w14:textId="77777777" w:rsidR="00093A32" w:rsidRDefault="00093A32">
      <w:pPr>
        <w:pStyle w:val="Footnote0"/>
        <w:tabs>
          <w:tab w:val="left" w:pos="168"/>
        </w:tabs>
        <w:spacing w:after="520" w:line="305" w:lineRule="auto"/>
        <w:ind w:left="240" w:hanging="240"/>
      </w:pPr>
      <w:r>
        <w:rPr>
          <w:sz w:val="8"/>
          <w:szCs w:val="8"/>
          <w:shd w:val="clear" w:color="auto" w:fill="FFFFFF"/>
          <w:vertAlign w:val="superscript"/>
        </w:rPr>
        <w:footnoteRef/>
      </w:r>
      <w:r>
        <w:rPr>
          <w:color w:val="000000"/>
          <w:sz w:val="8"/>
          <w:szCs w:val="8"/>
        </w:rPr>
        <w:tab/>
      </w:r>
      <w:r>
        <w:t xml:space="preserve">Modificado de Centers for Disease Control and Prevention. 1993 revised classification system for HIV infection and expanded surveillance case definition for AIDS among adolescents and adults. </w:t>
      </w:r>
      <w:r>
        <w:rPr>
          <w:i/>
          <w:iCs/>
        </w:rPr>
        <w:t>MMWR Recomm Rep.</w:t>
      </w:r>
      <w:r>
        <w:t xml:space="preserve"> 1992;4:(RR-17):1-19.</w:t>
      </w:r>
    </w:p>
    <w:p w14:paraId="1BE562E3" w14:textId="77777777" w:rsidR="00093A32" w:rsidRDefault="00093A32">
      <w:pPr>
        <w:pStyle w:val="Footnote0"/>
        <w:spacing w:line="271" w:lineRule="auto"/>
        <w:ind w:firstLine="360"/>
        <w:rPr>
          <w:sz w:val="16"/>
          <w:szCs w:val="16"/>
        </w:rPr>
      </w:pPr>
      <w:r>
        <w:rPr>
          <w:rFonts w:ascii="Garamond" w:eastAsia="Garamond" w:hAnsi="Garamond" w:cs="Garamond"/>
          <w:sz w:val="19"/>
          <w:szCs w:val="19"/>
        </w:rPr>
        <w:t xml:space="preserve">La neumonía por </w:t>
      </w:r>
      <w:r>
        <w:rPr>
          <w:i/>
          <w:iCs/>
          <w:sz w:val="16"/>
          <w:szCs w:val="16"/>
        </w:rPr>
        <w:t>Pneumocystis (Pneumocystispneumonia,</w:t>
      </w:r>
      <w:r>
        <w:rPr>
          <w:rFonts w:ascii="Garamond" w:eastAsia="Garamond" w:hAnsi="Garamond" w:cs="Garamond"/>
          <w:sz w:val="19"/>
          <w:szCs w:val="19"/>
        </w:rPr>
        <w:t xml:space="preserve"> PCP) es una de las infecciones por oportunistas señaladas con mayor frecuencia en niños con SIDA, y conlleva una cifra alta de mortalidad (véase </w:t>
      </w:r>
      <w:r>
        <w:rPr>
          <w:i/>
          <w:iCs/>
          <w:sz w:val="16"/>
          <w:szCs w:val="16"/>
        </w:rPr>
        <w:t>“Pneumocystis jiroveci,</w:t>
      </w:r>
      <w:r>
        <w:rPr>
          <w:rFonts w:ascii="Garamond" w:eastAsia="Garamond" w:hAnsi="Garamond" w:cs="Garamond"/>
          <w:sz w:val="19"/>
          <w:szCs w:val="19"/>
        </w:rPr>
        <w:t xml:space="preserve"> infecciones por” en esta sección). A pesar de que dicha neumonía ataca más a menudo a pequeños de tres a seis meses de vida que se contagiaron de la infección por VIH antes de nacer o durante el parto, PCP también ataca a lactantes de menor edad y comienza incluso desde las cuatro a seis semanas de edad o en niños de mayor edad con deterioro de su estado inmunológico. Otras infecciones frecuentes por oportunistas en niños son las producidas por especies de </w:t>
      </w:r>
      <w:r>
        <w:rPr>
          <w:i/>
          <w:iCs/>
          <w:sz w:val="16"/>
          <w:szCs w:val="16"/>
        </w:rPr>
        <w:t>Candida</w:t>
      </w:r>
      <w:r>
        <w:rPr>
          <w:rFonts w:ascii="Garamond" w:eastAsia="Garamond" w:hAnsi="Garamond" w:cs="Garamond"/>
          <w:sz w:val="19"/>
          <w:szCs w:val="19"/>
        </w:rPr>
        <w:t xml:space="preserve"> (esofagitis), infección diseminada por virus citomegálico (</w:t>
      </w:r>
      <w:r>
        <w:rPr>
          <w:i/>
          <w:iCs/>
          <w:sz w:val="16"/>
          <w:szCs w:val="16"/>
        </w:rPr>
        <w:t>cytomegalovirus</w:t>
      </w:r>
      <w:r>
        <w:rPr>
          <w:rFonts w:ascii="Garamond" w:eastAsia="Garamond" w:hAnsi="Garamond" w:cs="Garamond"/>
          <w:sz w:val="19"/>
          <w:szCs w:val="19"/>
        </w:rPr>
        <w:t xml:space="preserve">, CMV), infecciones crónicas o diseminadas por virus de herpes simple y varicela-zoster y con menor frecuencia </w:t>
      </w:r>
      <w:r>
        <w:rPr>
          <w:i/>
          <w:iCs/>
          <w:sz w:val="16"/>
          <w:szCs w:val="16"/>
        </w:rPr>
        <w:t>Mycobacterium tuberculosis,</w:t>
      </w:r>
    </w:p>
  </w:footnote>
  <w:footnote w:id="33">
    <w:p w14:paraId="4A0F7216" w14:textId="77777777" w:rsidR="00093A32" w:rsidRDefault="00093A32">
      <w:pPr>
        <w:pStyle w:val="Footnote0"/>
        <w:tabs>
          <w:tab w:val="left" w:pos="173"/>
        </w:tabs>
        <w:spacing w:line="254" w:lineRule="auto"/>
        <w:jc w:val="both"/>
      </w:pPr>
      <w:r>
        <w:rPr>
          <w:sz w:val="8"/>
          <w:szCs w:val="8"/>
          <w:vertAlign w:val="superscript"/>
        </w:rPr>
        <w:footnoteRef/>
      </w:r>
      <w:r>
        <w:rPr>
          <w:sz w:val="8"/>
          <w:szCs w:val="8"/>
        </w:rPr>
        <w:tab/>
      </w:r>
      <w:r>
        <w:t>Para convertir valores en pl en unidades del sistema internacional (</w:t>
      </w:r>
      <w:r>
        <w:rPr>
          <w:rFonts w:ascii="Garamond" w:eastAsia="Garamond" w:hAnsi="Garamond" w:cs="Garamond"/>
          <w:sz w:val="19"/>
          <w:szCs w:val="19"/>
        </w:rPr>
        <w:t xml:space="preserve">x </w:t>
      </w:r>
      <w:r>
        <w:t>10</w:t>
      </w:r>
      <w:r>
        <w:rPr>
          <w:sz w:val="8"/>
          <w:szCs w:val="8"/>
          <w:vertAlign w:val="superscript"/>
        </w:rPr>
        <w:t>9</w:t>
      </w:r>
      <w:r>
        <w:t>/L), multiplicar por 0.001.</w:t>
      </w:r>
    </w:p>
  </w:footnote>
  <w:footnote w:id="34">
    <w:p w14:paraId="4D9884BE" w14:textId="77777777" w:rsidR="00093A32" w:rsidRDefault="00093A32">
      <w:pPr>
        <w:pStyle w:val="Footnote0"/>
        <w:spacing w:line="266" w:lineRule="auto"/>
      </w:pPr>
      <w:r>
        <w:footnoteRef/>
      </w:r>
      <w:r>
        <w:t xml:space="preserve"> Centers for Disease Control and Prevention. Guidelines for national human immunodeficiency virus case surveillance, including monitoring for human immunodeficiency virus infection and acquired immunodeficiency syndrome. </w:t>
      </w:r>
      <w:r>
        <w:rPr>
          <w:i/>
          <w:iCs/>
        </w:rPr>
        <w:t>MMWR Recomm Rep.</w:t>
      </w:r>
      <w:r>
        <w:t xml:space="preserve"> 1999;48(RR-13):1-28.</w:t>
      </w:r>
    </w:p>
  </w:footnote>
  <w:footnote w:id="35">
    <w:p w14:paraId="6F294330" w14:textId="77777777" w:rsidR="00093A32" w:rsidRDefault="00093A32">
      <w:pPr>
        <w:pStyle w:val="Footnote0"/>
        <w:spacing w:line="266" w:lineRule="auto"/>
      </w:pPr>
      <w:r>
        <w:footnoteRef/>
      </w:r>
      <w:r>
        <w:t xml:space="preserve"> Centers for Disease Control and Prevention. Guidelines for national human immunodeficiency virus case surveillance, including monitoring for human immunodeficiency virus infection and acquired immunodeficiency syndrome. </w:t>
      </w:r>
      <w:r>
        <w:rPr>
          <w:i/>
          <w:iCs/>
        </w:rPr>
        <w:t>MMWR Recomm Rep.</w:t>
      </w:r>
      <w:r>
        <w:t xml:space="preserve"> 1999;48(RR-13):1-28</w:t>
      </w:r>
    </w:p>
    <w:p w14:paraId="1D03844C" w14:textId="77777777" w:rsidR="00093A32" w:rsidRDefault="00093A32">
      <w:pPr>
        <w:pStyle w:val="Footnote0"/>
        <w:spacing w:line="266" w:lineRule="auto"/>
      </w:pPr>
      <w:r>
        <w:t xml:space="preserve">' American Academy of Pediatrics, American College of Obstetricians and Gynecologist. Human Immunodeficiency virus screening. Joint statement of the Academy of Pediatrics and the American College of Obstetricians and Gynecologists. </w:t>
      </w:r>
      <w:r>
        <w:rPr>
          <w:i/>
          <w:iCs/>
        </w:rPr>
        <w:t>Pediatrics.</w:t>
      </w:r>
      <w:r>
        <w:t xml:space="preserve"> 1999;104:128.</w:t>
      </w:r>
    </w:p>
  </w:footnote>
  <w:footnote w:id="36">
    <w:p w14:paraId="2AF714D4" w14:textId="77777777" w:rsidR="00093A32" w:rsidRDefault="00093A32">
      <w:pPr>
        <w:pStyle w:val="Footnote0"/>
      </w:pPr>
      <w:r>
        <w:rPr>
          <w:rFonts w:ascii="Garamond" w:eastAsia="Garamond" w:hAnsi="Garamond" w:cs="Garamond"/>
          <w:sz w:val="19"/>
          <w:szCs w:val="19"/>
        </w:rPr>
        <w:footnoteRef/>
      </w:r>
      <w:r>
        <w:rPr>
          <w:rFonts w:ascii="Garamond" w:eastAsia="Garamond" w:hAnsi="Garamond" w:cs="Garamond"/>
          <w:sz w:val="19"/>
          <w:szCs w:val="19"/>
        </w:rPr>
        <w:t xml:space="preserve"> </w:t>
      </w:r>
      <w:r>
        <w:t xml:space="preserve">Consultar apéndice I, “Directorio de recursos”: AIDS Clinical Trials Information Service (información disponible en la página </w:t>
      </w:r>
      <w:hyperlink r:id="rId3" w:history="1">
        <w:r>
          <w:t>www.aidsinfo.nih.gov</w:t>
        </w:r>
      </w:hyperlink>
      <w:r>
        <w:t>).</w:t>
      </w:r>
    </w:p>
    <w:p w14:paraId="63E6CBDA" w14:textId="77777777" w:rsidR="00093A32" w:rsidRDefault="00093A32">
      <w:pPr>
        <w:pStyle w:val="Footnote0"/>
      </w:pPr>
      <w:r>
        <w:rPr>
          <w:rFonts w:ascii="Garamond" w:eastAsia="Garamond" w:hAnsi="Garamond" w:cs="Garamond"/>
          <w:sz w:val="19"/>
          <w:szCs w:val="19"/>
        </w:rPr>
        <w:t>^</w:t>
      </w:r>
      <w:r>
        <w:t xml:space="preserve">Centers for Disease Control and Prevention. Guidelines for the use of antiretroviral agents in pediatric HIV infection. </w:t>
      </w:r>
      <w:r>
        <w:rPr>
          <w:i/>
          <w:iCs/>
        </w:rPr>
        <w:t>MMWR Recomm Rep.</w:t>
      </w:r>
      <w:r>
        <w:t xml:space="preserve"> 1998;47(RR-4):1-31</w:t>
      </w:r>
    </w:p>
  </w:footnote>
  <w:footnote w:id="37">
    <w:p w14:paraId="282744EF" w14:textId="77777777" w:rsidR="00093A32" w:rsidRDefault="00093A32">
      <w:pPr>
        <w:pStyle w:val="Footnote0"/>
        <w:spacing w:line="266" w:lineRule="auto"/>
      </w:pPr>
      <w:r>
        <w:footnoteRef/>
      </w:r>
      <w:r>
        <w:t xml:space="preserve">Centers for Disease Control and Prevention. Guidelines for using antiretroviral agents among HIV-infected adult and adolescents. Recommendations of the Panel on Clinical Practice for Treatment of HIV. MMWR Recomm Rep. 2002;51(RR-7):1-56. Consultar la página </w:t>
      </w:r>
      <w:hyperlink r:id="rId4" w:history="1">
        <w:r>
          <w:t>www.aidsinfo.nih.gov</w:t>
        </w:r>
      </w:hyperlink>
      <w:r>
        <w:t xml:space="preserve"> respecto a actualizaciones periódicas que incluyen fármacos y nuevas recomendaciones terapéuticas.</w:t>
      </w:r>
    </w:p>
    <w:p w14:paraId="058C5D65" w14:textId="77777777" w:rsidR="00093A32" w:rsidRDefault="00093A32">
      <w:pPr>
        <w:pStyle w:val="Footnote0"/>
        <w:spacing w:line="266" w:lineRule="auto"/>
      </w:pPr>
      <w:r>
        <w:t>^Centers for Disease Control and Prevention. Guidelines for using antiretroviral agents among HIV-infected persons-2002. Recommendations of the US Public Health Service and the Infectious Diseases Society of America. MMWR Recomm Rep. 2002;51(RR-8):1-46.</w:t>
      </w:r>
    </w:p>
  </w:footnote>
  <w:footnote w:id="38">
    <w:p w14:paraId="74E793A0" w14:textId="77777777" w:rsidR="00093A32" w:rsidRDefault="00093A32">
      <w:pPr>
        <w:pStyle w:val="Footnote0"/>
        <w:spacing w:line="266" w:lineRule="auto"/>
      </w:pPr>
      <w:r>
        <w:footnoteRef/>
      </w:r>
      <w:r>
        <w:t xml:space="preserve"> American Academy of Pediatrics. Committee on Infectious Diseases and Committee on Pediatric AIDS. Measles immunization in HIV-infected children. </w:t>
      </w:r>
      <w:r>
        <w:rPr>
          <w:i/>
          <w:iCs/>
        </w:rPr>
        <w:t>Pediatrics.</w:t>
      </w:r>
      <w:r>
        <w:t xml:space="preserve"> 1999;103:1057-1060.</w:t>
      </w:r>
    </w:p>
  </w:footnote>
  <w:footnote w:id="39">
    <w:p w14:paraId="73175A35" w14:textId="77777777" w:rsidR="00093A32" w:rsidRDefault="00093A32">
      <w:pPr>
        <w:pStyle w:val="Footnote0"/>
        <w:spacing w:line="266" w:lineRule="auto"/>
      </w:pPr>
      <w:r>
        <w:footnoteRef/>
      </w:r>
      <w:r>
        <w:t xml:space="preserve"> Centers for Disease Control and Prevention. US Public Health Service Task Force recommendations for use of antiretroviral drugs in pregnant HIV-1 infected women for maternal health and for interventions to reduce perinatal HIV-1 transmission in the United States. </w:t>
      </w:r>
      <w:r>
        <w:rPr>
          <w:i/>
          <w:iCs/>
        </w:rPr>
        <w:t>MMWR Morb Mortal Wkly Rep.</w:t>
      </w:r>
      <w:r>
        <w:t xml:space="preserve"> 2002;51(RR-18):1-38. Consultar </w:t>
      </w:r>
      <w:hyperlink r:id="rId5" w:history="1">
        <w:r>
          <w:t>www.aidsinfo.nih.gov</w:t>
        </w:r>
      </w:hyperlink>
      <w:r>
        <w:t xml:space="preserve"> respecto a actualizaciones periódicas.</w:t>
      </w:r>
    </w:p>
    <w:p w14:paraId="61EC9179" w14:textId="77777777" w:rsidR="00093A32" w:rsidRDefault="00093A32">
      <w:pPr>
        <w:pStyle w:val="Footnote0"/>
        <w:spacing w:line="266" w:lineRule="auto"/>
      </w:pPr>
      <w:r>
        <w:t xml:space="preserve">^Centers for Disease Control and Prevention. Guidelines for using antiretroviral agents among HIV-infected adults and adolescents. Recommendations of the Panel on Clinical Practice for Treatment of HIV </w:t>
      </w:r>
      <w:r>
        <w:rPr>
          <w:i/>
          <w:iCs/>
        </w:rPr>
        <w:t>MMWR Recomm Rep.</w:t>
      </w:r>
      <w:r>
        <w:t xml:space="preserve"> 2002;51(RR-7):1-56. Consultar </w:t>
      </w:r>
      <w:hyperlink r:id="rId6" w:history="1">
        <w:r>
          <w:t>www.aidsinfo.nih.gov</w:t>
        </w:r>
      </w:hyperlink>
      <w:r>
        <w:t xml:space="preserve"> respecto a actualizaciones periódicas de fármacos y recomendaciones terapéuticas nuevas.</w:t>
      </w:r>
    </w:p>
  </w:footnote>
  <w:footnote w:id="40">
    <w:p w14:paraId="4B95B04A" w14:textId="77777777" w:rsidR="00093A32" w:rsidRDefault="00093A32">
      <w:pPr>
        <w:pStyle w:val="Footnote0"/>
        <w:numPr>
          <w:ilvl w:val="0"/>
          <w:numId w:val="8"/>
        </w:numPr>
        <w:tabs>
          <w:tab w:val="left" w:pos="115"/>
        </w:tabs>
        <w:spacing w:line="269" w:lineRule="auto"/>
      </w:pPr>
      <w:r>
        <w:t xml:space="preserve">Centers for Disease Control and Prevention. US Public Health Service Task Force recommendations for use of antiretroviral drugs in pregnant HIV-1 infected women for maternal health and for interventions to reduce perinatal HIV-1 transmission in the United States. </w:t>
      </w:r>
      <w:r>
        <w:rPr>
          <w:i/>
          <w:iCs/>
        </w:rPr>
        <w:t>MMWR Morb Mortal Wkly Rep.</w:t>
      </w:r>
      <w:r>
        <w:t xml:space="preserve"> 2002;51(RR-18):1-38. Consultar </w:t>
      </w:r>
      <w:hyperlink r:id="rId7" w:history="1">
        <w:r>
          <w:t>www.aidsinfo.nih.gov</w:t>
        </w:r>
      </w:hyperlink>
      <w:r>
        <w:t xml:space="preserve"> respecto a actualizaciones periódicas.</w:t>
      </w:r>
    </w:p>
  </w:footnote>
  <w:footnote w:id="41">
    <w:p w14:paraId="4898DED9" w14:textId="77777777" w:rsidR="00093A32" w:rsidRDefault="00093A32">
      <w:pPr>
        <w:pStyle w:val="Footnote0"/>
        <w:tabs>
          <w:tab w:val="left" w:pos="82"/>
        </w:tabs>
      </w:pPr>
      <w:r>
        <w:rPr>
          <w:rFonts w:ascii="Garamond" w:eastAsia="Garamond" w:hAnsi="Garamond" w:cs="Garamond"/>
          <w:sz w:val="19"/>
          <w:szCs w:val="19"/>
        </w:rPr>
        <w:footnoteRef/>
      </w:r>
      <w:r>
        <w:rPr>
          <w:rFonts w:ascii="Garamond" w:eastAsia="Garamond" w:hAnsi="Garamond" w:cs="Garamond"/>
          <w:sz w:val="19"/>
          <w:szCs w:val="19"/>
        </w:rPr>
        <w:tab/>
      </w:r>
      <w:r>
        <w:t xml:space="preserve">American College of Obstetricians and Gynecologists. Scheduled cesarean delivery and the prevention of vertical transmission of HIV infection. </w:t>
      </w:r>
      <w:r>
        <w:rPr>
          <w:i/>
          <w:iCs/>
        </w:rPr>
        <w:t>ACOG Comm Opin.</w:t>
      </w:r>
      <w:r>
        <w:t xml:space="preserve"> 2000;234:1-3.</w:t>
      </w:r>
    </w:p>
    <w:p w14:paraId="2BAA0E1D" w14:textId="77777777" w:rsidR="00093A32" w:rsidRDefault="00093A32">
      <w:pPr>
        <w:pStyle w:val="Footnote0"/>
        <w:spacing w:line="350" w:lineRule="auto"/>
      </w:pPr>
      <w:r>
        <w:rPr>
          <w:sz w:val="8"/>
          <w:szCs w:val="8"/>
          <w:vertAlign w:val="superscript"/>
        </w:rPr>
        <w:t>f</w:t>
      </w:r>
      <w:r>
        <w:rPr>
          <w:sz w:val="8"/>
          <w:szCs w:val="8"/>
        </w:rPr>
        <w:t xml:space="preserve"> </w:t>
      </w:r>
      <w:r>
        <w:t xml:space="preserve">American Academy of Pediatrics, Committee on Pediatric AIDS. Human milk, breastfeeding, and transmission of HIV-1 infection in the United States. </w:t>
      </w:r>
      <w:r>
        <w:rPr>
          <w:i/>
          <w:iCs/>
        </w:rPr>
        <w:t>Pediatrics.</w:t>
      </w:r>
      <w:r>
        <w:t xml:space="preserve"> En prensa.</w:t>
      </w:r>
    </w:p>
  </w:footnote>
  <w:footnote w:id="42">
    <w:p w14:paraId="35EC3BDD" w14:textId="77777777" w:rsidR="00093A32" w:rsidRDefault="00093A32">
      <w:pPr>
        <w:pStyle w:val="Footnote0"/>
        <w:spacing w:line="266" w:lineRule="auto"/>
      </w:pPr>
      <w:r>
        <w:footnoteRef/>
      </w:r>
      <w:r>
        <w:t xml:space="preserve"> Para mayores datos, consultar American Academy of Pediactrics, Committee on Pediatric AIDS and Committee on Adolescence. Adolescents and human immunodeficiency virus infection: the role of the pediatrician in prevention and intervention. </w:t>
      </w:r>
      <w:r>
        <w:rPr>
          <w:i/>
          <w:iCs/>
        </w:rPr>
        <w:t>Pediatrics.</w:t>
      </w:r>
      <w:r>
        <w:t xml:space="preserve"> 2001;107:188-190.</w:t>
      </w:r>
    </w:p>
  </w:footnote>
  <w:footnote w:id="43">
    <w:p w14:paraId="42C15225" w14:textId="77777777" w:rsidR="00093A32" w:rsidRDefault="00093A32">
      <w:pPr>
        <w:pStyle w:val="Footnote0"/>
        <w:spacing w:line="266" w:lineRule="auto"/>
      </w:pPr>
      <w:r>
        <w:footnoteRef/>
      </w:r>
      <w:r>
        <w:t xml:space="preserve"> American Academy of Pediatrics, Committee on Pediatric AIDS and Committee on Infectious Diseases. Issues related to human immunodeficiency virus transmission in schools, child care, medical settings, the home, and community. </w:t>
      </w:r>
      <w:r>
        <w:rPr>
          <w:i/>
          <w:iCs/>
        </w:rPr>
        <w:t>Pediatrics.</w:t>
      </w:r>
      <w:r>
        <w:t xml:space="preserve"> 1999;104:318-324.</w:t>
      </w:r>
    </w:p>
  </w:footnote>
  <w:footnote w:id="44">
    <w:p w14:paraId="0D792C83" w14:textId="77777777" w:rsidR="00093A32" w:rsidRDefault="00093A32">
      <w:pPr>
        <w:pStyle w:val="Footnote0"/>
        <w:spacing w:line="266" w:lineRule="auto"/>
      </w:pPr>
      <w:r>
        <w:footnoteRef/>
      </w:r>
      <w:r>
        <w:t xml:space="preserve"> American Academy of Pediatrics, Committee on Pediatric AIDS. Education of children with human immunodeficiency virus infection. </w:t>
      </w:r>
      <w:r>
        <w:rPr>
          <w:i/>
          <w:iCs/>
        </w:rPr>
        <w:t>Pediatrics.</w:t>
      </w:r>
      <w:r>
        <w:t xml:space="preserve"> 2000;105:1358-1360.</w:t>
      </w:r>
    </w:p>
  </w:footnote>
  <w:footnote w:id="45">
    <w:p w14:paraId="7CAD539C" w14:textId="77777777" w:rsidR="00093A32" w:rsidRDefault="00093A32">
      <w:pPr>
        <w:pStyle w:val="Footnote0"/>
        <w:spacing w:line="266" w:lineRule="auto"/>
      </w:pPr>
      <w:r>
        <w:t>t En lo que toca a comentarios adicionales sobre recomendaciones de cuidados de niños, véase “Niños en el sistema asistencial extrahogareño”, sección 2.</w:t>
      </w:r>
    </w:p>
  </w:footnote>
  <w:footnote w:id="46">
    <w:p w14:paraId="206D8674" w14:textId="77777777" w:rsidR="00093A32" w:rsidRDefault="00093A32">
      <w:pPr>
        <w:pStyle w:val="Footnote0"/>
        <w:spacing w:line="266" w:lineRule="auto"/>
      </w:pPr>
      <w:r>
        <w:rPr>
          <w:rFonts w:ascii="Arial" w:eastAsia="Arial" w:hAnsi="Arial" w:cs="Arial"/>
        </w:rPr>
        <w:t xml:space="preserve">0 </w:t>
      </w:r>
      <w:r>
        <w:t xml:space="preserve">American Academy of Pediatrics, Committee on Pediatric AIDS and Committee on Infectious Diseases. Issues related to human immunodeficiency virus transmission in schools, child care, medical settings, the home, and community. </w:t>
      </w:r>
      <w:r>
        <w:rPr>
          <w:i/>
          <w:iCs/>
        </w:rPr>
        <w:t>Pediatrics.</w:t>
      </w:r>
      <w:r>
        <w:t xml:space="preserve"> 1999;104:318-324.</w:t>
      </w:r>
    </w:p>
  </w:footnote>
  <w:footnote w:id="47">
    <w:p w14:paraId="24CBD082" w14:textId="77777777" w:rsidR="00093A32" w:rsidRDefault="00093A32">
      <w:pPr>
        <w:pStyle w:val="Footnote0"/>
        <w:spacing w:line="266" w:lineRule="auto"/>
      </w:pPr>
      <w:r>
        <w:footnoteRef/>
      </w:r>
      <w:r>
        <w:t xml:space="preserve"> Adaptado de American Academy of Pediatrics, Committee on Pediatric AIDS. Identification and care of HIV-exposed and HIV-infected infants, children, and adolescents in foster care. </w:t>
      </w:r>
      <w:r>
        <w:rPr>
          <w:i/>
          <w:iCs/>
        </w:rPr>
        <w:t>Pediatrics</w:t>
      </w:r>
      <w:r>
        <w:t>. 2000;106:149-153.</w:t>
      </w:r>
    </w:p>
  </w:footnote>
  <w:footnote w:id="48">
    <w:p w14:paraId="3A0ABFD4" w14:textId="77777777" w:rsidR="00093A32" w:rsidRDefault="00093A32">
      <w:pPr>
        <w:pStyle w:val="Footnote0"/>
        <w:spacing w:line="266" w:lineRule="auto"/>
      </w:pPr>
      <w:r>
        <w:footnoteRef/>
      </w:r>
      <w:r>
        <w:t xml:space="preserve"> Centers for Disease Control and Prevention. HIV </w:t>
      </w:r>
      <w:r>
        <w:rPr>
          <w:i/>
          <w:iCs/>
        </w:rPr>
        <w:t xml:space="preserve">Counseling, Testing, and Referral Standards and Guidelines. </w:t>
      </w:r>
      <w:r>
        <w:t xml:space="preserve">Atlanta, GA: US Dept of Health and Human Services; 1994. Disponible en: </w:t>
      </w:r>
      <w:hyperlink r:id="rId8" w:history="1">
        <w:r>
          <w:t>www.cdc.gov/publications.htm</w:t>
        </w:r>
      </w:hyperlink>
      <w:r>
        <w:t>.</w:t>
      </w:r>
    </w:p>
  </w:footnote>
  <w:footnote w:id="49">
    <w:p w14:paraId="496DEF1F" w14:textId="77777777" w:rsidR="00093A32" w:rsidRDefault="00093A32">
      <w:pPr>
        <w:pStyle w:val="Footnote0"/>
        <w:spacing w:line="266" w:lineRule="auto"/>
      </w:pPr>
      <w:r>
        <w:footnoteRef/>
      </w:r>
      <w:r>
        <w:t xml:space="preserve"> American Academy of Pediatrics, Committee on Pediatric AIDS. Postexposure prophylaxis in children and adolescents for nonoccupational exposure to human immunodeficiency virus. </w:t>
      </w:r>
      <w:r>
        <w:rPr>
          <w:i/>
          <w:iCs/>
        </w:rPr>
        <w:t>Pediatrics.</w:t>
      </w:r>
      <w:r>
        <w:t xml:space="preserve"> En prensa.</w:t>
      </w:r>
    </w:p>
  </w:footnote>
  <w:footnote w:id="50">
    <w:p w14:paraId="197B6091" w14:textId="77777777" w:rsidR="00093A32" w:rsidRDefault="00093A32">
      <w:pPr>
        <w:pStyle w:val="Footnote0"/>
        <w:spacing w:line="266" w:lineRule="auto"/>
      </w:pPr>
      <w:r>
        <w:footnoteRef/>
      </w:r>
      <w:r>
        <w:t xml:space="preserve"> Centers for Disease Control and Prevention. Updated U.S. Public Health Service guidelines for the management of occupational exposures to HBV, HCV, y HIV and recommendations for postexposure prophylaxis. </w:t>
      </w:r>
      <w:r>
        <w:rPr>
          <w:i/>
          <w:iCs/>
        </w:rPr>
        <w:t>MMWR Recomm Rep.</w:t>
      </w:r>
      <w:r>
        <w:t xml:space="preserve"> 2001;50(RR-11):1-42.</w:t>
      </w:r>
    </w:p>
  </w:footnote>
  <w:footnote w:id="51">
    <w:p w14:paraId="2D344829" w14:textId="77777777" w:rsidR="00093A32" w:rsidRDefault="00093A32">
      <w:pPr>
        <w:pStyle w:val="Footnote0"/>
        <w:spacing w:line="266" w:lineRule="auto"/>
      </w:pPr>
      <w:r>
        <w:footnoteRef/>
      </w:r>
      <w:r>
        <w:t xml:space="preserve"> American Academy of Pediatrics, Committee on Infectious Diseases. Policy statement: reduction of the influenza burden in children. </w:t>
      </w:r>
      <w:r>
        <w:rPr>
          <w:i/>
          <w:iCs/>
        </w:rPr>
        <w:t>Pediatrics.</w:t>
      </w:r>
      <w:r>
        <w:t xml:space="preserve"> 2002;110:1246-1252; and American Academy of Pediatrics, Committee on Infectious Disease. Technical report: reduction of the influenza burden in children. </w:t>
      </w:r>
      <w:r>
        <w:rPr>
          <w:i/>
          <w:iCs/>
        </w:rPr>
        <w:t xml:space="preserve">Pediatrics. </w:t>
      </w:r>
      <w:r>
        <w:t xml:space="preserve">2002;110(6). Disponible en: </w:t>
      </w:r>
      <w:hyperlink r:id="rId9" w:history="1">
        <w:r>
          <w:t>www.pediatrics.org/cgi/content/full/110/e80</w:t>
        </w:r>
      </w:hyperlink>
    </w:p>
  </w:footnote>
  <w:footnote w:id="52">
    <w:p w14:paraId="49C10A30" w14:textId="77777777" w:rsidR="00093A32" w:rsidRDefault="00093A32">
      <w:pPr>
        <w:pStyle w:val="Footnote0"/>
        <w:spacing w:line="266" w:lineRule="auto"/>
      </w:pPr>
      <w:r>
        <w:footnoteRef/>
      </w:r>
      <w:r>
        <w:t xml:space="preserve"> American Academy of Pediatrics, Committee on Infectious Diseases. Policy statement: reduction of the influenza burden in children. </w:t>
      </w:r>
      <w:r>
        <w:rPr>
          <w:i/>
          <w:iCs/>
        </w:rPr>
        <w:t>Pediatrics.</w:t>
      </w:r>
      <w:r>
        <w:t xml:space="preserve"> 2002:110:1246-1252; and American Academy of Pediatrics, Committee on Infectious Diseases. Technical report: reduction of the influenza burden in children. </w:t>
      </w:r>
      <w:r>
        <w:rPr>
          <w:i/>
          <w:iCs/>
        </w:rPr>
        <w:t>Pediatrics.</w:t>
      </w:r>
      <w:r>
        <w:t xml:space="preserve"> 2002;110(6). Disponible en: </w:t>
      </w:r>
      <w:hyperlink r:id="rId10" w:history="1">
        <w:r>
          <w:t>www.pediatrics.org/cig/content/full/110/e80</w:t>
        </w:r>
      </w:hyperlink>
      <w:r>
        <w:t>.</w:t>
      </w:r>
    </w:p>
  </w:footnote>
  <w:footnote w:id="53">
    <w:p w14:paraId="0DB09D3F" w14:textId="77777777" w:rsidR="00093A32" w:rsidRDefault="00093A32">
      <w:pPr>
        <w:pStyle w:val="Footnote0"/>
        <w:spacing w:line="266" w:lineRule="auto"/>
        <w:jc w:val="both"/>
      </w:pPr>
      <w:r>
        <w:footnoteRef/>
      </w:r>
      <w:r>
        <w:t xml:space="preserve"> Si se desean más datos para el diagnóstico de la enfermedad, consúltese las recomendaciones de la American </w:t>
      </w:r>
      <w:r>
        <w:rPr>
          <w:i/>
          <w:iCs/>
        </w:rPr>
        <w:t>Heart Association,</w:t>
      </w:r>
      <w:r>
        <w:t xml:space="preserve"> en Dajani AS, Taubert KA, Gerber MA, et al. Diagnosis and therapy of Kawasaki disease in children. </w:t>
      </w:r>
      <w:r>
        <w:rPr>
          <w:i/>
          <w:iCs/>
        </w:rPr>
        <w:t>Circulation.</w:t>
      </w:r>
      <w:r>
        <w:t xml:space="preserve"> 1993;87:1776-1780.</w:t>
      </w:r>
    </w:p>
  </w:footnote>
  <w:footnote w:id="54">
    <w:p w14:paraId="4B8D2A24" w14:textId="77777777" w:rsidR="00093A32" w:rsidRDefault="00093A32">
      <w:pPr>
        <w:pStyle w:val="Footnote0"/>
        <w:spacing w:line="266" w:lineRule="auto"/>
      </w:pPr>
      <w:r>
        <w:footnoteRef/>
      </w:r>
      <w:r>
        <w:t xml:space="preserve"> En lo que se refiere a las recomendaciones específicas de la </w:t>
      </w:r>
      <w:r>
        <w:rPr>
          <w:i/>
          <w:iCs/>
        </w:rPr>
        <w:t>American Heart Association,</w:t>
      </w:r>
      <w:r>
        <w:t xml:space="preserve"> consultar Dajani AS, Taubert KA, Takahashi M, et al. Guidelines for long-term management of patients with Kawasaki disease: Report from the Committee on Rheumatic Fever, Endocarditis, and Kawasaki Disease, Council on Cardiovascular Disease in the Young, American Heart Association. </w:t>
      </w:r>
      <w:r>
        <w:rPr>
          <w:i/>
          <w:iCs/>
        </w:rPr>
        <w:t>Circulation.</w:t>
      </w:r>
      <w:r>
        <w:t xml:space="preserve"> 1994;89:916-922.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9BAB" w14:textId="77777777" w:rsidR="00093A32" w:rsidRDefault="00093A32">
    <w:pPr>
      <w:spacing w:line="1" w:lineRule="exact"/>
    </w:pPr>
    <w:r>
      <w:rPr>
        <w:noProof/>
      </w:rPr>
      <mc:AlternateContent>
        <mc:Choice Requires="wps">
          <w:drawing>
            <wp:anchor distT="0" distB="0" distL="0" distR="0" simplePos="0" relativeHeight="251895808" behindDoc="1" locked="0" layoutInCell="1" allowOverlap="1" wp14:anchorId="757C331F" wp14:editId="38C22280">
              <wp:simplePos x="0" y="0"/>
              <wp:positionH relativeFrom="page">
                <wp:posOffset>529590</wp:posOffset>
              </wp:positionH>
              <wp:positionV relativeFrom="page">
                <wp:posOffset>306705</wp:posOffset>
              </wp:positionV>
              <wp:extent cx="2746375" cy="79375"/>
              <wp:effectExtent l="0" t="0" r="0" b="0"/>
              <wp:wrapNone/>
              <wp:docPr id="490" name="Shape 490"/>
              <wp:cNvGraphicFramePr/>
              <a:graphic xmlns:a="http://schemas.openxmlformats.org/drawingml/2006/main">
                <a:graphicData uri="http://schemas.microsoft.com/office/word/2010/wordprocessingShape">
                  <wps:wsp>
                    <wps:cNvSpPr txBox="1"/>
                    <wps:spPr>
                      <a:xfrm>
                        <a:off x="0" y="0"/>
                        <a:ext cx="2746375" cy="79375"/>
                      </a:xfrm>
                      <a:prstGeom prst="rect">
                        <a:avLst/>
                      </a:prstGeom>
                      <a:noFill/>
                    </wps:spPr>
                    <wps:txbx>
                      <w:txbxContent>
                        <w:p w14:paraId="01968006" w14:textId="77777777" w:rsidR="00093A32" w:rsidRDefault="00093A32">
                          <w:pPr>
                            <w:pStyle w:val="Headerorfooter0"/>
                            <w:tabs>
                              <w:tab w:val="right" w:pos="4325"/>
                            </w:tabs>
                          </w:pPr>
                          <w:r>
                            <w:rPr>
                              <w:sz w:val="16"/>
                              <w:szCs w:val="16"/>
                            </w:rPr>
                            <w:t>214</w:t>
                          </w:r>
                          <w:r>
                            <w:rPr>
                              <w:sz w:val="16"/>
                              <w:szCs w:val="16"/>
                            </w:rPr>
                            <w:tab/>
                          </w:r>
                          <w:r>
                            <w:t>ARBOVIRUS, INFECCIONES</w:t>
                          </w:r>
                        </w:p>
                      </w:txbxContent>
                    </wps:txbx>
                    <wps:bodyPr lIns="0" tIns="0" rIns="0" bIns="0">
                      <a:spAutoFit/>
                    </wps:bodyPr>
                  </wps:wsp>
                </a:graphicData>
              </a:graphic>
            </wp:anchor>
          </w:drawing>
        </mc:Choice>
        <mc:Fallback>
          <w:pict>
            <v:shapetype w14:anchorId="757C331F" id="_x0000_t202" coordsize="21600,21600" o:spt="202" path="m,l,21600r21600,l21600,xe">
              <v:stroke joinstyle="miter"/>
              <v:path gradientshapeok="t" o:connecttype="rect"/>
            </v:shapetype>
            <v:shape id="Shape 490" o:spid="_x0000_s1042" type="#_x0000_t202" style="position:absolute;margin-left:41.7pt;margin-top:24.15pt;width:216.25pt;height:6.25pt;z-index:-2514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" filled="f" stroked="f">
              <v:textbox style="mso-fit-shape-to-text:t" inset="0,0,0,0">
                <w:txbxContent>
                  <w:p w14:paraId="01968006" w14:textId="77777777" w:rsidR="00093A32" w:rsidRDefault="00093A32">
                    <w:pPr>
                      <w:pStyle w:val="Headerorfooter0"/>
                      <w:tabs>
                        <w:tab w:val="right" w:pos="4325"/>
                      </w:tabs>
                    </w:pPr>
                    <w:r>
                      <w:rPr>
                        <w:sz w:val="16"/>
                        <w:szCs w:val="16"/>
                      </w:rPr>
                      <w:t>214</w:t>
                    </w:r>
                    <w:r>
                      <w:rPr>
                        <w:sz w:val="16"/>
                        <w:szCs w:val="16"/>
                      </w:rPr>
                      <w:tab/>
                    </w:r>
                    <w:r>
                      <w:t>ARBOVIRUS, INFECCIONES</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0AB25442" wp14:editId="76570D96">
              <wp:simplePos x="0" y="0"/>
              <wp:positionH relativeFrom="page">
                <wp:posOffset>514350</wp:posOffset>
              </wp:positionH>
              <wp:positionV relativeFrom="page">
                <wp:posOffset>414655</wp:posOffset>
              </wp:positionV>
              <wp:extent cx="4358640" cy="0"/>
              <wp:effectExtent l="0" t="0" r="0" b="0"/>
              <wp:wrapNone/>
              <wp:docPr id="492" name="Shape 4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C206B8" id="_x0000_t32" coordsize="21600,21600" o:spt="32" o:oned="t" path="m,l21600,21600e" filled="f">
              <v:path arrowok="t" fillok="f" o:connecttype="none"/>
              <o:lock v:ext="edit" shapetype="t"/>
            </v:shapetype>
            <v:shape id="Shape 492" o:spid="_x0000_s1026" type="#_x0000_t32" style="position:absolute;margin-left:40.5pt;margin-top:32.65pt;width:343.2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9424" w14:textId="77777777" w:rsidR="00093A32" w:rsidRDefault="00093A32">
    <w:pPr>
      <w:spacing w:line="1" w:lineRule="exact"/>
    </w:pPr>
    <w:r>
      <w:rPr>
        <w:noProof/>
      </w:rPr>
      <mc:AlternateContent>
        <mc:Choice Requires="wps">
          <w:drawing>
            <wp:anchor distT="0" distB="0" distL="0" distR="0" simplePos="0" relativeHeight="251894784" behindDoc="1" locked="0" layoutInCell="1" allowOverlap="1" wp14:anchorId="04B13ABE" wp14:editId="1E273942">
              <wp:simplePos x="0" y="0"/>
              <wp:positionH relativeFrom="page">
                <wp:posOffset>2099310</wp:posOffset>
              </wp:positionH>
              <wp:positionV relativeFrom="page">
                <wp:posOffset>306705</wp:posOffset>
              </wp:positionV>
              <wp:extent cx="2746375" cy="79375"/>
              <wp:effectExtent l="0" t="0" r="0" b="0"/>
              <wp:wrapNone/>
              <wp:docPr id="488" name="Shape 488"/>
              <wp:cNvGraphicFramePr/>
              <a:graphic xmlns:a="http://schemas.openxmlformats.org/drawingml/2006/main">
                <a:graphicData uri="http://schemas.microsoft.com/office/word/2010/wordprocessingShape">
                  <wps:wsp>
                    <wps:cNvSpPr txBox="1"/>
                    <wps:spPr>
                      <a:xfrm>
                        <a:off x="0" y="0"/>
                        <a:ext cx="2746375" cy="79375"/>
                      </a:xfrm>
                      <a:prstGeom prst="rect">
                        <a:avLst/>
                      </a:prstGeom>
                      <a:noFill/>
                    </wps:spPr>
                    <wps:txbx>
                      <w:txbxContent>
                        <w:p w14:paraId="4D354DB3" w14:textId="77777777" w:rsidR="00093A32" w:rsidRDefault="00093A32">
                          <w:pPr>
                            <w:pStyle w:val="Headerorfooter0"/>
                            <w:tabs>
                              <w:tab w:val="right" w:pos="4325"/>
                            </w:tabs>
                            <w:rPr>
                              <w:sz w:val="16"/>
                              <w:szCs w:val="16"/>
                            </w:rPr>
                          </w:pPr>
                          <w:r>
                            <w:t>ARBOVIRUS, INFECCIONES</w:t>
                          </w:r>
                          <w:r>
                            <w:tab/>
                          </w:r>
                          <w:r>
                            <w:rPr>
                              <w:sz w:val="16"/>
                              <w:szCs w:val="16"/>
                            </w:rPr>
                            <w:t>215</w:t>
                          </w:r>
                        </w:p>
                      </w:txbxContent>
                    </wps:txbx>
                    <wps:bodyPr lIns="0" tIns="0" rIns="0" bIns="0">
                      <a:spAutoFit/>
                    </wps:bodyPr>
                  </wps:wsp>
                </a:graphicData>
              </a:graphic>
            </wp:anchor>
          </w:drawing>
        </mc:Choice>
        <mc:Fallback>
          <w:pict>
            <v:shapetype w14:anchorId="04B13ABE" id="_x0000_t202" coordsize="21600,21600" o:spt="202" path="m,l,21600r21600,l21600,xe">
              <v:stroke joinstyle="miter"/>
              <v:path gradientshapeok="t" o:connecttype="rect"/>
            </v:shapetype>
            <v:shape id="Shape 488" o:spid="_x0000_s1043" type="#_x0000_t202" style="position:absolute;margin-left:165.3pt;margin-top:24.15pt;width:216.25pt;height:6.25pt;z-index:-251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" filled="f" stroked="f">
              <v:textbox style="mso-fit-shape-to-text:t" inset="0,0,0,0">
                <w:txbxContent>
                  <w:p w14:paraId="4D354DB3" w14:textId="77777777" w:rsidR="00093A32" w:rsidRDefault="00093A32">
                    <w:pPr>
                      <w:pStyle w:val="Headerorfooter0"/>
                      <w:tabs>
                        <w:tab w:val="right" w:pos="4325"/>
                      </w:tabs>
                      <w:rPr>
                        <w:sz w:val="16"/>
                        <w:szCs w:val="16"/>
                      </w:rPr>
                    </w:pPr>
                    <w:r>
                      <w:t>ARBOVIRUS, INFECCIONES</w:t>
                    </w:r>
                    <w:r>
                      <w:tab/>
                    </w:r>
                    <w:r>
                      <w:rPr>
                        <w:sz w:val="16"/>
                        <w:szCs w:val="16"/>
                      </w:rPr>
                      <w:t>215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97E4" w14:textId="77777777" w:rsidR="00093A32" w:rsidRDefault="00093A32">
    <w:pPr>
      <w:spacing w:line="1" w:lineRule="exact"/>
    </w:pPr>
    <w:r>
      <w:rPr>
        <w:noProof/>
      </w:rPr>
      <mc:AlternateContent>
        <mc:Choice Requires="wps">
          <w:drawing>
            <wp:anchor distT="0" distB="0" distL="0" distR="0" simplePos="0" relativeHeight="251896832" behindDoc="1" locked="0" layoutInCell="1" allowOverlap="1" wp14:anchorId="61CC4F39" wp14:editId="76082B06">
              <wp:simplePos x="0" y="0"/>
              <wp:positionH relativeFrom="page">
                <wp:posOffset>2398395</wp:posOffset>
              </wp:positionH>
              <wp:positionV relativeFrom="page">
                <wp:posOffset>315595</wp:posOffset>
              </wp:positionV>
              <wp:extent cx="2453640" cy="69850"/>
              <wp:effectExtent l="0" t="0" r="0" b="0"/>
              <wp:wrapNone/>
              <wp:docPr id="493" name="Shape 493"/>
              <wp:cNvGraphicFramePr/>
              <a:graphic xmlns:a="http://schemas.openxmlformats.org/drawingml/2006/main">
                <a:graphicData uri="http://schemas.microsoft.com/office/word/2010/wordprocessingShape">
                  <wps:wsp>
                    <wps:cNvSpPr txBox="1"/>
                    <wps:spPr>
                      <a:xfrm>
                        <a:off x="0" y="0"/>
                        <a:ext cx="2453640" cy="69850"/>
                      </a:xfrm>
                      <a:prstGeom prst="rect">
                        <a:avLst/>
                      </a:prstGeom>
                      <a:noFill/>
                    </wps:spPr>
                    <wps:txbx>
                      <w:txbxContent>
                        <w:p w14:paraId="4721114E" w14:textId="77777777" w:rsidR="00093A32" w:rsidRDefault="00093A32">
                          <w:pPr>
                            <w:pStyle w:val="Headerorfooter0"/>
                            <w:tabs>
                              <w:tab w:val="right" w:pos="3864"/>
                            </w:tabs>
                            <w:rPr>
                              <w:sz w:val="16"/>
                              <w:szCs w:val="16"/>
                            </w:rPr>
                          </w:pPr>
                          <w:r>
                            <w:t>CHANCROIDE</w:t>
                          </w:r>
                          <w:r>
                            <w:tab/>
                          </w:r>
                          <w:r>
                            <w:rPr>
                              <w:sz w:val="16"/>
                              <w:szCs w:val="16"/>
                            </w:rPr>
                            <w:t>249</w:t>
                          </w:r>
                        </w:p>
                      </w:txbxContent>
                    </wps:txbx>
                    <wps:bodyPr lIns="0" tIns="0" rIns="0" bIns="0">
                      <a:spAutoFit/>
                    </wps:bodyPr>
                  </wps:wsp>
                </a:graphicData>
              </a:graphic>
            </wp:anchor>
          </w:drawing>
        </mc:Choice>
        <mc:Fallback>
          <w:pict>
            <v:shapetype w14:anchorId="61CC4F39" id="_x0000_t202" coordsize="21600,21600" o:spt="202" path="m,l,21600r21600,l21600,xe">
              <v:stroke joinstyle="miter"/>
              <v:path gradientshapeok="t" o:connecttype="rect"/>
            </v:shapetype>
            <v:shape id="Shape 493" o:spid="_x0000_s1044" type="#_x0000_t202" style="position:absolute;margin-left:188.85pt;margin-top:24.85pt;width:193.2pt;height:5.5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" filled="f" stroked="f">
              <v:textbox style="mso-fit-shape-to-text:t" inset="0,0,0,0">
                <w:txbxContent>
                  <w:p w14:paraId="4721114E" w14:textId="77777777" w:rsidR="00093A32" w:rsidRDefault="00093A32">
                    <w:pPr>
                      <w:pStyle w:val="Headerorfooter0"/>
                      <w:tabs>
                        <w:tab w:val="right" w:pos="3864"/>
                      </w:tabs>
                      <w:rPr>
                        <w:sz w:val="16"/>
                        <w:szCs w:val="16"/>
                      </w:rPr>
                    </w:pPr>
                    <w:r>
                      <w:t>CHANCROIDE</w:t>
                    </w:r>
                    <w:r>
                      <w:tab/>
                    </w:r>
                    <w:r>
                      <w:rPr>
                        <w:sz w:val="16"/>
                        <w:szCs w:val="16"/>
                      </w:rPr>
                      <w:t>249</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326785E8" wp14:editId="4888F185">
              <wp:simplePos x="0" y="0"/>
              <wp:positionH relativeFrom="page">
                <wp:posOffset>514350</wp:posOffset>
              </wp:positionH>
              <wp:positionV relativeFrom="page">
                <wp:posOffset>424180</wp:posOffset>
              </wp:positionV>
              <wp:extent cx="4358640" cy="0"/>
              <wp:effectExtent l="0" t="0" r="0" b="0"/>
              <wp:wrapNone/>
              <wp:docPr id="495" name="Shape 4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AA3F111" id="_x0000_t32" coordsize="21600,21600" o:spt="32" o:oned="t" path="m,l21600,21600e" filled="f">
              <v:path arrowok="t" fillok="f" o:connecttype="none"/>
              <o:lock v:ext="edit" shapetype="t"/>
            </v:shapetype>
            <v:shape id="Shape 495" o:spid="_x0000_s1026" type="#_x0000_t32" style="position:absolute;margin-left:40.5pt;margin-top:33.4pt;width:343.2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0885" w14:textId="77777777" w:rsidR="00093A32" w:rsidRDefault="00093A32">
    <w:pPr>
      <w:spacing w:line="1" w:lineRule="exact"/>
    </w:pPr>
    <w:r>
      <w:rPr>
        <w:noProof/>
      </w:rPr>
      <mc:AlternateContent>
        <mc:Choice Requires="wps">
          <w:drawing>
            <wp:anchor distT="0" distB="0" distL="0" distR="0" simplePos="0" relativeHeight="251898880" behindDoc="1" locked="0" layoutInCell="1" allowOverlap="1" wp14:anchorId="48A645CC" wp14:editId="2DD06BB7">
              <wp:simplePos x="0" y="0"/>
              <wp:positionH relativeFrom="page">
                <wp:posOffset>528320</wp:posOffset>
              </wp:positionH>
              <wp:positionV relativeFrom="page">
                <wp:posOffset>306705</wp:posOffset>
              </wp:positionV>
              <wp:extent cx="3303905" cy="79375"/>
              <wp:effectExtent l="0" t="0" r="0" b="0"/>
              <wp:wrapNone/>
              <wp:docPr id="499" name="Shape 499"/>
              <wp:cNvGraphicFramePr/>
              <a:graphic xmlns:a="http://schemas.openxmlformats.org/drawingml/2006/main">
                <a:graphicData uri="http://schemas.microsoft.com/office/word/2010/wordprocessingShape">
                  <wps:wsp>
                    <wps:cNvSpPr txBox="1"/>
                    <wps:spPr>
                      <a:xfrm>
                        <a:off x="0" y="0"/>
                        <a:ext cx="3303905" cy="79375"/>
                      </a:xfrm>
                      <a:prstGeom prst="rect">
                        <a:avLst/>
                      </a:prstGeom>
                      <a:noFill/>
                    </wps:spPr>
                    <wps:txbx>
                      <w:txbxContent>
                        <w:p w14:paraId="09E5E08C" w14:textId="77777777" w:rsidR="00093A32" w:rsidRDefault="00093A32">
                          <w:pPr>
                            <w:pStyle w:val="Headerorfooter0"/>
                            <w:tabs>
                              <w:tab w:val="right" w:pos="5203"/>
                            </w:tabs>
                          </w:pPr>
                          <w:r>
                            <w:rPr>
                              <w:sz w:val="16"/>
                              <w:szCs w:val="16"/>
                            </w:rPr>
                            <w:t>220</w:t>
                          </w:r>
                          <w:r>
                            <w:rPr>
                              <w:sz w:val="16"/>
                              <w:szCs w:val="16"/>
                            </w:rPr>
                            <w:tab/>
                          </w:r>
                          <w:r>
                            <w:rPr>
                              <w:i/>
                              <w:iCs/>
                            </w:rPr>
                            <w:t>ARCANOBACTERIUM HAEMOLYTICUM,</w:t>
                          </w:r>
                          <w:r>
                            <w:t xml:space="preserve"> INFECCIONES</w:t>
                          </w:r>
                        </w:p>
                      </w:txbxContent>
                    </wps:txbx>
                    <wps:bodyPr lIns="0" tIns="0" rIns="0" bIns="0">
                      <a:spAutoFit/>
                    </wps:bodyPr>
                  </wps:wsp>
                </a:graphicData>
              </a:graphic>
            </wp:anchor>
          </w:drawing>
        </mc:Choice>
        <mc:Fallback>
          <w:pict>
            <v:shapetype w14:anchorId="48A645CC" id="_x0000_t202" coordsize="21600,21600" o:spt="202" path="m,l,21600r21600,l21600,xe">
              <v:stroke joinstyle="miter"/>
              <v:path gradientshapeok="t" o:connecttype="rect"/>
            </v:shapetype>
            <v:shape id="Shape 499" o:spid="_x0000_s1045" type="#_x0000_t202" style="position:absolute;margin-left:41.6pt;margin-top:24.15pt;width:260.15pt;height:6.25pt;z-index:-2514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" filled="f" stroked="f">
              <v:textbox style="mso-fit-shape-to-text:t" inset="0,0,0,0">
                <w:txbxContent>
                  <w:p w14:paraId="09E5E08C" w14:textId="77777777" w:rsidR="00093A32" w:rsidRDefault="00093A32">
                    <w:pPr>
                      <w:pStyle w:val="Headerorfooter0"/>
                      <w:tabs>
                        <w:tab w:val="right" w:pos="5203"/>
                      </w:tabs>
                    </w:pPr>
                    <w:r>
                      <w:rPr>
                        <w:sz w:val="16"/>
                        <w:szCs w:val="16"/>
                      </w:rPr>
                      <w:t>220</w:t>
                    </w:r>
                    <w:r>
                      <w:rPr>
                        <w:sz w:val="16"/>
                        <w:szCs w:val="16"/>
                      </w:rPr>
                      <w:tab/>
                    </w:r>
                    <w:r>
                      <w:rPr>
                        <w:i/>
                        <w:iCs/>
                      </w:rPr>
                      <w:t>ARCANOBACTERIUM HAEMOLYTICUM,</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2FC125B2" wp14:editId="1FCFEBD1">
              <wp:simplePos x="0" y="0"/>
              <wp:positionH relativeFrom="page">
                <wp:posOffset>513080</wp:posOffset>
              </wp:positionH>
              <wp:positionV relativeFrom="page">
                <wp:posOffset>414655</wp:posOffset>
              </wp:positionV>
              <wp:extent cx="4358640" cy="0"/>
              <wp:effectExtent l="0" t="0" r="0" b="0"/>
              <wp:wrapNone/>
              <wp:docPr id="501" name="Shape 5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47F86C9" id="_x0000_t32" coordsize="21600,21600" o:spt="32" o:oned="t" path="m,l21600,21600e" filled="f">
              <v:path arrowok="t" fillok="f" o:connecttype="none"/>
              <o:lock v:ext="edit" shapetype="t"/>
            </v:shapetype>
            <v:shape id="Shape 501" o:spid="_x0000_s1026" type="#_x0000_t32" style="position:absolute;margin-left:40.4pt;margin-top:32.65pt;width:343.2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5893" w14:textId="77777777" w:rsidR="00093A32" w:rsidRDefault="00093A32">
    <w:pPr>
      <w:spacing w:line="1" w:lineRule="exact"/>
    </w:pPr>
    <w:r>
      <w:rPr>
        <w:noProof/>
      </w:rPr>
      <mc:AlternateContent>
        <mc:Choice Requires="wps">
          <w:drawing>
            <wp:anchor distT="0" distB="0" distL="0" distR="0" simplePos="0" relativeHeight="251897856" behindDoc="1" locked="0" layoutInCell="1" allowOverlap="1" wp14:anchorId="069675B7" wp14:editId="552E9737">
              <wp:simplePos x="0" y="0"/>
              <wp:positionH relativeFrom="page">
                <wp:posOffset>528320</wp:posOffset>
              </wp:positionH>
              <wp:positionV relativeFrom="page">
                <wp:posOffset>306705</wp:posOffset>
              </wp:positionV>
              <wp:extent cx="3303905" cy="79375"/>
              <wp:effectExtent l="0" t="0" r="0" b="0"/>
              <wp:wrapNone/>
              <wp:docPr id="496" name="Shape 496"/>
              <wp:cNvGraphicFramePr/>
              <a:graphic xmlns:a="http://schemas.openxmlformats.org/drawingml/2006/main">
                <a:graphicData uri="http://schemas.microsoft.com/office/word/2010/wordprocessingShape">
                  <wps:wsp>
                    <wps:cNvSpPr txBox="1"/>
                    <wps:spPr>
                      <a:xfrm>
                        <a:off x="0" y="0"/>
                        <a:ext cx="3303905" cy="79375"/>
                      </a:xfrm>
                      <a:prstGeom prst="rect">
                        <a:avLst/>
                      </a:prstGeom>
                      <a:noFill/>
                    </wps:spPr>
                    <wps:txbx>
                      <w:txbxContent>
                        <w:p w14:paraId="13AD57E8" w14:textId="77777777" w:rsidR="00093A32" w:rsidRDefault="00093A32">
                          <w:pPr>
                            <w:pStyle w:val="Headerorfooter0"/>
                            <w:tabs>
                              <w:tab w:val="right" w:pos="5203"/>
                            </w:tabs>
                          </w:pPr>
                          <w:r>
                            <w:rPr>
                              <w:sz w:val="16"/>
                              <w:szCs w:val="16"/>
                            </w:rPr>
                            <w:t>220</w:t>
                          </w:r>
                          <w:r>
                            <w:rPr>
                              <w:sz w:val="16"/>
                              <w:szCs w:val="16"/>
                            </w:rPr>
                            <w:tab/>
                          </w:r>
                          <w:r>
                            <w:rPr>
                              <w:i/>
                              <w:iCs/>
                            </w:rPr>
                            <w:t>ARCANOBACTERIUM HAEMOLYTICUM,</w:t>
                          </w:r>
                          <w:r>
                            <w:t xml:space="preserve"> INFECCIONES</w:t>
                          </w:r>
                        </w:p>
                      </w:txbxContent>
                    </wps:txbx>
                    <wps:bodyPr lIns="0" tIns="0" rIns="0" bIns="0">
                      <a:spAutoFit/>
                    </wps:bodyPr>
                  </wps:wsp>
                </a:graphicData>
              </a:graphic>
            </wp:anchor>
          </w:drawing>
        </mc:Choice>
        <mc:Fallback>
          <w:pict>
            <v:shapetype w14:anchorId="069675B7" id="_x0000_t202" coordsize="21600,21600" o:spt="202" path="m,l,21600r21600,l21600,xe">
              <v:stroke joinstyle="miter"/>
              <v:path gradientshapeok="t" o:connecttype="rect"/>
            </v:shapetype>
            <v:shape id="Shape 496" o:spid="_x0000_s1046" type="#_x0000_t202" style="position:absolute;margin-left:41.6pt;margin-top:24.15pt;width:260.15pt;height:6.25pt;z-index:-2514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" filled="f" stroked="f">
              <v:textbox style="mso-fit-shape-to-text:t" inset="0,0,0,0">
                <w:txbxContent>
                  <w:p w14:paraId="13AD57E8" w14:textId="77777777" w:rsidR="00093A32" w:rsidRDefault="00093A32">
                    <w:pPr>
                      <w:pStyle w:val="Headerorfooter0"/>
                      <w:tabs>
                        <w:tab w:val="right" w:pos="5203"/>
                      </w:tabs>
                    </w:pPr>
                    <w:r>
                      <w:rPr>
                        <w:sz w:val="16"/>
                        <w:szCs w:val="16"/>
                      </w:rPr>
                      <w:t>220</w:t>
                    </w:r>
                    <w:r>
                      <w:rPr>
                        <w:sz w:val="16"/>
                        <w:szCs w:val="16"/>
                      </w:rPr>
                      <w:tab/>
                    </w:r>
                    <w:r>
                      <w:rPr>
                        <w:i/>
                        <w:iCs/>
                      </w:rPr>
                      <w:t>ARCANOBACTERIUM HAEMOLYTICUM,</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776BF97C" wp14:editId="044F0874">
              <wp:simplePos x="0" y="0"/>
              <wp:positionH relativeFrom="page">
                <wp:posOffset>513080</wp:posOffset>
              </wp:positionH>
              <wp:positionV relativeFrom="page">
                <wp:posOffset>414655</wp:posOffset>
              </wp:positionV>
              <wp:extent cx="4358640" cy="0"/>
              <wp:effectExtent l="0" t="0" r="0" b="0"/>
              <wp:wrapNone/>
              <wp:docPr id="498" name="Shape 4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73C5DF" id="_x0000_t32" coordsize="21600,21600" o:spt="32" o:oned="t" path="m,l21600,21600e" filled="f">
              <v:path arrowok="t" fillok="f" o:connecttype="none"/>
              <o:lock v:ext="edit" shapetype="t"/>
            </v:shapetype>
            <v:shape id="Shape 498" o:spid="_x0000_s1026" type="#_x0000_t32" style="position:absolute;margin-left:40.4pt;margin-top:32.65pt;width:343.2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D326" w14:textId="77777777" w:rsidR="00093A32" w:rsidRDefault="00093A32">
    <w:pPr>
      <w:spacing w:line="1" w:lineRule="exact"/>
    </w:pPr>
    <w:r>
      <w:rPr>
        <w:noProof/>
      </w:rPr>
      <mc:AlternateContent>
        <mc:Choice Requires="wps">
          <w:drawing>
            <wp:anchor distT="0" distB="0" distL="0" distR="0" simplePos="0" relativeHeight="251900928" behindDoc="1" locked="0" layoutInCell="1" allowOverlap="1" wp14:anchorId="67040E19" wp14:editId="219DCB9F">
              <wp:simplePos x="0" y="0"/>
              <wp:positionH relativeFrom="page">
                <wp:posOffset>1816100</wp:posOffset>
              </wp:positionH>
              <wp:positionV relativeFrom="page">
                <wp:posOffset>306705</wp:posOffset>
              </wp:positionV>
              <wp:extent cx="3020695" cy="79375"/>
              <wp:effectExtent l="0" t="0" r="0" b="0"/>
              <wp:wrapNone/>
              <wp:docPr id="505" name="Shape 505"/>
              <wp:cNvGraphicFramePr/>
              <a:graphic xmlns:a="http://schemas.openxmlformats.org/drawingml/2006/main">
                <a:graphicData uri="http://schemas.microsoft.com/office/word/2010/wordprocessingShape">
                  <wps:wsp>
                    <wps:cNvSpPr txBox="1"/>
                    <wps:spPr>
                      <a:xfrm>
                        <a:off x="0" y="0"/>
                        <a:ext cx="3020695" cy="79375"/>
                      </a:xfrm>
                      <a:prstGeom prst="rect">
                        <a:avLst/>
                      </a:prstGeom>
                      <a:noFill/>
                    </wps:spPr>
                    <wps:txbx>
                      <w:txbxContent>
                        <w:p w14:paraId="5D88C116" w14:textId="77777777" w:rsidR="00093A32" w:rsidRDefault="00093A32">
                          <w:pPr>
                            <w:pStyle w:val="Headerorfooter0"/>
                            <w:tabs>
                              <w:tab w:val="right" w:pos="4757"/>
                            </w:tabs>
                            <w:rPr>
                              <w:sz w:val="16"/>
                              <w:szCs w:val="16"/>
                            </w:rPr>
                          </w:pPr>
                          <w:r>
                            <w:rPr>
                              <w:i/>
                              <w:iCs/>
                            </w:rPr>
                            <w:t>ASCARIS LUMBRICOIDES,</w:t>
                          </w:r>
                          <w:r>
                            <w:t xml:space="preserve"> INFECCIONES</w:t>
                          </w:r>
                          <w:r>
                            <w:tab/>
                          </w:r>
                          <w:r>
                            <w:rPr>
                              <w:sz w:val="16"/>
                              <w:szCs w:val="16"/>
                            </w:rPr>
                            <w:t>221</w:t>
                          </w:r>
                        </w:p>
                      </w:txbxContent>
                    </wps:txbx>
                    <wps:bodyPr lIns="0" tIns="0" rIns="0" bIns="0">
                      <a:spAutoFit/>
                    </wps:bodyPr>
                  </wps:wsp>
                </a:graphicData>
              </a:graphic>
            </wp:anchor>
          </w:drawing>
        </mc:Choice>
        <mc:Fallback>
          <w:pict>
            <v:shapetype w14:anchorId="67040E19" id="_x0000_t202" coordsize="21600,21600" o:spt="202" path="m,l,21600r21600,l21600,xe">
              <v:stroke joinstyle="miter"/>
              <v:path gradientshapeok="t" o:connecttype="rect"/>
            </v:shapetype>
            <v:shape id="Shape 505" o:spid="_x0000_s1047" type="#_x0000_t202" style="position:absolute;margin-left:143pt;margin-top:24.15pt;width:237.85pt;height:6.25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ledfQEAAPoCAAAOAAAAZHJzL2Uyb0RvYy54bWysUttOwzAMfUfiH6K8s3ZDMK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" filled="f" stroked="f">
              <v:textbox style="mso-fit-shape-to-text:t" inset="0,0,0,0">
                <w:txbxContent>
                  <w:p w14:paraId="5D88C116" w14:textId="77777777" w:rsidR="00093A32" w:rsidRDefault="00093A32">
                    <w:pPr>
                      <w:pStyle w:val="Headerorfooter0"/>
                      <w:tabs>
                        <w:tab w:val="right" w:pos="4757"/>
                      </w:tabs>
                      <w:rPr>
                        <w:sz w:val="16"/>
                        <w:szCs w:val="16"/>
                      </w:rPr>
                    </w:pPr>
                    <w:r>
                      <w:rPr>
                        <w:i/>
                        <w:iCs/>
                      </w:rPr>
                      <w:t>ASCARIS LUMBRICOIDES,</w:t>
                    </w:r>
                    <w:r>
                      <w:t xml:space="preserve"> INFECCIONES</w:t>
                    </w:r>
                    <w:r>
                      <w:tab/>
                    </w:r>
                    <w:r>
                      <w:rPr>
                        <w:sz w:val="16"/>
                        <w:szCs w:val="16"/>
                      </w:rPr>
                      <w:t>221</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3D9953E0" wp14:editId="3E338C4C">
              <wp:simplePos x="0" y="0"/>
              <wp:positionH relativeFrom="page">
                <wp:posOffset>514350</wp:posOffset>
              </wp:positionH>
              <wp:positionV relativeFrom="page">
                <wp:posOffset>414655</wp:posOffset>
              </wp:positionV>
              <wp:extent cx="4358640" cy="0"/>
              <wp:effectExtent l="0" t="0" r="0" b="0"/>
              <wp:wrapNone/>
              <wp:docPr id="507" name="Shape 5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AD4883" id="_x0000_t32" coordsize="21600,21600" o:spt="32" o:oned="t" path="m,l21600,21600e" filled="f">
              <v:path arrowok="t" fillok="f" o:connecttype="none"/>
              <o:lock v:ext="edit" shapetype="t"/>
            </v:shapetype>
            <v:shape id="Shape 507" o:spid="_x0000_s1026" type="#_x0000_t32" style="position:absolute;margin-left:40.5pt;margin-top:32.65pt;width:343.2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1834" w14:textId="77777777" w:rsidR="00093A32" w:rsidRDefault="00093A32">
    <w:pPr>
      <w:spacing w:line="1" w:lineRule="exact"/>
    </w:pPr>
    <w:r>
      <w:rPr>
        <w:noProof/>
      </w:rPr>
      <mc:AlternateContent>
        <mc:Choice Requires="wps">
          <w:drawing>
            <wp:anchor distT="0" distB="0" distL="0" distR="0" simplePos="0" relativeHeight="251899904" behindDoc="1" locked="0" layoutInCell="1" allowOverlap="1" wp14:anchorId="5A9A03DE" wp14:editId="619347B1">
              <wp:simplePos x="0" y="0"/>
              <wp:positionH relativeFrom="page">
                <wp:posOffset>1816100</wp:posOffset>
              </wp:positionH>
              <wp:positionV relativeFrom="page">
                <wp:posOffset>306705</wp:posOffset>
              </wp:positionV>
              <wp:extent cx="3020695" cy="79375"/>
              <wp:effectExtent l="0" t="0" r="0" b="0"/>
              <wp:wrapNone/>
              <wp:docPr id="502" name="Shape 502"/>
              <wp:cNvGraphicFramePr/>
              <a:graphic xmlns:a="http://schemas.openxmlformats.org/drawingml/2006/main">
                <a:graphicData uri="http://schemas.microsoft.com/office/word/2010/wordprocessingShape">
                  <wps:wsp>
                    <wps:cNvSpPr txBox="1"/>
                    <wps:spPr>
                      <a:xfrm>
                        <a:off x="0" y="0"/>
                        <a:ext cx="3020695" cy="79375"/>
                      </a:xfrm>
                      <a:prstGeom prst="rect">
                        <a:avLst/>
                      </a:prstGeom>
                      <a:noFill/>
                    </wps:spPr>
                    <wps:txbx>
                      <w:txbxContent>
                        <w:p w14:paraId="3C33ADBD" w14:textId="77777777" w:rsidR="00093A32" w:rsidRDefault="00093A32">
                          <w:pPr>
                            <w:pStyle w:val="Headerorfooter0"/>
                            <w:tabs>
                              <w:tab w:val="right" w:pos="4757"/>
                            </w:tabs>
                            <w:rPr>
                              <w:sz w:val="16"/>
                              <w:szCs w:val="16"/>
                            </w:rPr>
                          </w:pPr>
                          <w:r>
                            <w:rPr>
                              <w:i/>
                              <w:iCs/>
                            </w:rPr>
                            <w:t>ASCARIS LUMBRICOIDES,</w:t>
                          </w:r>
                          <w:r>
                            <w:t xml:space="preserve"> INFECCIONES</w:t>
                          </w:r>
                          <w:r>
                            <w:tab/>
                          </w:r>
                          <w:r>
                            <w:rPr>
                              <w:sz w:val="16"/>
                              <w:szCs w:val="16"/>
                            </w:rPr>
                            <w:t>221</w:t>
                          </w:r>
                        </w:p>
                      </w:txbxContent>
                    </wps:txbx>
                    <wps:bodyPr lIns="0" tIns="0" rIns="0" bIns="0">
                      <a:spAutoFit/>
                    </wps:bodyPr>
                  </wps:wsp>
                </a:graphicData>
              </a:graphic>
            </wp:anchor>
          </w:drawing>
        </mc:Choice>
        <mc:Fallback>
          <w:pict>
            <v:shapetype w14:anchorId="5A9A03DE" id="_x0000_t202" coordsize="21600,21600" o:spt="202" path="m,l,21600r21600,l21600,xe">
              <v:stroke joinstyle="miter"/>
              <v:path gradientshapeok="t" o:connecttype="rect"/>
            </v:shapetype>
            <v:shape id="Shape 502" o:spid="_x0000_s1048" type="#_x0000_t202" style="position:absolute;margin-left:143pt;margin-top:24.15pt;width:237.85pt;height:6.25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" filled="f" stroked="f">
              <v:textbox style="mso-fit-shape-to-text:t" inset="0,0,0,0">
                <w:txbxContent>
                  <w:p w14:paraId="3C33ADBD" w14:textId="77777777" w:rsidR="00093A32" w:rsidRDefault="00093A32">
                    <w:pPr>
                      <w:pStyle w:val="Headerorfooter0"/>
                      <w:tabs>
                        <w:tab w:val="right" w:pos="4757"/>
                      </w:tabs>
                      <w:rPr>
                        <w:sz w:val="16"/>
                        <w:szCs w:val="16"/>
                      </w:rPr>
                    </w:pPr>
                    <w:r>
                      <w:rPr>
                        <w:i/>
                        <w:iCs/>
                      </w:rPr>
                      <w:t>ASCARIS LUMBRICOIDES,</w:t>
                    </w:r>
                    <w:r>
                      <w:t xml:space="preserve"> INFECCIONES</w:t>
                    </w:r>
                    <w:r>
                      <w:tab/>
                    </w:r>
                    <w:r>
                      <w:rPr>
                        <w:sz w:val="16"/>
                        <w:szCs w:val="16"/>
                      </w:rPr>
                      <w:t>221</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A324EA7" wp14:editId="27005874">
              <wp:simplePos x="0" y="0"/>
              <wp:positionH relativeFrom="page">
                <wp:posOffset>514350</wp:posOffset>
              </wp:positionH>
              <wp:positionV relativeFrom="page">
                <wp:posOffset>414655</wp:posOffset>
              </wp:positionV>
              <wp:extent cx="4358640" cy="0"/>
              <wp:effectExtent l="0" t="0" r="0" b="0"/>
              <wp:wrapNone/>
              <wp:docPr id="504" name="Shape 5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8273453" id="_x0000_t32" coordsize="21600,21600" o:spt="32" o:oned="t" path="m,l21600,21600e" filled="f">
              <v:path arrowok="t" fillok="f" o:connecttype="none"/>
              <o:lock v:ext="edit" shapetype="t"/>
            </v:shapetype>
            <v:shape id="Shape 504" o:spid="_x0000_s1026" type="#_x0000_t32" style="position:absolute;margin-left:40.5pt;margin-top:32.65pt;width:343.2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028F" w14:textId="77777777" w:rsidR="00093A32" w:rsidRDefault="00093A32">
    <w:pPr>
      <w:spacing w:line="1" w:lineRule="exact"/>
    </w:pPr>
    <w:r>
      <w:rPr>
        <w:noProof/>
      </w:rPr>
      <mc:AlternateContent>
        <mc:Choice Requires="wps">
          <w:drawing>
            <wp:anchor distT="0" distB="0" distL="0" distR="0" simplePos="0" relativeHeight="251902976" behindDoc="1" locked="0" layoutInCell="1" allowOverlap="1" wp14:anchorId="534E1050" wp14:editId="74D4B369">
              <wp:simplePos x="0" y="0"/>
              <wp:positionH relativeFrom="page">
                <wp:posOffset>2366010</wp:posOffset>
              </wp:positionH>
              <wp:positionV relativeFrom="page">
                <wp:posOffset>315595</wp:posOffset>
              </wp:positionV>
              <wp:extent cx="2487295" cy="69850"/>
              <wp:effectExtent l="0" t="0" r="0" b="0"/>
              <wp:wrapNone/>
              <wp:docPr id="511" name="Shape 511"/>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155E805D" w14:textId="77777777" w:rsidR="00093A32" w:rsidRDefault="00093A32">
                          <w:pPr>
                            <w:pStyle w:val="Headerorfooter0"/>
                            <w:tabs>
                              <w:tab w:val="right" w:pos="3917"/>
                            </w:tabs>
                            <w:rPr>
                              <w:sz w:val="16"/>
                              <w:szCs w:val="16"/>
                            </w:rPr>
                          </w:pPr>
                          <w:r>
                            <w:t>ASPERGILOSIS</w:t>
                          </w:r>
                          <w:r>
                            <w:tab/>
                          </w:r>
                          <w:r>
                            <w:rPr>
                              <w:sz w:val="16"/>
                              <w:szCs w:val="16"/>
                            </w:rPr>
                            <w:t>223</w:t>
                          </w:r>
                        </w:p>
                      </w:txbxContent>
                    </wps:txbx>
                    <wps:bodyPr lIns="0" tIns="0" rIns="0" bIns="0">
                      <a:spAutoFit/>
                    </wps:bodyPr>
                  </wps:wsp>
                </a:graphicData>
              </a:graphic>
            </wp:anchor>
          </w:drawing>
        </mc:Choice>
        <mc:Fallback>
          <w:pict>
            <v:shapetype w14:anchorId="534E1050" id="_x0000_t202" coordsize="21600,21600" o:spt="202" path="m,l,21600r21600,l21600,xe">
              <v:stroke joinstyle="miter"/>
              <v:path gradientshapeok="t" o:connecttype="rect"/>
            </v:shapetype>
            <v:shape id="Shape 511" o:spid="_x0000_s1049" type="#_x0000_t202" style="position:absolute;margin-left:186.3pt;margin-top:24.85pt;width:195.85pt;height:5.5pt;z-index:-251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" filled="f" stroked="f">
              <v:textbox style="mso-fit-shape-to-text:t" inset="0,0,0,0">
                <w:txbxContent>
                  <w:p w14:paraId="155E805D" w14:textId="77777777" w:rsidR="00093A32" w:rsidRDefault="00093A32">
                    <w:pPr>
                      <w:pStyle w:val="Headerorfooter0"/>
                      <w:tabs>
                        <w:tab w:val="right" w:pos="3917"/>
                      </w:tabs>
                      <w:rPr>
                        <w:sz w:val="16"/>
                        <w:szCs w:val="16"/>
                      </w:rPr>
                    </w:pPr>
                    <w:r>
                      <w:t>ASPERGILOSIS</w:t>
                    </w:r>
                    <w:r>
                      <w:tab/>
                    </w:r>
                    <w:r>
                      <w:rPr>
                        <w:sz w:val="16"/>
                        <w:szCs w:val="16"/>
                      </w:rPr>
                      <w:t>223</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1EF3C7FF" wp14:editId="094C3710">
              <wp:simplePos x="0" y="0"/>
              <wp:positionH relativeFrom="page">
                <wp:posOffset>516255</wp:posOffset>
              </wp:positionH>
              <wp:positionV relativeFrom="page">
                <wp:posOffset>424180</wp:posOffset>
              </wp:positionV>
              <wp:extent cx="4358640" cy="0"/>
              <wp:effectExtent l="0" t="0" r="0" b="0"/>
              <wp:wrapNone/>
              <wp:docPr id="513" name="Shape 5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F3539A1" id="_x0000_t32" coordsize="21600,21600" o:spt="32" o:oned="t" path="m,l21600,21600e" filled="f">
              <v:path arrowok="t" fillok="f" o:connecttype="none"/>
              <o:lock v:ext="edit" shapetype="t"/>
            </v:shapetype>
            <v:shape id="Shape 513" o:spid="_x0000_s1026" type="#_x0000_t32" style="position:absolute;margin-left:40.65pt;margin-top:33.4pt;width:343.2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096F" w14:textId="77777777" w:rsidR="00093A32" w:rsidRDefault="00093A32">
    <w:pPr>
      <w:spacing w:line="1" w:lineRule="exact"/>
    </w:pPr>
    <w:r>
      <w:rPr>
        <w:noProof/>
      </w:rPr>
      <mc:AlternateContent>
        <mc:Choice Requires="wps">
          <w:drawing>
            <wp:anchor distT="0" distB="0" distL="0" distR="0" simplePos="0" relativeHeight="251901952" behindDoc="1" locked="0" layoutInCell="1" allowOverlap="1" wp14:anchorId="4BE927D8" wp14:editId="4AAA6ACD">
              <wp:simplePos x="0" y="0"/>
              <wp:positionH relativeFrom="page">
                <wp:posOffset>2366010</wp:posOffset>
              </wp:positionH>
              <wp:positionV relativeFrom="page">
                <wp:posOffset>315595</wp:posOffset>
              </wp:positionV>
              <wp:extent cx="2487295" cy="69850"/>
              <wp:effectExtent l="0" t="0" r="0" b="0"/>
              <wp:wrapNone/>
              <wp:docPr id="508" name="Shape 508"/>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73CB1175" w14:textId="77777777" w:rsidR="00093A32" w:rsidRDefault="00093A32">
                          <w:pPr>
                            <w:pStyle w:val="Headerorfooter0"/>
                            <w:tabs>
                              <w:tab w:val="right" w:pos="3917"/>
                            </w:tabs>
                            <w:rPr>
                              <w:sz w:val="16"/>
                              <w:szCs w:val="16"/>
                            </w:rPr>
                          </w:pPr>
                          <w:r>
                            <w:t>ASPERGILOSIS</w:t>
                          </w:r>
                          <w:r>
                            <w:tab/>
                          </w:r>
                          <w:r>
                            <w:rPr>
                              <w:sz w:val="16"/>
                              <w:szCs w:val="16"/>
                            </w:rPr>
                            <w:t>223</w:t>
                          </w:r>
                        </w:p>
                      </w:txbxContent>
                    </wps:txbx>
                    <wps:bodyPr lIns="0" tIns="0" rIns="0" bIns="0">
                      <a:spAutoFit/>
                    </wps:bodyPr>
                  </wps:wsp>
                </a:graphicData>
              </a:graphic>
            </wp:anchor>
          </w:drawing>
        </mc:Choice>
        <mc:Fallback>
          <w:pict>
            <v:shapetype w14:anchorId="4BE927D8" id="_x0000_t202" coordsize="21600,21600" o:spt="202" path="m,l,21600r21600,l21600,xe">
              <v:stroke joinstyle="miter"/>
              <v:path gradientshapeok="t" o:connecttype="rect"/>
            </v:shapetype>
            <v:shape id="Shape 508" o:spid="_x0000_s1050" type="#_x0000_t202" style="position:absolute;margin-left:186.3pt;margin-top:24.85pt;width:195.85pt;height:5.5pt;z-index:-2514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" filled="f" stroked="f">
              <v:textbox style="mso-fit-shape-to-text:t" inset="0,0,0,0">
                <w:txbxContent>
                  <w:p w14:paraId="73CB1175" w14:textId="77777777" w:rsidR="00093A32" w:rsidRDefault="00093A32">
                    <w:pPr>
                      <w:pStyle w:val="Headerorfooter0"/>
                      <w:tabs>
                        <w:tab w:val="right" w:pos="3917"/>
                      </w:tabs>
                      <w:rPr>
                        <w:sz w:val="16"/>
                        <w:szCs w:val="16"/>
                      </w:rPr>
                    </w:pPr>
                    <w:r>
                      <w:t>ASPERGILOSIS</w:t>
                    </w:r>
                    <w:r>
                      <w:tab/>
                    </w:r>
                    <w:r>
                      <w:rPr>
                        <w:sz w:val="16"/>
                        <w:szCs w:val="16"/>
                      </w:rPr>
                      <w:t>223</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06D01271" wp14:editId="776035F7">
              <wp:simplePos x="0" y="0"/>
              <wp:positionH relativeFrom="page">
                <wp:posOffset>516255</wp:posOffset>
              </wp:positionH>
              <wp:positionV relativeFrom="page">
                <wp:posOffset>424180</wp:posOffset>
              </wp:positionV>
              <wp:extent cx="4358640" cy="0"/>
              <wp:effectExtent l="0" t="0" r="0" b="0"/>
              <wp:wrapNone/>
              <wp:docPr id="510" name="Shape 51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F7F7D4" id="_x0000_t32" coordsize="21600,21600" o:spt="32" o:oned="t" path="m,l21600,21600e" filled="f">
              <v:path arrowok="t" fillok="f" o:connecttype="none"/>
              <o:lock v:ext="edit" shapetype="t"/>
            </v:shapetype>
            <v:shape id="Shape 510" o:spid="_x0000_s1026" type="#_x0000_t32" style="position:absolute;margin-left:40.65pt;margin-top:33.4pt;width:343.2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497B" w14:textId="77777777" w:rsidR="00093A32" w:rsidRDefault="00093A32">
    <w:pPr>
      <w:spacing w:line="1" w:lineRule="exact"/>
    </w:pPr>
    <w:r>
      <w:rPr>
        <w:noProof/>
      </w:rPr>
      <mc:AlternateContent>
        <mc:Choice Requires="wps">
          <w:drawing>
            <wp:anchor distT="0" distB="0" distL="0" distR="0" simplePos="0" relativeHeight="251904000" behindDoc="1" locked="0" layoutInCell="1" allowOverlap="1" wp14:anchorId="4103386C" wp14:editId="33984C18">
              <wp:simplePos x="0" y="0"/>
              <wp:positionH relativeFrom="page">
                <wp:posOffset>529590</wp:posOffset>
              </wp:positionH>
              <wp:positionV relativeFrom="page">
                <wp:posOffset>306705</wp:posOffset>
              </wp:positionV>
              <wp:extent cx="3035935" cy="79375"/>
              <wp:effectExtent l="0" t="0" r="0" b="0"/>
              <wp:wrapNone/>
              <wp:docPr id="514" name="Shape 514"/>
              <wp:cNvGraphicFramePr/>
              <a:graphic xmlns:a="http://schemas.openxmlformats.org/drawingml/2006/main">
                <a:graphicData uri="http://schemas.microsoft.com/office/word/2010/wordprocessingShape">
                  <wps:wsp>
                    <wps:cNvSpPr txBox="1"/>
                    <wps:spPr>
                      <a:xfrm>
                        <a:off x="0" y="0"/>
                        <a:ext cx="3035935" cy="79375"/>
                      </a:xfrm>
                      <a:prstGeom prst="rect">
                        <a:avLst/>
                      </a:prstGeom>
                      <a:noFill/>
                    </wps:spPr>
                    <wps:txbx>
                      <w:txbxContent>
                        <w:p w14:paraId="00B2066C" w14:textId="77777777" w:rsidR="00093A32" w:rsidRDefault="00093A32">
                          <w:pPr>
                            <w:pStyle w:val="Headerorfooter0"/>
                            <w:tabs>
                              <w:tab w:val="right" w:pos="4781"/>
                            </w:tabs>
                          </w:pPr>
                          <w:r>
                            <w:rPr>
                              <w:sz w:val="16"/>
                              <w:szCs w:val="16"/>
                            </w:rPr>
                            <w:t>222</w:t>
                          </w:r>
                          <w:r>
                            <w:rPr>
                              <w:sz w:val="16"/>
                              <w:szCs w:val="16"/>
                            </w:rPr>
                            <w:tab/>
                          </w:r>
                          <w:r>
                            <w:rPr>
                              <w:i/>
                              <w:iCs/>
                            </w:rPr>
                            <w:t>ASCARIS LUMBRICOIDES,</w:t>
                          </w:r>
                          <w:r>
                            <w:t xml:space="preserve"> INFECCIONES</w:t>
                          </w:r>
                        </w:p>
                      </w:txbxContent>
                    </wps:txbx>
                    <wps:bodyPr lIns="0" tIns="0" rIns="0" bIns="0">
                      <a:spAutoFit/>
                    </wps:bodyPr>
                  </wps:wsp>
                </a:graphicData>
              </a:graphic>
            </wp:anchor>
          </w:drawing>
        </mc:Choice>
        <mc:Fallback>
          <w:pict>
            <v:shapetype w14:anchorId="4103386C" id="_x0000_t202" coordsize="21600,21600" o:spt="202" path="m,l,21600r21600,l21600,xe">
              <v:stroke joinstyle="miter"/>
              <v:path gradientshapeok="t" o:connecttype="rect"/>
            </v:shapetype>
            <v:shape id="Shape 514" o:spid="_x0000_s1051" type="#_x0000_t202" style="position:absolute;margin-left:41.7pt;margin-top:24.15pt;width:239.05pt;height:6.25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" filled="f" stroked="f">
              <v:textbox style="mso-fit-shape-to-text:t" inset="0,0,0,0">
                <w:txbxContent>
                  <w:p w14:paraId="00B2066C" w14:textId="77777777" w:rsidR="00093A32" w:rsidRDefault="00093A32">
                    <w:pPr>
                      <w:pStyle w:val="Headerorfooter0"/>
                      <w:tabs>
                        <w:tab w:val="right" w:pos="4781"/>
                      </w:tabs>
                    </w:pPr>
                    <w:r>
                      <w:rPr>
                        <w:sz w:val="16"/>
                        <w:szCs w:val="16"/>
                      </w:rPr>
                      <w:t>222</w:t>
                    </w:r>
                    <w:r>
                      <w:rPr>
                        <w:sz w:val="16"/>
                        <w:szCs w:val="16"/>
                      </w:rPr>
                      <w:tab/>
                    </w:r>
                    <w:r>
                      <w:rPr>
                        <w:i/>
                        <w:iCs/>
                      </w:rPr>
                      <w:t>ASCARIS LUMBRICOIDES,</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74AC0BC8" wp14:editId="074CFA69">
              <wp:simplePos x="0" y="0"/>
              <wp:positionH relativeFrom="page">
                <wp:posOffset>514350</wp:posOffset>
              </wp:positionH>
              <wp:positionV relativeFrom="page">
                <wp:posOffset>414655</wp:posOffset>
              </wp:positionV>
              <wp:extent cx="4358640" cy="0"/>
              <wp:effectExtent l="0" t="0" r="0" b="0"/>
              <wp:wrapNone/>
              <wp:docPr id="516" name="Shape 51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729F41" id="_x0000_t32" coordsize="21600,21600" o:spt="32" o:oned="t" path="m,l21600,21600e" filled="f">
              <v:path arrowok="t" fillok="f" o:connecttype="none"/>
              <o:lock v:ext="edit" shapetype="t"/>
            </v:shapetype>
            <v:shape id="Shape 516" o:spid="_x0000_s1026" type="#_x0000_t32" style="position:absolute;margin-left:40.5pt;margin-top:32.65pt;width:343.2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3E85" w14:textId="77777777" w:rsidR="00093A32" w:rsidRDefault="00093A32">
    <w:pPr>
      <w:spacing w:line="1" w:lineRule="exact"/>
    </w:pPr>
    <w:r>
      <w:rPr>
        <w:noProof/>
      </w:rPr>
      <mc:AlternateContent>
        <mc:Choice Requires="wps">
          <w:drawing>
            <wp:anchor distT="0" distB="0" distL="0" distR="0" simplePos="0" relativeHeight="251906048" behindDoc="1" locked="0" layoutInCell="1" allowOverlap="1" wp14:anchorId="2F2F4046" wp14:editId="42C184C3">
              <wp:simplePos x="0" y="0"/>
              <wp:positionH relativeFrom="page">
                <wp:posOffset>2089150</wp:posOffset>
              </wp:positionH>
              <wp:positionV relativeFrom="page">
                <wp:posOffset>306705</wp:posOffset>
              </wp:positionV>
              <wp:extent cx="2770505" cy="79375"/>
              <wp:effectExtent l="0" t="0" r="0" b="0"/>
              <wp:wrapNone/>
              <wp:docPr id="520" name="Shape 520"/>
              <wp:cNvGraphicFramePr/>
              <a:graphic xmlns:a="http://schemas.openxmlformats.org/drawingml/2006/main">
                <a:graphicData uri="http://schemas.microsoft.com/office/word/2010/wordprocessingShape">
                  <wps:wsp>
                    <wps:cNvSpPr txBox="1"/>
                    <wps:spPr>
                      <a:xfrm>
                        <a:off x="0" y="0"/>
                        <a:ext cx="2770505" cy="79375"/>
                      </a:xfrm>
                      <a:prstGeom prst="rect">
                        <a:avLst/>
                      </a:prstGeom>
                      <a:noFill/>
                    </wps:spPr>
                    <wps:txbx>
                      <w:txbxContent>
                        <w:p w14:paraId="30C05ACD" w14:textId="77777777" w:rsidR="00093A32" w:rsidRDefault="00093A32">
                          <w:pPr>
                            <w:pStyle w:val="Headerorfooter0"/>
                            <w:tabs>
                              <w:tab w:val="right" w:pos="4363"/>
                            </w:tabs>
                            <w:rPr>
                              <w:sz w:val="16"/>
                              <w:szCs w:val="16"/>
                            </w:rPr>
                          </w:pPr>
                          <w:r>
                            <w:t>ASTROVIRUS, INFECCIONES</w:t>
                          </w:r>
                          <w:r>
                            <w:tab/>
                          </w:r>
                          <w:r>
                            <w:rPr>
                              <w:sz w:val="16"/>
                              <w:szCs w:val="16"/>
                            </w:rPr>
                            <w:t>225</w:t>
                          </w:r>
                        </w:p>
                      </w:txbxContent>
                    </wps:txbx>
                    <wps:bodyPr lIns="0" tIns="0" rIns="0" bIns="0">
                      <a:spAutoFit/>
                    </wps:bodyPr>
                  </wps:wsp>
                </a:graphicData>
              </a:graphic>
            </wp:anchor>
          </w:drawing>
        </mc:Choice>
        <mc:Fallback>
          <w:pict>
            <v:shapetype w14:anchorId="2F2F4046" id="_x0000_t202" coordsize="21600,21600" o:spt="202" path="m,l,21600r21600,l21600,xe">
              <v:stroke joinstyle="miter"/>
              <v:path gradientshapeok="t" o:connecttype="rect"/>
            </v:shapetype>
            <v:shape id="Shape 520" o:spid="_x0000_s1052" type="#_x0000_t202" style="position:absolute;margin-left:164.5pt;margin-top:24.15pt;width:218.15pt;height:6.25pt;z-index:-2514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" filled="f" stroked="f">
              <v:textbox style="mso-fit-shape-to-text:t" inset="0,0,0,0">
                <w:txbxContent>
                  <w:p w14:paraId="30C05ACD" w14:textId="77777777" w:rsidR="00093A32" w:rsidRDefault="00093A32">
                    <w:pPr>
                      <w:pStyle w:val="Headerorfooter0"/>
                      <w:tabs>
                        <w:tab w:val="right" w:pos="4363"/>
                      </w:tabs>
                      <w:rPr>
                        <w:sz w:val="16"/>
                        <w:szCs w:val="16"/>
                      </w:rPr>
                    </w:pPr>
                    <w:r>
                      <w:t>ASTROVIRUS, INFECCIONES</w:t>
                    </w:r>
                    <w:r>
                      <w:tab/>
                    </w:r>
                    <w:r>
                      <w:rPr>
                        <w:sz w:val="16"/>
                        <w:szCs w:val="16"/>
                      </w:rPr>
                      <w:t>225</w:t>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150F03AF" wp14:editId="7C0D180D">
              <wp:simplePos x="0" y="0"/>
              <wp:positionH relativeFrom="page">
                <wp:posOffset>521970</wp:posOffset>
              </wp:positionH>
              <wp:positionV relativeFrom="page">
                <wp:posOffset>414655</wp:posOffset>
              </wp:positionV>
              <wp:extent cx="4358640" cy="0"/>
              <wp:effectExtent l="0" t="0" r="0" b="0"/>
              <wp:wrapNone/>
              <wp:docPr id="522" name="Shape 52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FDCE8EB" id="_x0000_t32" coordsize="21600,21600" o:spt="32" o:oned="t" path="m,l21600,21600e" filled="f">
              <v:path arrowok="t" fillok="f" o:connecttype="none"/>
              <o:lock v:ext="edit" shapetype="t"/>
            </v:shapetype>
            <v:shape id="Shape 522" o:spid="_x0000_s1026" type="#_x0000_t32" style="position:absolute;margin-left:41.1pt;margin-top:32.65pt;width:343.2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HLJ&#10;Jb3aAAAACAEAAA8AAAAAAAAAAAAAAAAAwgMAAGRycy9kb3ducmV2LnhtbFBLBQYAAAAABAAEAPMA&#10;AADJBA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9D4D" w14:textId="77777777" w:rsidR="00093A32" w:rsidRDefault="00093A32">
    <w:pPr>
      <w:spacing w:line="1" w:lineRule="exact"/>
    </w:pPr>
    <w:r>
      <w:rPr>
        <w:noProof/>
      </w:rPr>
      <mc:AlternateContent>
        <mc:Choice Requires="wps">
          <w:drawing>
            <wp:anchor distT="0" distB="0" distL="0" distR="0" simplePos="0" relativeHeight="251905024" behindDoc="1" locked="0" layoutInCell="1" allowOverlap="1" wp14:anchorId="1D60B5DE" wp14:editId="222DC4F7">
              <wp:simplePos x="0" y="0"/>
              <wp:positionH relativeFrom="page">
                <wp:posOffset>2089150</wp:posOffset>
              </wp:positionH>
              <wp:positionV relativeFrom="page">
                <wp:posOffset>306705</wp:posOffset>
              </wp:positionV>
              <wp:extent cx="2770505" cy="79375"/>
              <wp:effectExtent l="0" t="0" r="0" b="0"/>
              <wp:wrapNone/>
              <wp:docPr id="517" name="Shape 517"/>
              <wp:cNvGraphicFramePr/>
              <a:graphic xmlns:a="http://schemas.openxmlformats.org/drawingml/2006/main">
                <a:graphicData uri="http://schemas.microsoft.com/office/word/2010/wordprocessingShape">
                  <wps:wsp>
                    <wps:cNvSpPr txBox="1"/>
                    <wps:spPr>
                      <a:xfrm>
                        <a:off x="0" y="0"/>
                        <a:ext cx="2770505" cy="79375"/>
                      </a:xfrm>
                      <a:prstGeom prst="rect">
                        <a:avLst/>
                      </a:prstGeom>
                      <a:noFill/>
                    </wps:spPr>
                    <wps:txbx>
                      <w:txbxContent>
                        <w:p w14:paraId="61847D8F" w14:textId="77777777" w:rsidR="00093A32" w:rsidRDefault="00093A32">
                          <w:pPr>
                            <w:pStyle w:val="Headerorfooter0"/>
                            <w:tabs>
                              <w:tab w:val="right" w:pos="4363"/>
                            </w:tabs>
                            <w:rPr>
                              <w:sz w:val="16"/>
                              <w:szCs w:val="16"/>
                            </w:rPr>
                          </w:pPr>
                          <w:r>
                            <w:t>ASTROVIRUS, INFECCIONES</w:t>
                          </w:r>
                          <w:r>
                            <w:tab/>
                          </w:r>
                          <w:r>
                            <w:rPr>
                              <w:sz w:val="16"/>
                              <w:szCs w:val="16"/>
                            </w:rPr>
                            <w:t>225</w:t>
                          </w:r>
                        </w:p>
                      </w:txbxContent>
                    </wps:txbx>
                    <wps:bodyPr lIns="0" tIns="0" rIns="0" bIns="0">
                      <a:spAutoFit/>
                    </wps:bodyPr>
                  </wps:wsp>
                </a:graphicData>
              </a:graphic>
            </wp:anchor>
          </w:drawing>
        </mc:Choice>
        <mc:Fallback>
          <w:pict>
            <v:shapetype w14:anchorId="1D60B5DE" id="_x0000_t202" coordsize="21600,21600" o:spt="202" path="m,l,21600r21600,l21600,xe">
              <v:stroke joinstyle="miter"/>
              <v:path gradientshapeok="t" o:connecttype="rect"/>
            </v:shapetype>
            <v:shape id="Shape 517" o:spid="_x0000_s1053" type="#_x0000_t202" style="position:absolute;margin-left:164.5pt;margin-top:24.15pt;width:218.15pt;height:6.25pt;z-index:-2514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" filled="f" stroked="f">
              <v:textbox style="mso-fit-shape-to-text:t" inset="0,0,0,0">
                <w:txbxContent>
                  <w:p w14:paraId="61847D8F" w14:textId="77777777" w:rsidR="00093A32" w:rsidRDefault="00093A32">
                    <w:pPr>
                      <w:pStyle w:val="Headerorfooter0"/>
                      <w:tabs>
                        <w:tab w:val="right" w:pos="4363"/>
                      </w:tabs>
                      <w:rPr>
                        <w:sz w:val="16"/>
                        <w:szCs w:val="16"/>
                      </w:rPr>
                    </w:pPr>
                    <w:r>
                      <w:t>ASTROVIRUS, INFECCIONES</w:t>
                    </w:r>
                    <w:r>
                      <w:tab/>
                    </w:r>
                    <w:r>
                      <w:rPr>
                        <w:sz w:val="16"/>
                        <w:szCs w:val="16"/>
                      </w:rPr>
                      <w:t>225</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50E9FDDD" wp14:editId="3BBCE1B9">
              <wp:simplePos x="0" y="0"/>
              <wp:positionH relativeFrom="page">
                <wp:posOffset>521970</wp:posOffset>
              </wp:positionH>
              <wp:positionV relativeFrom="page">
                <wp:posOffset>414655</wp:posOffset>
              </wp:positionV>
              <wp:extent cx="4358640" cy="0"/>
              <wp:effectExtent l="0" t="0" r="0" b="0"/>
              <wp:wrapNone/>
              <wp:docPr id="519" name="Shape 51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E37607" id="_x0000_t32" coordsize="21600,21600" o:spt="32" o:oned="t" path="m,l21600,21600e" filled="f">
              <v:path arrowok="t" fillok="f" o:connecttype="none"/>
              <o:lock v:ext="edit" shapetype="t"/>
            </v:shapetype>
            <v:shape id="Shape 519" o:spid="_x0000_s1026" type="#_x0000_t32" style="position:absolute;margin-left:41.1pt;margin-top:32.65pt;width:343.2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HLJ&#10;Jb3aAAAACAEAAA8AAAAAAAAAAAAAAAAAwgMAAGRycy9kb3ducmV2LnhtbFBLBQYAAAAABAAEAPMA&#10;AADJBA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3B90" w14:textId="77777777" w:rsidR="00093A32" w:rsidRDefault="00093A32">
    <w:pPr>
      <w:spacing w:line="1" w:lineRule="exact"/>
    </w:pPr>
    <w:r>
      <w:rPr>
        <w:noProof/>
      </w:rPr>
      <mc:AlternateContent>
        <mc:Choice Requires="wps">
          <w:drawing>
            <wp:anchor distT="0" distB="0" distL="0" distR="0" simplePos="0" relativeHeight="251907072" behindDoc="1" locked="0" layoutInCell="1" allowOverlap="1" wp14:anchorId="582C5943" wp14:editId="38693E20">
              <wp:simplePos x="0" y="0"/>
              <wp:positionH relativeFrom="page">
                <wp:posOffset>532765</wp:posOffset>
              </wp:positionH>
              <wp:positionV relativeFrom="page">
                <wp:posOffset>315595</wp:posOffset>
              </wp:positionV>
              <wp:extent cx="2487295" cy="69850"/>
              <wp:effectExtent l="0" t="0" r="0" b="0"/>
              <wp:wrapNone/>
              <wp:docPr id="523" name="Shape 523"/>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35719946" w14:textId="77777777" w:rsidR="00093A32" w:rsidRDefault="00093A32">
                          <w:pPr>
                            <w:pStyle w:val="Headerorfooter0"/>
                            <w:tabs>
                              <w:tab w:val="right" w:pos="3917"/>
                            </w:tabs>
                          </w:pPr>
                          <w:r>
                            <w:rPr>
                              <w:sz w:val="16"/>
                              <w:szCs w:val="16"/>
                            </w:rPr>
                            <w:t>224</w:t>
                          </w:r>
                          <w:r>
                            <w:rPr>
                              <w:sz w:val="16"/>
                              <w:szCs w:val="16"/>
                            </w:rPr>
                            <w:tab/>
                          </w:r>
                          <w:r>
                            <w:t>ASPERGILOSIS</w:t>
                          </w:r>
                        </w:p>
                      </w:txbxContent>
                    </wps:txbx>
                    <wps:bodyPr lIns="0" tIns="0" rIns="0" bIns="0">
                      <a:spAutoFit/>
                    </wps:bodyPr>
                  </wps:wsp>
                </a:graphicData>
              </a:graphic>
            </wp:anchor>
          </w:drawing>
        </mc:Choice>
        <mc:Fallback>
          <w:pict>
            <v:shapetype w14:anchorId="582C5943" id="_x0000_t202" coordsize="21600,21600" o:spt="202" path="m,l,21600r21600,l21600,xe">
              <v:stroke joinstyle="miter"/>
              <v:path gradientshapeok="t" o:connecttype="rect"/>
            </v:shapetype>
            <v:shape id="Shape 523" o:spid="_x0000_s1054" type="#_x0000_t202" style="position:absolute;margin-left:41.95pt;margin-top:24.85pt;width:195.85pt;height:5.5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" filled="f" stroked="f">
              <v:textbox style="mso-fit-shape-to-text:t" inset="0,0,0,0">
                <w:txbxContent>
                  <w:p w14:paraId="35719946" w14:textId="77777777" w:rsidR="00093A32" w:rsidRDefault="00093A32">
                    <w:pPr>
                      <w:pStyle w:val="Headerorfooter0"/>
                      <w:tabs>
                        <w:tab w:val="right" w:pos="3917"/>
                      </w:tabs>
                    </w:pPr>
                    <w:r>
                      <w:rPr>
                        <w:sz w:val="16"/>
                        <w:szCs w:val="16"/>
                      </w:rPr>
                      <w:t>224</w:t>
                    </w:r>
                    <w:r>
                      <w:rPr>
                        <w:sz w:val="16"/>
                        <w:szCs w:val="16"/>
                      </w:rPr>
                      <w:tab/>
                    </w:r>
                    <w:r>
                      <w:t>ASPERGILOSIS</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388122D9" wp14:editId="4D22B4C6">
              <wp:simplePos x="0" y="0"/>
              <wp:positionH relativeFrom="page">
                <wp:posOffset>517525</wp:posOffset>
              </wp:positionH>
              <wp:positionV relativeFrom="page">
                <wp:posOffset>424180</wp:posOffset>
              </wp:positionV>
              <wp:extent cx="4358640" cy="0"/>
              <wp:effectExtent l="0" t="0" r="0" b="0"/>
              <wp:wrapNone/>
              <wp:docPr id="525" name="Shape 52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C7BD1B" id="_x0000_t32" coordsize="21600,21600" o:spt="32" o:oned="t" path="m,l21600,21600e" filled="f">
              <v:path arrowok="t" fillok="f" o:connecttype="none"/>
              <o:lock v:ext="edit" shapetype="t"/>
            </v:shapetype>
            <v:shape id="Shape 525" o:spid="_x0000_s1026" type="#_x0000_t32" style="position:absolute;margin-left:40.75pt;margin-top:33.4pt;width:343.2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6846" w14:textId="77777777" w:rsidR="00093A32" w:rsidRDefault="00093A32">
    <w:pPr>
      <w:spacing w:line="1" w:lineRule="exact"/>
    </w:pPr>
    <w:r>
      <w:rPr>
        <w:noProof/>
      </w:rPr>
      <mc:AlternateContent>
        <mc:Choice Requires="wps">
          <w:drawing>
            <wp:anchor distT="0" distB="0" distL="0" distR="0" simplePos="0" relativeHeight="251909120" behindDoc="1" locked="0" layoutInCell="1" allowOverlap="1" wp14:anchorId="477DF6E2" wp14:editId="4675059B">
              <wp:simplePos x="0" y="0"/>
              <wp:positionH relativeFrom="page">
                <wp:posOffset>529590</wp:posOffset>
              </wp:positionH>
              <wp:positionV relativeFrom="page">
                <wp:posOffset>315595</wp:posOffset>
              </wp:positionV>
              <wp:extent cx="2426335" cy="69850"/>
              <wp:effectExtent l="0" t="0" r="0" b="0"/>
              <wp:wrapNone/>
              <wp:docPr id="529" name="Shape 529"/>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64686753" w14:textId="77777777" w:rsidR="00093A32" w:rsidRDefault="00093A32">
                          <w:pPr>
                            <w:pStyle w:val="Headerorfooter0"/>
                            <w:tabs>
                              <w:tab w:val="right" w:pos="3821"/>
                            </w:tabs>
                          </w:pPr>
                          <w:r>
                            <w:rPr>
                              <w:sz w:val="16"/>
                              <w:szCs w:val="16"/>
                            </w:rPr>
                            <w:t>226</w:t>
                          </w:r>
                          <w:r>
                            <w:rPr>
                              <w:sz w:val="16"/>
                              <w:szCs w:val="16"/>
                            </w:rPr>
                            <w:tab/>
                          </w:r>
                          <w:r>
                            <w:t>BABESIOSIS</w:t>
                          </w:r>
                        </w:p>
                      </w:txbxContent>
                    </wps:txbx>
                    <wps:bodyPr lIns="0" tIns="0" rIns="0" bIns="0">
                      <a:spAutoFit/>
                    </wps:bodyPr>
                  </wps:wsp>
                </a:graphicData>
              </a:graphic>
            </wp:anchor>
          </w:drawing>
        </mc:Choice>
        <mc:Fallback>
          <w:pict>
            <v:shapetype w14:anchorId="477DF6E2" id="_x0000_t202" coordsize="21600,21600" o:spt="202" path="m,l,21600r21600,l21600,xe">
              <v:stroke joinstyle="miter"/>
              <v:path gradientshapeok="t" o:connecttype="rect"/>
            </v:shapetype>
            <v:shape id="Shape 529" o:spid="_x0000_s1055" type="#_x0000_t202" style="position:absolute;margin-left:41.7pt;margin-top:24.85pt;width:191.05pt;height:5.5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" filled="f" stroked="f">
              <v:textbox style="mso-fit-shape-to-text:t" inset="0,0,0,0">
                <w:txbxContent>
                  <w:p w14:paraId="64686753" w14:textId="77777777" w:rsidR="00093A32" w:rsidRDefault="00093A32">
                    <w:pPr>
                      <w:pStyle w:val="Headerorfooter0"/>
                      <w:tabs>
                        <w:tab w:val="right" w:pos="3821"/>
                      </w:tabs>
                    </w:pPr>
                    <w:r>
                      <w:rPr>
                        <w:sz w:val="16"/>
                        <w:szCs w:val="16"/>
                      </w:rPr>
                      <w:t>226</w:t>
                    </w:r>
                    <w:r>
                      <w:rPr>
                        <w:sz w:val="16"/>
                        <w:szCs w:val="16"/>
                      </w:rPr>
                      <w:tab/>
                    </w:r>
                    <w:r>
                      <w:t>BABESIOSIS</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1264EC6B" wp14:editId="44CE87EF">
              <wp:simplePos x="0" y="0"/>
              <wp:positionH relativeFrom="page">
                <wp:posOffset>514350</wp:posOffset>
              </wp:positionH>
              <wp:positionV relativeFrom="page">
                <wp:posOffset>424180</wp:posOffset>
              </wp:positionV>
              <wp:extent cx="4358640" cy="0"/>
              <wp:effectExtent l="0" t="0" r="0" b="0"/>
              <wp:wrapNone/>
              <wp:docPr id="531" name="Shape 53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DC5CCDA" id="_x0000_t32" coordsize="21600,21600" o:spt="32" o:oned="t" path="m,l21600,21600e" filled="f">
              <v:path arrowok="t" fillok="f" o:connecttype="none"/>
              <o:lock v:ext="edit" shapetype="t"/>
            </v:shapetype>
            <v:shape id="Shape 531" o:spid="_x0000_s1026" type="#_x0000_t32" style="position:absolute;margin-left:40.5pt;margin-top:33.4pt;width:343.2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9550" w14:textId="77777777" w:rsidR="00093A32" w:rsidRDefault="00093A32">
    <w:pPr>
      <w:spacing w:line="1" w:lineRule="exact"/>
    </w:pPr>
    <w:r>
      <w:rPr>
        <w:noProof/>
      </w:rPr>
      <mc:AlternateContent>
        <mc:Choice Requires="wps">
          <w:drawing>
            <wp:anchor distT="0" distB="0" distL="0" distR="0" simplePos="0" relativeHeight="251908096" behindDoc="1" locked="0" layoutInCell="1" allowOverlap="1" wp14:anchorId="4241A51B" wp14:editId="6B67C902">
              <wp:simplePos x="0" y="0"/>
              <wp:positionH relativeFrom="page">
                <wp:posOffset>529590</wp:posOffset>
              </wp:positionH>
              <wp:positionV relativeFrom="page">
                <wp:posOffset>315595</wp:posOffset>
              </wp:positionV>
              <wp:extent cx="2426335" cy="69850"/>
              <wp:effectExtent l="0" t="0" r="0" b="0"/>
              <wp:wrapNone/>
              <wp:docPr id="526" name="Shape 526"/>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78057CE4" w14:textId="77777777" w:rsidR="00093A32" w:rsidRDefault="00093A32">
                          <w:pPr>
                            <w:pStyle w:val="Headerorfooter0"/>
                            <w:tabs>
                              <w:tab w:val="right" w:pos="3821"/>
                            </w:tabs>
                          </w:pPr>
                          <w:r>
                            <w:rPr>
                              <w:sz w:val="16"/>
                              <w:szCs w:val="16"/>
                            </w:rPr>
                            <w:t>226</w:t>
                          </w:r>
                          <w:r>
                            <w:rPr>
                              <w:sz w:val="16"/>
                              <w:szCs w:val="16"/>
                            </w:rPr>
                            <w:tab/>
                          </w:r>
                          <w:r>
                            <w:t>BABESIOSIS</w:t>
                          </w:r>
                        </w:p>
                      </w:txbxContent>
                    </wps:txbx>
                    <wps:bodyPr lIns="0" tIns="0" rIns="0" bIns="0">
                      <a:spAutoFit/>
                    </wps:bodyPr>
                  </wps:wsp>
                </a:graphicData>
              </a:graphic>
            </wp:anchor>
          </w:drawing>
        </mc:Choice>
        <mc:Fallback>
          <w:pict>
            <v:shapetype w14:anchorId="4241A51B" id="_x0000_t202" coordsize="21600,21600" o:spt="202" path="m,l,21600r21600,l21600,xe">
              <v:stroke joinstyle="miter"/>
              <v:path gradientshapeok="t" o:connecttype="rect"/>
            </v:shapetype>
            <v:shape id="Shape 526" o:spid="_x0000_s1056" type="#_x0000_t202" style="position:absolute;margin-left:41.7pt;margin-top:24.85pt;width:191.05pt;height:5.5pt;z-index:-2514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" filled="f" stroked="f">
              <v:textbox style="mso-fit-shape-to-text:t" inset="0,0,0,0">
                <w:txbxContent>
                  <w:p w14:paraId="78057CE4" w14:textId="77777777" w:rsidR="00093A32" w:rsidRDefault="00093A32">
                    <w:pPr>
                      <w:pStyle w:val="Headerorfooter0"/>
                      <w:tabs>
                        <w:tab w:val="right" w:pos="3821"/>
                      </w:tabs>
                    </w:pPr>
                    <w:r>
                      <w:rPr>
                        <w:sz w:val="16"/>
                        <w:szCs w:val="16"/>
                      </w:rPr>
                      <w:t>226</w:t>
                    </w:r>
                    <w:r>
                      <w:rPr>
                        <w:sz w:val="16"/>
                        <w:szCs w:val="16"/>
                      </w:rPr>
                      <w:tab/>
                    </w:r>
                    <w:r>
                      <w:t>BABESIOSIS</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07974785" wp14:editId="519F5B1C">
              <wp:simplePos x="0" y="0"/>
              <wp:positionH relativeFrom="page">
                <wp:posOffset>514350</wp:posOffset>
              </wp:positionH>
              <wp:positionV relativeFrom="page">
                <wp:posOffset>424180</wp:posOffset>
              </wp:positionV>
              <wp:extent cx="4358640" cy="0"/>
              <wp:effectExtent l="0" t="0" r="0" b="0"/>
              <wp:wrapNone/>
              <wp:docPr id="528" name="Shape 5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45DA9D" id="_x0000_t32" coordsize="21600,21600" o:spt="32" o:oned="t" path="m,l21600,21600e" filled="f">
              <v:path arrowok="t" fillok="f" o:connecttype="none"/>
              <o:lock v:ext="edit" shapetype="t"/>
            </v:shapetype>
            <v:shape id="Shape 528" o:spid="_x0000_s1026" type="#_x0000_t32" style="position:absolute;margin-left:40.5pt;margin-top:33.4pt;width:343.2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31B6" w14:textId="77777777" w:rsidR="00093A32" w:rsidRDefault="00093A32">
    <w:pPr>
      <w:spacing w:line="1" w:lineRule="exact"/>
    </w:pPr>
    <w:r>
      <w:rPr>
        <w:noProof/>
      </w:rPr>
      <mc:AlternateContent>
        <mc:Choice Requires="wps">
          <w:drawing>
            <wp:anchor distT="0" distB="0" distL="0" distR="0" simplePos="0" relativeHeight="251911168" behindDoc="1" locked="0" layoutInCell="1" allowOverlap="1" wp14:anchorId="697717F0" wp14:editId="18DE3911">
              <wp:simplePos x="0" y="0"/>
              <wp:positionH relativeFrom="page">
                <wp:posOffset>1959610</wp:posOffset>
              </wp:positionH>
              <wp:positionV relativeFrom="page">
                <wp:posOffset>306705</wp:posOffset>
              </wp:positionV>
              <wp:extent cx="2895600" cy="79375"/>
              <wp:effectExtent l="0" t="0" r="0" b="0"/>
              <wp:wrapNone/>
              <wp:docPr id="535" name="Shape 535"/>
              <wp:cNvGraphicFramePr/>
              <a:graphic xmlns:a="http://schemas.openxmlformats.org/drawingml/2006/main">
                <a:graphicData uri="http://schemas.microsoft.com/office/word/2010/wordprocessingShape">
                  <wps:wsp>
                    <wps:cNvSpPr txBox="1"/>
                    <wps:spPr>
                      <a:xfrm>
                        <a:off x="0" y="0"/>
                        <a:ext cx="2895600" cy="79375"/>
                      </a:xfrm>
                      <a:prstGeom prst="rect">
                        <a:avLst/>
                      </a:prstGeom>
                      <a:noFill/>
                    </wps:spPr>
                    <wps:txbx>
                      <w:txbxContent>
                        <w:p w14:paraId="455F22D4" w14:textId="77777777" w:rsidR="00093A32" w:rsidRDefault="00093A32">
                          <w:pPr>
                            <w:pStyle w:val="Headerorfooter0"/>
                            <w:tabs>
                              <w:tab w:val="right" w:pos="4560"/>
                            </w:tabs>
                            <w:rPr>
                              <w:sz w:val="16"/>
                              <w:szCs w:val="16"/>
                            </w:rPr>
                          </w:pPr>
                          <w:r>
                            <w:rPr>
                              <w:i/>
                              <w:iCs/>
                            </w:rPr>
                            <w:t>BACILLUS CEREUS,</w:t>
                          </w:r>
                          <w:r>
                            <w:t xml:space="preserve"> INFECCIONES</w:t>
                          </w:r>
                          <w:r>
                            <w:tab/>
                          </w:r>
                          <w:r>
                            <w:rPr>
                              <w:sz w:val="16"/>
                              <w:szCs w:val="16"/>
                            </w:rPr>
                            <w:t>227</w:t>
                          </w:r>
                        </w:p>
                      </w:txbxContent>
                    </wps:txbx>
                    <wps:bodyPr lIns="0" tIns="0" rIns="0" bIns="0">
                      <a:spAutoFit/>
                    </wps:bodyPr>
                  </wps:wsp>
                </a:graphicData>
              </a:graphic>
            </wp:anchor>
          </w:drawing>
        </mc:Choice>
        <mc:Fallback>
          <w:pict>
            <v:shapetype w14:anchorId="697717F0" id="_x0000_t202" coordsize="21600,21600" o:spt="202" path="m,l,21600r21600,l21600,xe">
              <v:stroke joinstyle="miter"/>
              <v:path gradientshapeok="t" o:connecttype="rect"/>
            </v:shapetype>
            <v:shape id="Shape 535" o:spid="_x0000_s1057" type="#_x0000_t202" style="position:absolute;margin-left:154.3pt;margin-top:24.15pt;width:228pt;height:6.25pt;z-index:-2514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" filled="f" stroked="f">
              <v:textbox style="mso-fit-shape-to-text:t" inset="0,0,0,0">
                <w:txbxContent>
                  <w:p w14:paraId="455F22D4" w14:textId="77777777" w:rsidR="00093A32" w:rsidRDefault="00093A32">
                    <w:pPr>
                      <w:pStyle w:val="Headerorfooter0"/>
                      <w:tabs>
                        <w:tab w:val="right" w:pos="4560"/>
                      </w:tabs>
                      <w:rPr>
                        <w:sz w:val="16"/>
                        <w:szCs w:val="16"/>
                      </w:rPr>
                    </w:pPr>
                    <w:r>
                      <w:rPr>
                        <w:i/>
                        <w:iCs/>
                      </w:rPr>
                      <w:t>BACILLUS CEREUS,</w:t>
                    </w:r>
                    <w:r>
                      <w:t xml:space="preserve"> INFECCIONES</w:t>
                    </w:r>
                    <w:r>
                      <w:tab/>
                    </w:r>
                    <w:r>
                      <w:rPr>
                        <w:sz w:val="16"/>
                        <w:szCs w:val="16"/>
                      </w:rPr>
                      <w:t>227</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204003B7" wp14:editId="52DB4258">
              <wp:simplePos x="0" y="0"/>
              <wp:positionH relativeFrom="page">
                <wp:posOffset>517525</wp:posOffset>
              </wp:positionH>
              <wp:positionV relativeFrom="page">
                <wp:posOffset>414655</wp:posOffset>
              </wp:positionV>
              <wp:extent cx="4358640" cy="0"/>
              <wp:effectExtent l="0" t="0" r="0" b="0"/>
              <wp:wrapNone/>
              <wp:docPr id="537" name="Shape 5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D4270C" id="_x0000_t32" coordsize="21600,21600" o:spt="32" o:oned="t" path="m,l21600,21600e" filled="f">
              <v:path arrowok="t" fillok="f" o:connecttype="none"/>
              <o:lock v:ext="edit" shapetype="t"/>
            </v:shapetype>
            <v:shape id="Shape 537" o:spid="_x0000_s1026" type="#_x0000_t32" style="position:absolute;margin-left:40.75pt;margin-top:32.65pt;width:343.2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C217" w14:textId="77777777" w:rsidR="00093A32" w:rsidRDefault="00093A32">
    <w:pPr>
      <w:spacing w:line="1" w:lineRule="exact"/>
    </w:pPr>
    <w:r>
      <w:rPr>
        <w:noProof/>
      </w:rPr>
      <mc:AlternateContent>
        <mc:Choice Requires="wps">
          <w:drawing>
            <wp:anchor distT="0" distB="0" distL="0" distR="0" simplePos="0" relativeHeight="251910144" behindDoc="1" locked="0" layoutInCell="1" allowOverlap="1" wp14:anchorId="408D1305" wp14:editId="7F1F739D">
              <wp:simplePos x="0" y="0"/>
              <wp:positionH relativeFrom="page">
                <wp:posOffset>1959610</wp:posOffset>
              </wp:positionH>
              <wp:positionV relativeFrom="page">
                <wp:posOffset>306705</wp:posOffset>
              </wp:positionV>
              <wp:extent cx="2895600" cy="79375"/>
              <wp:effectExtent l="0" t="0" r="0" b="0"/>
              <wp:wrapNone/>
              <wp:docPr id="532" name="Shape 532"/>
              <wp:cNvGraphicFramePr/>
              <a:graphic xmlns:a="http://schemas.openxmlformats.org/drawingml/2006/main">
                <a:graphicData uri="http://schemas.microsoft.com/office/word/2010/wordprocessingShape">
                  <wps:wsp>
                    <wps:cNvSpPr txBox="1"/>
                    <wps:spPr>
                      <a:xfrm>
                        <a:off x="0" y="0"/>
                        <a:ext cx="2895600" cy="79375"/>
                      </a:xfrm>
                      <a:prstGeom prst="rect">
                        <a:avLst/>
                      </a:prstGeom>
                      <a:noFill/>
                    </wps:spPr>
                    <wps:txbx>
                      <w:txbxContent>
                        <w:p w14:paraId="2DDEC17F" w14:textId="77777777" w:rsidR="00093A32" w:rsidRDefault="00093A32">
                          <w:pPr>
                            <w:pStyle w:val="Headerorfooter0"/>
                            <w:tabs>
                              <w:tab w:val="right" w:pos="4560"/>
                            </w:tabs>
                            <w:rPr>
                              <w:sz w:val="16"/>
                              <w:szCs w:val="16"/>
                            </w:rPr>
                          </w:pPr>
                          <w:r>
                            <w:rPr>
                              <w:i/>
                              <w:iCs/>
                            </w:rPr>
                            <w:t>BACILLUS CEREUS,</w:t>
                          </w:r>
                          <w:r>
                            <w:t xml:space="preserve"> INFECCIONES</w:t>
                          </w:r>
                          <w:r>
                            <w:tab/>
                          </w:r>
                          <w:r>
                            <w:rPr>
                              <w:sz w:val="16"/>
                              <w:szCs w:val="16"/>
                            </w:rPr>
                            <w:t>227</w:t>
                          </w:r>
                        </w:p>
                      </w:txbxContent>
                    </wps:txbx>
                    <wps:bodyPr lIns="0" tIns="0" rIns="0" bIns="0">
                      <a:spAutoFit/>
                    </wps:bodyPr>
                  </wps:wsp>
                </a:graphicData>
              </a:graphic>
            </wp:anchor>
          </w:drawing>
        </mc:Choice>
        <mc:Fallback>
          <w:pict>
            <v:shapetype w14:anchorId="408D1305" id="_x0000_t202" coordsize="21600,21600" o:spt="202" path="m,l,21600r21600,l21600,xe">
              <v:stroke joinstyle="miter"/>
              <v:path gradientshapeok="t" o:connecttype="rect"/>
            </v:shapetype>
            <v:shape id="Shape 532" o:spid="_x0000_s1058" type="#_x0000_t202" style="position:absolute;margin-left:154.3pt;margin-top:24.15pt;width:228pt;height:6.25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" filled="f" stroked="f">
              <v:textbox style="mso-fit-shape-to-text:t" inset="0,0,0,0">
                <w:txbxContent>
                  <w:p w14:paraId="2DDEC17F" w14:textId="77777777" w:rsidR="00093A32" w:rsidRDefault="00093A32">
                    <w:pPr>
                      <w:pStyle w:val="Headerorfooter0"/>
                      <w:tabs>
                        <w:tab w:val="right" w:pos="4560"/>
                      </w:tabs>
                      <w:rPr>
                        <w:sz w:val="16"/>
                        <w:szCs w:val="16"/>
                      </w:rPr>
                    </w:pPr>
                    <w:r>
                      <w:rPr>
                        <w:i/>
                        <w:iCs/>
                      </w:rPr>
                      <w:t>BACILLUS CEREUS,</w:t>
                    </w:r>
                    <w:r>
                      <w:t xml:space="preserve"> INFECCIONES</w:t>
                    </w:r>
                    <w:r>
                      <w:tab/>
                    </w:r>
                    <w:r>
                      <w:rPr>
                        <w:sz w:val="16"/>
                        <w:szCs w:val="16"/>
                      </w:rPr>
                      <w:t>227</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74A35534" wp14:editId="39089FCE">
              <wp:simplePos x="0" y="0"/>
              <wp:positionH relativeFrom="page">
                <wp:posOffset>517525</wp:posOffset>
              </wp:positionH>
              <wp:positionV relativeFrom="page">
                <wp:posOffset>414655</wp:posOffset>
              </wp:positionV>
              <wp:extent cx="4358640" cy="0"/>
              <wp:effectExtent l="0" t="0" r="0" b="0"/>
              <wp:wrapNone/>
              <wp:docPr id="534" name="Shape 5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C272BEA" id="_x0000_t32" coordsize="21600,21600" o:spt="32" o:oned="t" path="m,l21600,21600e" filled="f">
              <v:path arrowok="t" fillok="f" o:connecttype="none"/>
              <o:lock v:ext="edit" shapetype="t"/>
            </v:shapetype>
            <v:shape id="Shape 534" o:spid="_x0000_s1026" type="#_x0000_t32" style="position:absolute;margin-left:40.75pt;margin-top:32.65pt;width:343.2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04BB" w14:textId="77777777" w:rsidR="00093A32" w:rsidRDefault="00093A32">
    <w:pPr>
      <w:spacing w:line="1" w:lineRule="exact"/>
    </w:pPr>
    <w:r>
      <w:rPr>
        <w:noProof/>
      </w:rPr>
      <mc:AlternateContent>
        <mc:Choice Requires="wps">
          <w:drawing>
            <wp:anchor distT="0" distB="0" distL="0" distR="0" simplePos="0" relativeHeight="251913216" behindDoc="1" locked="0" layoutInCell="1" allowOverlap="1" wp14:anchorId="1AE77BAD" wp14:editId="3D806D85">
              <wp:simplePos x="0" y="0"/>
              <wp:positionH relativeFrom="page">
                <wp:posOffset>529590</wp:posOffset>
              </wp:positionH>
              <wp:positionV relativeFrom="page">
                <wp:posOffset>306705</wp:posOffset>
              </wp:positionV>
              <wp:extent cx="2706370" cy="79375"/>
              <wp:effectExtent l="0" t="0" r="0" b="0"/>
              <wp:wrapNone/>
              <wp:docPr id="541" name="Shape 541"/>
              <wp:cNvGraphicFramePr/>
              <a:graphic xmlns:a="http://schemas.openxmlformats.org/drawingml/2006/main">
                <a:graphicData uri="http://schemas.microsoft.com/office/word/2010/wordprocessingShape">
                  <wps:wsp>
                    <wps:cNvSpPr txBox="1"/>
                    <wps:spPr>
                      <a:xfrm>
                        <a:off x="0" y="0"/>
                        <a:ext cx="2706370" cy="79375"/>
                      </a:xfrm>
                      <a:prstGeom prst="rect">
                        <a:avLst/>
                      </a:prstGeom>
                      <a:noFill/>
                    </wps:spPr>
                    <wps:txbx>
                      <w:txbxContent>
                        <w:p w14:paraId="2656681A" w14:textId="77777777" w:rsidR="00093A32" w:rsidRDefault="00093A32">
                          <w:pPr>
                            <w:pStyle w:val="Headerorfooter0"/>
                            <w:tabs>
                              <w:tab w:val="right" w:pos="4262"/>
                            </w:tabs>
                          </w:pPr>
                          <w:r>
                            <w:rPr>
                              <w:sz w:val="16"/>
                              <w:szCs w:val="16"/>
                            </w:rPr>
                            <w:t>228</w:t>
                          </w:r>
                          <w:r>
                            <w:rPr>
                              <w:sz w:val="16"/>
                              <w:szCs w:val="16"/>
                            </w:rPr>
                            <w:tab/>
                          </w:r>
                          <w:r>
                            <w:t>BACTERIANA, VAGINOSIS</w:t>
                          </w:r>
                        </w:p>
                      </w:txbxContent>
                    </wps:txbx>
                    <wps:bodyPr lIns="0" tIns="0" rIns="0" bIns="0">
                      <a:spAutoFit/>
                    </wps:bodyPr>
                  </wps:wsp>
                </a:graphicData>
              </a:graphic>
            </wp:anchor>
          </w:drawing>
        </mc:Choice>
        <mc:Fallback>
          <w:pict>
            <v:shapetype w14:anchorId="1AE77BAD" id="_x0000_t202" coordsize="21600,21600" o:spt="202" path="m,l,21600r21600,l21600,xe">
              <v:stroke joinstyle="miter"/>
              <v:path gradientshapeok="t" o:connecttype="rect"/>
            </v:shapetype>
            <v:shape id="Shape 541" o:spid="_x0000_s1059" type="#_x0000_t202" style="position:absolute;margin-left:41.7pt;margin-top:24.15pt;width:213.1pt;height:6.25pt;z-index:-2514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" filled="f" stroked="f">
              <v:textbox style="mso-fit-shape-to-text:t" inset="0,0,0,0">
                <w:txbxContent>
                  <w:p w14:paraId="2656681A" w14:textId="77777777" w:rsidR="00093A32" w:rsidRDefault="00093A32">
                    <w:pPr>
                      <w:pStyle w:val="Headerorfooter0"/>
                      <w:tabs>
                        <w:tab w:val="right" w:pos="4262"/>
                      </w:tabs>
                    </w:pPr>
                    <w:r>
                      <w:rPr>
                        <w:sz w:val="16"/>
                        <w:szCs w:val="16"/>
                      </w:rPr>
                      <w:t>228</w:t>
                    </w:r>
                    <w:r>
                      <w:rPr>
                        <w:sz w:val="16"/>
                        <w:szCs w:val="16"/>
                      </w:rPr>
                      <w:tab/>
                    </w:r>
                    <w:r>
                      <w:t>BACTERIANA, VAGINOSIS</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02F660B6" wp14:editId="40E8CDFB">
              <wp:simplePos x="0" y="0"/>
              <wp:positionH relativeFrom="page">
                <wp:posOffset>514350</wp:posOffset>
              </wp:positionH>
              <wp:positionV relativeFrom="page">
                <wp:posOffset>414655</wp:posOffset>
              </wp:positionV>
              <wp:extent cx="4358640" cy="0"/>
              <wp:effectExtent l="0" t="0" r="0" b="0"/>
              <wp:wrapNone/>
              <wp:docPr id="543" name="Shape 54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B3A704D" id="_x0000_t32" coordsize="21600,21600" o:spt="32" o:oned="t" path="m,l21600,21600e" filled="f">
              <v:path arrowok="t" fillok="f" o:connecttype="none"/>
              <o:lock v:ext="edit" shapetype="t"/>
            </v:shapetype>
            <v:shape id="Shape 543" o:spid="_x0000_s1026" type="#_x0000_t32" style="position:absolute;margin-left:40.5pt;margin-top:32.65pt;width:343.2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6D9A" w14:textId="77777777" w:rsidR="00093A32" w:rsidRDefault="00093A32">
    <w:pPr>
      <w:spacing w:line="1" w:lineRule="exact"/>
    </w:pPr>
    <w:r>
      <w:rPr>
        <w:noProof/>
      </w:rPr>
      <mc:AlternateContent>
        <mc:Choice Requires="wps">
          <w:drawing>
            <wp:anchor distT="0" distB="0" distL="0" distR="0" simplePos="0" relativeHeight="251912192" behindDoc="1" locked="0" layoutInCell="1" allowOverlap="1" wp14:anchorId="3E32E1F0" wp14:editId="4112972B">
              <wp:simplePos x="0" y="0"/>
              <wp:positionH relativeFrom="page">
                <wp:posOffset>529590</wp:posOffset>
              </wp:positionH>
              <wp:positionV relativeFrom="page">
                <wp:posOffset>306705</wp:posOffset>
              </wp:positionV>
              <wp:extent cx="2706370" cy="79375"/>
              <wp:effectExtent l="0" t="0" r="0" b="0"/>
              <wp:wrapNone/>
              <wp:docPr id="538" name="Shape 538"/>
              <wp:cNvGraphicFramePr/>
              <a:graphic xmlns:a="http://schemas.openxmlformats.org/drawingml/2006/main">
                <a:graphicData uri="http://schemas.microsoft.com/office/word/2010/wordprocessingShape">
                  <wps:wsp>
                    <wps:cNvSpPr txBox="1"/>
                    <wps:spPr>
                      <a:xfrm>
                        <a:off x="0" y="0"/>
                        <a:ext cx="2706370" cy="79375"/>
                      </a:xfrm>
                      <a:prstGeom prst="rect">
                        <a:avLst/>
                      </a:prstGeom>
                      <a:noFill/>
                    </wps:spPr>
                    <wps:txbx>
                      <w:txbxContent>
                        <w:p w14:paraId="64E27E55" w14:textId="77777777" w:rsidR="00093A32" w:rsidRDefault="00093A32">
                          <w:pPr>
                            <w:pStyle w:val="Headerorfooter0"/>
                            <w:tabs>
                              <w:tab w:val="right" w:pos="4262"/>
                            </w:tabs>
                          </w:pPr>
                          <w:r>
                            <w:rPr>
                              <w:sz w:val="16"/>
                              <w:szCs w:val="16"/>
                            </w:rPr>
                            <w:t>228</w:t>
                          </w:r>
                          <w:r>
                            <w:rPr>
                              <w:sz w:val="16"/>
                              <w:szCs w:val="16"/>
                            </w:rPr>
                            <w:tab/>
                          </w:r>
                          <w:r>
                            <w:t>BACTERIANA, VAGINOSIS</w:t>
                          </w:r>
                        </w:p>
                      </w:txbxContent>
                    </wps:txbx>
                    <wps:bodyPr lIns="0" tIns="0" rIns="0" bIns="0">
                      <a:spAutoFit/>
                    </wps:bodyPr>
                  </wps:wsp>
                </a:graphicData>
              </a:graphic>
            </wp:anchor>
          </w:drawing>
        </mc:Choice>
        <mc:Fallback>
          <w:pict>
            <v:shapetype w14:anchorId="3E32E1F0" id="_x0000_t202" coordsize="21600,21600" o:spt="202" path="m,l,21600r21600,l21600,xe">
              <v:stroke joinstyle="miter"/>
              <v:path gradientshapeok="t" o:connecttype="rect"/>
            </v:shapetype>
            <v:shape id="Shape 538" o:spid="_x0000_s1060" type="#_x0000_t202" style="position:absolute;margin-left:41.7pt;margin-top:24.15pt;width:213.1pt;height:6.25pt;z-index:-2514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3FEfgEAAPsCAAAOAAAAZHJzL2Uyb0RvYy54bWysUttOwzAMfUfiH6K8s5ZNMK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" filled="f" stroked="f">
              <v:textbox style="mso-fit-shape-to-text:t" inset="0,0,0,0">
                <w:txbxContent>
                  <w:p w14:paraId="64E27E55" w14:textId="77777777" w:rsidR="00093A32" w:rsidRDefault="00093A32">
                    <w:pPr>
                      <w:pStyle w:val="Headerorfooter0"/>
                      <w:tabs>
                        <w:tab w:val="right" w:pos="4262"/>
                      </w:tabs>
                    </w:pPr>
                    <w:r>
                      <w:rPr>
                        <w:sz w:val="16"/>
                        <w:szCs w:val="16"/>
                      </w:rPr>
                      <w:t>228</w:t>
                    </w:r>
                    <w:r>
                      <w:rPr>
                        <w:sz w:val="16"/>
                        <w:szCs w:val="16"/>
                      </w:rPr>
                      <w:tab/>
                    </w:r>
                    <w:r>
                      <w:t>BACTERIANA, VAGINOSIS</w:t>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013E2471" wp14:editId="4808B208">
              <wp:simplePos x="0" y="0"/>
              <wp:positionH relativeFrom="page">
                <wp:posOffset>514350</wp:posOffset>
              </wp:positionH>
              <wp:positionV relativeFrom="page">
                <wp:posOffset>414655</wp:posOffset>
              </wp:positionV>
              <wp:extent cx="4358640" cy="0"/>
              <wp:effectExtent l="0" t="0" r="0" b="0"/>
              <wp:wrapNone/>
              <wp:docPr id="540" name="Shape 5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BA7F834" id="_x0000_t32" coordsize="21600,21600" o:spt="32" o:oned="t" path="m,l21600,21600e" filled="f">
              <v:path arrowok="t" fillok="f" o:connecttype="none"/>
              <o:lock v:ext="edit" shapetype="t"/>
            </v:shapetype>
            <v:shape id="Shape 540" o:spid="_x0000_s1026" type="#_x0000_t32" style="position:absolute;margin-left:40.5pt;margin-top:32.65pt;width:343.2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0605" w14:textId="77777777" w:rsidR="00093A32" w:rsidRDefault="00093A32">
    <w:pPr>
      <w:spacing w:line="1" w:lineRule="exact"/>
    </w:pPr>
    <w:r>
      <w:rPr>
        <w:noProof/>
      </w:rPr>
      <mc:AlternateContent>
        <mc:Choice Requires="wps">
          <w:drawing>
            <wp:anchor distT="0" distB="0" distL="0" distR="0" simplePos="0" relativeHeight="251915264" behindDoc="1" locked="0" layoutInCell="1" allowOverlap="1" wp14:anchorId="10A2B27B" wp14:editId="4CA5C1E5">
              <wp:simplePos x="0" y="0"/>
              <wp:positionH relativeFrom="page">
                <wp:posOffset>531495</wp:posOffset>
              </wp:positionH>
              <wp:positionV relativeFrom="page">
                <wp:posOffset>306705</wp:posOffset>
              </wp:positionV>
              <wp:extent cx="3145790" cy="79375"/>
              <wp:effectExtent l="0" t="0" r="0" b="0"/>
              <wp:wrapNone/>
              <wp:docPr id="547" name="Shape 547"/>
              <wp:cNvGraphicFramePr/>
              <a:graphic xmlns:a="http://schemas.openxmlformats.org/drawingml/2006/main">
                <a:graphicData uri="http://schemas.microsoft.com/office/word/2010/wordprocessingShape">
                  <wps:wsp>
                    <wps:cNvSpPr txBox="1"/>
                    <wps:spPr>
                      <a:xfrm>
                        <a:off x="0" y="0"/>
                        <a:ext cx="3145790" cy="79375"/>
                      </a:xfrm>
                      <a:prstGeom prst="rect">
                        <a:avLst/>
                      </a:prstGeom>
                      <a:noFill/>
                    </wps:spPr>
                    <wps:txbx>
                      <w:txbxContent>
                        <w:p w14:paraId="3338DAFA" w14:textId="77777777" w:rsidR="00093A32" w:rsidRDefault="00093A32">
                          <w:pPr>
                            <w:pStyle w:val="Headerorfooter0"/>
                            <w:tabs>
                              <w:tab w:val="right" w:pos="4954"/>
                            </w:tabs>
                          </w:pPr>
                          <w:r>
                            <w:rPr>
                              <w:sz w:val="16"/>
                              <w:szCs w:val="16"/>
                            </w:rPr>
                            <w:t>230</w:t>
                          </w:r>
                          <w:r>
                            <w:rPr>
                              <w:sz w:val="16"/>
                              <w:szCs w:val="16"/>
                            </w:rPr>
                            <w:tab/>
                          </w:r>
                          <w:r>
                            <w:rPr>
                              <w:i/>
                              <w:iCs/>
                            </w:rPr>
                            <w:t>BACTEROIDES</w:t>
                          </w:r>
                          <w:r>
                            <w:t xml:space="preserve">Y </w:t>
                          </w:r>
                          <w:r>
                            <w:rPr>
                              <w:i/>
                              <w:iCs/>
                            </w:rPr>
                            <w:t>PREVOTELLA,</w:t>
                          </w:r>
                          <w:r>
                            <w:t xml:space="preserve"> INFECCIONES</w:t>
                          </w:r>
                        </w:p>
                      </w:txbxContent>
                    </wps:txbx>
                    <wps:bodyPr lIns="0" tIns="0" rIns="0" bIns="0">
                      <a:spAutoFit/>
                    </wps:bodyPr>
                  </wps:wsp>
                </a:graphicData>
              </a:graphic>
            </wp:anchor>
          </w:drawing>
        </mc:Choice>
        <mc:Fallback>
          <w:pict>
            <v:shapetype w14:anchorId="10A2B27B" id="_x0000_t202" coordsize="21600,21600" o:spt="202" path="m,l,21600r21600,l21600,xe">
              <v:stroke joinstyle="miter"/>
              <v:path gradientshapeok="t" o:connecttype="rect"/>
            </v:shapetype>
            <v:shape id="Shape 547" o:spid="_x0000_s1061" type="#_x0000_t202" style="position:absolute;margin-left:41.85pt;margin-top:24.15pt;width:247.7pt;height:6.25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" filled="f" stroked="f">
              <v:textbox style="mso-fit-shape-to-text:t" inset="0,0,0,0">
                <w:txbxContent>
                  <w:p w14:paraId="3338DAFA" w14:textId="77777777" w:rsidR="00093A32" w:rsidRDefault="00093A32">
                    <w:pPr>
                      <w:pStyle w:val="Headerorfooter0"/>
                      <w:tabs>
                        <w:tab w:val="right" w:pos="4954"/>
                      </w:tabs>
                    </w:pPr>
                    <w:r>
                      <w:rPr>
                        <w:sz w:val="16"/>
                        <w:szCs w:val="16"/>
                      </w:rPr>
                      <w:t>230</w:t>
                    </w:r>
                    <w:r>
                      <w:rPr>
                        <w:sz w:val="16"/>
                        <w:szCs w:val="16"/>
                      </w:rPr>
                      <w:tab/>
                    </w:r>
                    <w:r>
                      <w:rPr>
                        <w:i/>
                        <w:iCs/>
                      </w:rPr>
                      <w:t>BACTEROIDES</w:t>
                    </w:r>
                    <w:r>
                      <w:t xml:space="preserve">Y </w:t>
                    </w:r>
                    <w:r>
                      <w:rPr>
                        <w:i/>
                        <w:iCs/>
                      </w:rPr>
                      <w:t>PREVOTELLA,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0E0C444A" wp14:editId="07A4730C">
              <wp:simplePos x="0" y="0"/>
              <wp:positionH relativeFrom="page">
                <wp:posOffset>516255</wp:posOffset>
              </wp:positionH>
              <wp:positionV relativeFrom="page">
                <wp:posOffset>414655</wp:posOffset>
              </wp:positionV>
              <wp:extent cx="4358640" cy="0"/>
              <wp:effectExtent l="0" t="0" r="0" b="0"/>
              <wp:wrapNone/>
              <wp:docPr id="549" name="Shape 5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B836B1E" id="_x0000_t32" coordsize="21600,21600" o:spt="32" o:oned="t" path="m,l21600,21600e" filled="f">
              <v:path arrowok="t" fillok="f" o:connecttype="none"/>
              <o:lock v:ext="edit" shapetype="t"/>
            </v:shapetype>
            <v:shape id="Shape 549" o:spid="_x0000_s1026" type="#_x0000_t32" style="position:absolute;margin-left:40.65pt;margin-top:32.65pt;width:343.2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99CD" w14:textId="77777777" w:rsidR="00093A32" w:rsidRDefault="00093A32">
    <w:pPr>
      <w:spacing w:line="1" w:lineRule="exact"/>
    </w:pPr>
    <w:r>
      <w:rPr>
        <w:noProof/>
      </w:rPr>
      <mc:AlternateContent>
        <mc:Choice Requires="wps">
          <w:drawing>
            <wp:anchor distT="0" distB="0" distL="0" distR="0" simplePos="0" relativeHeight="251914240" behindDoc="1" locked="0" layoutInCell="1" allowOverlap="1" wp14:anchorId="4ADE549F" wp14:editId="4E61399E">
              <wp:simplePos x="0" y="0"/>
              <wp:positionH relativeFrom="page">
                <wp:posOffset>531495</wp:posOffset>
              </wp:positionH>
              <wp:positionV relativeFrom="page">
                <wp:posOffset>306705</wp:posOffset>
              </wp:positionV>
              <wp:extent cx="3145790" cy="79375"/>
              <wp:effectExtent l="0" t="0" r="0" b="0"/>
              <wp:wrapNone/>
              <wp:docPr id="544" name="Shape 544"/>
              <wp:cNvGraphicFramePr/>
              <a:graphic xmlns:a="http://schemas.openxmlformats.org/drawingml/2006/main">
                <a:graphicData uri="http://schemas.microsoft.com/office/word/2010/wordprocessingShape">
                  <wps:wsp>
                    <wps:cNvSpPr txBox="1"/>
                    <wps:spPr>
                      <a:xfrm>
                        <a:off x="0" y="0"/>
                        <a:ext cx="3145790" cy="79375"/>
                      </a:xfrm>
                      <a:prstGeom prst="rect">
                        <a:avLst/>
                      </a:prstGeom>
                      <a:noFill/>
                    </wps:spPr>
                    <wps:txbx>
                      <w:txbxContent>
                        <w:p w14:paraId="48197F24" w14:textId="77777777" w:rsidR="00093A32" w:rsidRDefault="00093A32">
                          <w:pPr>
                            <w:pStyle w:val="Headerorfooter0"/>
                            <w:tabs>
                              <w:tab w:val="right" w:pos="4954"/>
                            </w:tabs>
                          </w:pPr>
                          <w:r>
                            <w:rPr>
                              <w:sz w:val="16"/>
                              <w:szCs w:val="16"/>
                            </w:rPr>
                            <w:t>230</w:t>
                          </w:r>
                          <w:r>
                            <w:rPr>
                              <w:sz w:val="16"/>
                              <w:szCs w:val="16"/>
                            </w:rPr>
                            <w:tab/>
                          </w:r>
                          <w:r>
                            <w:rPr>
                              <w:i/>
                              <w:iCs/>
                            </w:rPr>
                            <w:t>BACTEROIDES</w:t>
                          </w:r>
                          <w:r>
                            <w:t xml:space="preserve">Y </w:t>
                          </w:r>
                          <w:r>
                            <w:rPr>
                              <w:i/>
                              <w:iCs/>
                            </w:rPr>
                            <w:t>PREVOTELLA,</w:t>
                          </w:r>
                          <w:r>
                            <w:t xml:space="preserve"> INFECCIONES</w:t>
                          </w:r>
                        </w:p>
                      </w:txbxContent>
                    </wps:txbx>
                    <wps:bodyPr lIns="0" tIns="0" rIns="0" bIns="0">
                      <a:spAutoFit/>
                    </wps:bodyPr>
                  </wps:wsp>
                </a:graphicData>
              </a:graphic>
            </wp:anchor>
          </w:drawing>
        </mc:Choice>
        <mc:Fallback>
          <w:pict>
            <v:shapetype w14:anchorId="4ADE549F" id="_x0000_t202" coordsize="21600,21600" o:spt="202" path="m,l,21600r21600,l21600,xe">
              <v:stroke joinstyle="miter"/>
              <v:path gradientshapeok="t" o:connecttype="rect"/>
            </v:shapetype>
            <v:shape id="Shape 544" o:spid="_x0000_s1062" type="#_x0000_t202" style="position:absolute;margin-left:41.85pt;margin-top:24.15pt;width:247.7pt;height:6.25pt;z-index:-2514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" filled="f" stroked="f">
              <v:textbox style="mso-fit-shape-to-text:t" inset="0,0,0,0">
                <w:txbxContent>
                  <w:p w14:paraId="48197F24" w14:textId="77777777" w:rsidR="00093A32" w:rsidRDefault="00093A32">
                    <w:pPr>
                      <w:pStyle w:val="Headerorfooter0"/>
                      <w:tabs>
                        <w:tab w:val="right" w:pos="4954"/>
                      </w:tabs>
                    </w:pPr>
                    <w:r>
                      <w:rPr>
                        <w:sz w:val="16"/>
                        <w:szCs w:val="16"/>
                      </w:rPr>
                      <w:t>230</w:t>
                    </w:r>
                    <w:r>
                      <w:rPr>
                        <w:sz w:val="16"/>
                        <w:szCs w:val="16"/>
                      </w:rPr>
                      <w:tab/>
                    </w:r>
                    <w:r>
                      <w:rPr>
                        <w:i/>
                        <w:iCs/>
                      </w:rPr>
                      <w:t>BACTEROIDES</w:t>
                    </w:r>
                    <w:r>
                      <w:t xml:space="preserve">Y </w:t>
                    </w:r>
                    <w:r>
                      <w:rPr>
                        <w:i/>
                        <w:iCs/>
                      </w:rPr>
                      <w:t>PREVOTELLA,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02EC44C9" wp14:editId="3D177317">
              <wp:simplePos x="0" y="0"/>
              <wp:positionH relativeFrom="page">
                <wp:posOffset>516255</wp:posOffset>
              </wp:positionH>
              <wp:positionV relativeFrom="page">
                <wp:posOffset>414655</wp:posOffset>
              </wp:positionV>
              <wp:extent cx="4358640" cy="0"/>
              <wp:effectExtent l="0" t="0" r="0" b="0"/>
              <wp:wrapNone/>
              <wp:docPr id="546" name="Shape 5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52F0281" id="_x0000_t32" coordsize="21600,21600" o:spt="32" o:oned="t" path="m,l21600,21600e" filled="f">
              <v:path arrowok="t" fillok="f" o:connecttype="none"/>
              <o:lock v:ext="edit" shapetype="t"/>
            </v:shapetype>
            <v:shape id="Shape 546" o:spid="_x0000_s1026" type="#_x0000_t32" style="position:absolute;margin-left:40.65pt;margin-top:32.65pt;width:343.2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05E6" w14:textId="77777777" w:rsidR="00093A32" w:rsidRDefault="00093A32">
    <w:pPr>
      <w:spacing w:line="1" w:lineRule="exact"/>
    </w:pPr>
    <w:r>
      <w:rPr>
        <w:noProof/>
      </w:rPr>
      <mc:AlternateContent>
        <mc:Choice Requires="wps">
          <w:drawing>
            <wp:anchor distT="0" distB="0" distL="0" distR="0" simplePos="0" relativeHeight="251916288" behindDoc="1" locked="0" layoutInCell="1" allowOverlap="1" wp14:anchorId="47A7094E" wp14:editId="6E1CDEE8">
              <wp:simplePos x="0" y="0"/>
              <wp:positionH relativeFrom="page">
                <wp:posOffset>2152650</wp:posOffset>
              </wp:positionH>
              <wp:positionV relativeFrom="page">
                <wp:posOffset>306705</wp:posOffset>
              </wp:positionV>
              <wp:extent cx="2700655" cy="79375"/>
              <wp:effectExtent l="0" t="0" r="0" b="0"/>
              <wp:wrapNone/>
              <wp:docPr id="550" name="Shape 550"/>
              <wp:cNvGraphicFramePr/>
              <a:graphic xmlns:a="http://schemas.openxmlformats.org/drawingml/2006/main">
                <a:graphicData uri="http://schemas.microsoft.com/office/word/2010/wordprocessingShape">
                  <wps:wsp>
                    <wps:cNvSpPr txBox="1"/>
                    <wps:spPr>
                      <a:xfrm>
                        <a:off x="0" y="0"/>
                        <a:ext cx="2700655" cy="79375"/>
                      </a:xfrm>
                      <a:prstGeom prst="rect">
                        <a:avLst/>
                      </a:prstGeom>
                      <a:noFill/>
                    </wps:spPr>
                    <wps:txbx>
                      <w:txbxContent>
                        <w:p w14:paraId="53AA1E9D" w14:textId="77777777" w:rsidR="00093A32" w:rsidRDefault="00093A32">
                          <w:pPr>
                            <w:pStyle w:val="Headerorfooter0"/>
                            <w:tabs>
                              <w:tab w:val="right" w:pos="4253"/>
                            </w:tabs>
                            <w:rPr>
                              <w:sz w:val="16"/>
                              <w:szCs w:val="16"/>
                            </w:rPr>
                          </w:pPr>
                          <w:r>
                            <w:t>BACTERIANA, VAGINOSIS</w:t>
                          </w:r>
                          <w:r>
                            <w:tab/>
                          </w:r>
                          <w:r>
                            <w:rPr>
                              <w:sz w:val="16"/>
                              <w:szCs w:val="16"/>
                            </w:rPr>
                            <w:t>229</w:t>
                          </w:r>
                        </w:p>
                      </w:txbxContent>
                    </wps:txbx>
                    <wps:bodyPr lIns="0" tIns="0" rIns="0" bIns="0">
                      <a:spAutoFit/>
                    </wps:bodyPr>
                  </wps:wsp>
                </a:graphicData>
              </a:graphic>
            </wp:anchor>
          </w:drawing>
        </mc:Choice>
        <mc:Fallback>
          <w:pict>
            <v:shapetype w14:anchorId="47A7094E" id="_x0000_t202" coordsize="21600,21600" o:spt="202" path="m,l,21600r21600,l21600,xe">
              <v:stroke joinstyle="miter"/>
              <v:path gradientshapeok="t" o:connecttype="rect"/>
            </v:shapetype>
            <v:shape id="Shape 550" o:spid="_x0000_s1063" type="#_x0000_t202" style="position:absolute;margin-left:169.5pt;margin-top:24.15pt;width:212.65pt;height:6.25pt;z-index:-251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" filled="f" stroked="f">
              <v:textbox style="mso-fit-shape-to-text:t" inset="0,0,0,0">
                <w:txbxContent>
                  <w:p w14:paraId="53AA1E9D" w14:textId="77777777" w:rsidR="00093A32" w:rsidRDefault="00093A32">
                    <w:pPr>
                      <w:pStyle w:val="Headerorfooter0"/>
                      <w:tabs>
                        <w:tab w:val="right" w:pos="4253"/>
                      </w:tabs>
                      <w:rPr>
                        <w:sz w:val="16"/>
                        <w:szCs w:val="16"/>
                      </w:rPr>
                    </w:pPr>
                    <w:r>
                      <w:t>BACTERIANA, VAGINOSIS</w:t>
                    </w:r>
                    <w:r>
                      <w:tab/>
                    </w:r>
                    <w:r>
                      <w:rPr>
                        <w:sz w:val="16"/>
                        <w:szCs w:val="16"/>
                      </w:rPr>
                      <w:t>229</w:t>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64A067DC" wp14:editId="78BD4D3E">
              <wp:simplePos x="0" y="0"/>
              <wp:positionH relativeFrom="page">
                <wp:posOffset>516255</wp:posOffset>
              </wp:positionH>
              <wp:positionV relativeFrom="page">
                <wp:posOffset>414655</wp:posOffset>
              </wp:positionV>
              <wp:extent cx="4358640" cy="0"/>
              <wp:effectExtent l="0" t="0" r="0" b="0"/>
              <wp:wrapNone/>
              <wp:docPr id="552" name="Shape 5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8950589" id="_x0000_t32" coordsize="21600,21600" o:spt="32" o:oned="t" path="m,l21600,21600e" filled="f">
              <v:path arrowok="t" fillok="f" o:connecttype="none"/>
              <o:lock v:ext="edit" shapetype="t"/>
            </v:shapetype>
            <v:shape id="Shape 552" o:spid="_x0000_s1026" type="#_x0000_t32" style="position:absolute;margin-left:40.65pt;margin-top:32.65pt;width:343.2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B808" w14:textId="77777777" w:rsidR="00093A32" w:rsidRDefault="00093A32">
    <w:pPr>
      <w:spacing w:line="1" w:lineRule="exact"/>
    </w:pPr>
    <w:r>
      <w:rPr>
        <w:noProof/>
      </w:rPr>
      <mc:AlternateContent>
        <mc:Choice Requires="wps">
          <w:drawing>
            <wp:anchor distT="0" distB="0" distL="0" distR="0" simplePos="0" relativeHeight="251918336" behindDoc="1" locked="0" layoutInCell="1" allowOverlap="1" wp14:anchorId="11493A10" wp14:editId="41453913">
              <wp:simplePos x="0" y="0"/>
              <wp:positionH relativeFrom="page">
                <wp:posOffset>1581150</wp:posOffset>
              </wp:positionH>
              <wp:positionV relativeFrom="page">
                <wp:posOffset>300355</wp:posOffset>
              </wp:positionV>
              <wp:extent cx="3258185" cy="85090"/>
              <wp:effectExtent l="0" t="0" r="0" b="0"/>
              <wp:wrapNone/>
              <wp:docPr id="556" name="Shape 556"/>
              <wp:cNvGraphicFramePr/>
              <a:graphic xmlns:a="http://schemas.openxmlformats.org/drawingml/2006/main">
                <a:graphicData uri="http://schemas.microsoft.com/office/word/2010/wordprocessingShape">
                  <wps:wsp>
                    <wps:cNvSpPr txBox="1"/>
                    <wps:spPr>
                      <a:xfrm>
                        <a:off x="0" y="0"/>
                        <a:ext cx="3258185" cy="85090"/>
                      </a:xfrm>
                      <a:prstGeom prst="rect">
                        <a:avLst/>
                      </a:prstGeom>
                      <a:noFill/>
                    </wps:spPr>
                    <wps:txbx>
                      <w:txbxContent>
                        <w:p w14:paraId="0AA736AB" w14:textId="77777777" w:rsidR="00093A32" w:rsidRDefault="00093A32">
                          <w:pPr>
                            <w:pStyle w:val="Headerorfooter0"/>
                            <w:tabs>
                              <w:tab w:val="right" w:pos="5131"/>
                            </w:tabs>
                            <w:rPr>
                              <w:sz w:val="16"/>
                              <w:szCs w:val="16"/>
                            </w:rPr>
                          </w:pPr>
                          <w:r>
                            <w:rPr>
                              <w:i/>
                              <w:iCs/>
                            </w:rPr>
                            <w:t>BALANTIDIUM COLI,</w:t>
                          </w:r>
                          <w:r>
                            <w:t xml:space="preserve"> INFECCIONES (BALANTIDIASIS)</w:t>
                          </w:r>
                          <w:r>
                            <w:tab/>
                          </w:r>
                          <w:r>
                            <w:rPr>
                              <w:sz w:val="16"/>
                              <w:szCs w:val="16"/>
                            </w:rPr>
                            <w:t>231</w:t>
                          </w:r>
                        </w:p>
                      </w:txbxContent>
                    </wps:txbx>
                    <wps:bodyPr lIns="0" tIns="0" rIns="0" bIns="0">
                      <a:spAutoFit/>
                    </wps:bodyPr>
                  </wps:wsp>
                </a:graphicData>
              </a:graphic>
            </wp:anchor>
          </w:drawing>
        </mc:Choice>
        <mc:Fallback>
          <w:pict>
            <v:shapetype w14:anchorId="11493A10" id="_x0000_t202" coordsize="21600,21600" o:spt="202" path="m,l,21600r21600,l21600,xe">
              <v:stroke joinstyle="miter"/>
              <v:path gradientshapeok="t" o:connecttype="rect"/>
            </v:shapetype>
            <v:shape id="Shape 556" o:spid="_x0000_s1064" type="#_x0000_t202" style="position:absolute;margin-left:124.5pt;margin-top:23.65pt;width:256.55pt;height:6.7pt;z-index:-2513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" filled="f" stroked="f">
              <v:textbox style="mso-fit-shape-to-text:t" inset="0,0,0,0">
                <w:txbxContent>
                  <w:p w14:paraId="0AA736AB" w14:textId="77777777" w:rsidR="00093A32" w:rsidRDefault="00093A32">
                    <w:pPr>
                      <w:pStyle w:val="Headerorfooter0"/>
                      <w:tabs>
                        <w:tab w:val="right" w:pos="5131"/>
                      </w:tabs>
                      <w:rPr>
                        <w:sz w:val="16"/>
                        <w:szCs w:val="16"/>
                      </w:rPr>
                    </w:pPr>
                    <w:r>
                      <w:rPr>
                        <w:i/>
                        <w:iCs/>
                      </w:rPr>
                      <w:t>BALANTIDIUM COLI,</w:t>
                    </w:r>
                    <w:r>
                      <w:t xml:space="preserve"> INFECCIONES (BALANTIDIASIS)</w:t>
                    </w:r>
                    <w:r>
                      <w:tab/>
                    </w:r>
                    <w:r>
                      <w:rPr>
                        <w:sz w:val="16"/>
                        <w:szCs w:val="16"/>
                      </w:rPr>
                      <w:t>231</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17AB6FC3" wp14:editId="26EB47DC">
              <wp:simplePos x="0" y="0"/>
              <wp:positionH relativeFrom="page">
                <wp:posOffset>517525</wp:posOffset>
              </wp:positionH>
              <wp:positionV relativeFrom="page">
                <wp:posOffset>408940</wp:posOffset>
              </wp:positionV>
              <wp:extent cx="4358640" cy="0"/>
              <wp:effectExtent l="0" t="0" r="0" b="0"/>
              <wp:wrapNone/>
              <wp:docPr id="558" name="Shape 55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ABF331B" id="_x0000_t32" coordsize="21600,21600" o:spt="32" o:oned="t" path="m,l21600,21600e" filled="f">
              <v:path arrowok="t" fillok="f" o:connecttype="none"/>
              <o:lock v:ext="edit" shapetype="t"/>
            </v:shapetype>
            <v:shape id="Shape 558" o:spid="_x0000_s1026" type="#_x0000_t32" style="position:absolute;margin-left:40.75pt;margin-top:32.2pt;width:343.2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01C0" w14:textId="77777777" w:rsidR="00093A32" w:rsidRDefault="00093A32">
    <w:pPr>
      <w:spacing w:line="1" w:lineRule="exact"/>
    </w:pPr>
    <w:r>
      <w:rPr>
        <w:noProof/>
      </w:rPr>
      <mc:AlternateContent>
        <mc:Choice Requires="wps">
          <w:drawing>
            <wp:anchor distT="0" distB="0" distL="0" distR="0" simplePos="0" relativeHeight="251917312" behindDoc="1" locked="0" layoutInCell="1" allowOverlap="1" wp14:anchorId="2B30895B" wp14:editId="00123803">
              <wp:simplePos x="0" y="0"/>
              <wp:positionH relativeFrom="page">
                <wp:posOffset>1581150</wp:posOffset>
              </wp:positionH>
              <wp:positionV relativeFrom="page">
                <wp:posOffset>300355</wp:posOffset>
              </wp:positionV>
              <wp:extent cx="3258185" cy="85090"/>
              <wp:effectExtent l="0" t="0" r="0" b="0"/>
              <wp:wrapNone/>
              <wp:docPr id="553" name="Shape 553"/>
              <wp:cNvGraphicFramePr/>
              <a:graphic xmlns:a="http://schemas.openxmlformats.org/drawingml/2006/main">
                <a:graphicData uri="http://schemas.microsoft.com/office/word/2010/wordprocessingShape">
                  <wps:wsp>
                    <wps:cNvSpPr txBox="1"/>
                    <wps:spPr>
                      <a:xfrm>
                        <a:off x="0" y="0"/>
                        <a:ext cx="3258185" cy="85090"/>
                      </a:xfrm>
                      <a:prstGeom prst="rect">
                        <a:avLst/>
                      </a:prstGeom>
                      <a:noFill/>
                    </wps:spPr>
                    <wps:txbx>
                      <w:txbxContent>
                        <w:p w14:paraId="42F68757" w14:textId="77777777" w:rsidR="00093A32" w:rsidRDefault="00093A32">
                          <w:pPr>
                            <w:pStyle w:val="Headerorfooter0"/>
                            <w:tabs>
                              <w:tab w:val="right" w:pos="5131"/>
                            </w:tabs>
                            <w:rPr>
                              <w:sz w:val="16"/>
                              <w:szCs w:val="16"/>
                            </w:rPr>
                          </w:pPr>
                          <w:r>
                            <w:rPr>
                              <w:i/>
                              <w:iCs/>
                            </w:rPr>
                            <w:t>BALANTIDIUM COLI,</w:t>
                          </w:r>
                          <w:r>
                            <w:t xml:space="preserve"> INFECCIONES (BALANTIDIASIS)</w:t>
                          </w:r>
                          <w:r>
                            <w:tab/>
                          </w:r>
                          <w:r>
                            <w:rPr>
                              <w:sz w:val="16"/>
                              <w:szCs w:val="16"/>
                            </w:rPr>
                            <w:t>231</w:t>
                          </w:r>
                        </w:p>
                      </w:txbxContent>
                    </wps:txbx>
                    <wps:bodyPr lIns="0" tIns="0" rIns="0" bIns="0">
                      <a:spAutoFit/>
                    </wps:bodyPr>
                  </wps:wsp>
                </a:graphicData>
              </a:graphic>
            </wp:anchor>
          </w:drawing>
        </mc:Choice>
        <mc:Fallback>
          <w:pict>
            <v:shapetype w14:anchorId="2B30895B" id="_x0000_t202" coordsize="21600,21600" o:spt="202" path="m,l,21600r21600,l21600,xe">
              <v:stroke joinstyle="miter"/>
              <v:path gradientshapeok="t" o:connecttype="rect"/>
            </v:shapetype>
            <v:shape id="Shape 553" o:spid="_x0000_s1065" type="#_x0000_t202" style="position:absolute;margin-left:124.5pt;margin-top:23.65pt;width:256.55pt;height:6.7pt;z-index:-2513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" filled="f" stroked="f">
              <v:textbox style="mso-fit-shape-to-text:t" inset="0,0,0,0">
                <w:txbxContent>
                  <w:p w14:paraId="42F68757" w14:textId="77777777" w:rsidR="00093A32" w:rsidRDefault="00093A32">
                    <w:pPr>
                      <w:pStyle w:val="Headerorfooter0"/>
                      <w:tabs>
                        <w:tab w:val="right" w:pos="5131"/>
                      </w:tabs>
                      <w:rPr>
                        <w:sz w:val="16"/>
                        <w:szCs w:val="16"/>
                      </w:rPr>
                    </w:pPr>
                    <w:r>
                      <w:rPr>
                        <w:i/>
                        <w:iCs/>
                      </w:rPr>
                      <w:t>BALANTIDIUM COLI,</w:t>
                    </w:r>
                    <w:r>
                      <w:t xml:space="preserve"> INFECCIONES (BALANTIDIASIS)</w:t>
                    </w:r>
                    <w:r>
                      <w:tab/>
                    </w:r>
                    <w:r>
                      <w:rPr>
                        <w:sz w:val="16"/>
                        <w:szCs w:val="16"/>
                      </w:rPr>
                      <w:t>231</w:t>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55FB774C" wp14:editId="2B1C7EE5">
              <wp:simplePos x="0" y="0"/>
              <wp:positionH relativeFrom="page">
                <wp:posOffset>517525</wp:posOffset>
              </wp:positionH>
              <wp:positionV relativeFrom="page">
                <wp:posOffset>408940</wp:posOffset>
              </wp:positionV>
              <wp:extent cx="4358640" cy="0"/>
              <wp:effectExtent l="0" t="0" r="0" b="0"/>
              <wp:wrapNone/>
              <wp:docPr id="555" name="Shape 55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7F7BD67" id="_x0000_t32" coordsize="21600,21600" o:spt="32" o:oned="t" path="m,l21600,21600e" filled="f">
              <v:path arrowok="t" fillok="f" o:connecttype="none"/>
              <o:lock v:ext="edit" shapetype="t"/>
            </v:shapetype>
            <v:shape id="Shape 555" o:spid="_x0000_s1026" type="#_x0000_t32" style="position:absolute;margin-left:40.75pt;margin-top:32.2pt;width:343.2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" strokeweight="1p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4A15" w14:textId="77777777" w:rsidR="00093A32" w:rsidRDefault="00093A32">
    <w:pPr>
      <w:spacing w:line="1" w:lineRule="exact"/>
    </w:pPr>
    <w:r>
      <w:rPr>
        <w:noProof/>
      </w:rPr>
      <mc:AlternateContent>
        <mc:Choice Requires="wps">
          <w:drawing>
            <wp:anchor distT="0" distB="0" distL="0" distR="0" simplePos="0" relativeHeight="251920384" behindDoc="1" locked="0" layoutInCell="1" allowOverlap="1" wp14:anchorId="7F3CE7F6" wp14:editId="5E9BC13A">
              <wp:simplePos x="0" y="0"/>
              <wp:positionH relativeFrom="page">
                <wp:posOffset>528320</wp:posOffset>
              </wp:positionH>
              <wp:positionV relativeFrom="page">
                <wp:posOffset>306705</wp:posOffset>
              </wp:positionV>
              <wp:extent cx="3026410" cy="79375"/>
              <wp:effectExtent l="0" t="0" r="0" b="0"/>
              <wp:wrapNone/>
              <wp:docPr id="562" name="Shape 562"/>
              <wp:cNvGraphicFramePr/>
              <a:graphic xmlns:a="http://schemas.openxmlformats.org/drawingml/2006/main">
                <a:graphicData uri="http://schemas.microsoft.com/office/word/2010/wordprocessingShape">
                  <wps:wsp>
                    <wps:cNvSpPr txBox="1"/>
                    <wps:spPr>
                      <a:xfrm>
                        <a:off x="0" y="0"/>
                        <a:ext cx="3026410" cy="79375"/>
                      </a:xfrm>
                      <a:prstGeom prst="rect">
                        <a:avLst/>
                      </a:prstGeom>
                      <a:noFill/>
                    </wps:spPr>
                    <wps:txbx>
                      <w:txbxContent>
                        <w:p w14:paraId="18E8634C" w14:textId="77777777" w:rsidR="00093A32" w:rsidRDefault="00093A32">
                          <w:pPr>
                            <w:pStyle w:val="Headerorfooter0"/>
                            <w:tabs>
                              <w:tab w:val="right" w:pos="4766"/>
                            </w:tabs>
                          </w:pPr>
                          <w:r>
                            <w:rPr>
                              <w:sz w:val="16"/>
                              <w:szCs w:val="16"/>
                            </w:rPr>
                            <w:t>232</w:t>
                          </w:r>
                          <w:r>
                            <w:rPr>
                              <w:sz w:val="16"/>
                              <w:szCs w:val="16"/>
                            </w:rPr>
                            <w:tab/>
                          </w:r>
                          <w:r>
                            <w:rPr>
                              <w:i/>
                              <w:iCs/>
                            </w:rPr>
                            <w:t>BLASTOCYSTIS HOMINIS,</w:t>
                          </w:r>
                          <w:r>
                            <w:t xml:space="preserve"> INFECCIONES</w:t>
                          </w:r>
                        </w:p>
                      </w:txbxContent>
                    </wps:txbx>
                    <wps:bodyPr lIns="0" tIns="0" rIns="0" bIns="0">
                      <a:spAutoFit/>
                    </wps:bodyPr>
                  </wps:wsp>
                </a:graphicData>
              </a:graphic>
            </wp:anchor>
          </w:drawing>
        </mc:Choice>
        <mc:Fallback>
          <w:pict>
            <v:shapetype w14:anchorId="7F3CE7F6" id="_x0000_t202" coordsize="21600,21600" o:spt="202" path="m,l,21600r21600,l21600,xe">
              <v:stroke joinstyle="miter"/>
              <v:path gradientshapeok="t" o:connecttype="rect"/>
            </v:shapetype>
            <v:shape id="Shape 562" o:spid="_x0000_s1066" type="#_x0000_t202" style="position:absolute;margin-left:41.6pt;margin-top:24.15pt;width:238.3pt;height:6.25pt;z-index:-251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Z0fgEAAPs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" filled="f" stroked="f">
              <v:textbox style="mso-fit-shape-to-text:t" inset="0,0,0,0">
                <w:txbxContent>
                  <w:p w14:paraId="18E8634C" w14:textId="77777777" w:rsidR="00093A32" w:rsidRDefault="00093A32">
                    <w:pPr>
                      <w:pStyle w:val="Headerorfooter0"/>
                      <w:tabs>
                        <w:tab w:val="right" w:pos="4766"/>
                      </w:tabs>
                    </w:pPr>
                    <w:r>
                      <w:rPr>
                        <w:sz w:val="16"/>
                        <w:szCs w:val="16"/>
                      </w:rPr>
                      <w:t>232</w:t>
                    </w:r>
                    <w:r>
                      <w:rPr>
                        <w:sz w:val="16"/>
                        <w:szCs w:val="16"/>
                      </w:rPr>
                      <w:tab/>
                    </w:r>
                    <w:r>
                      <w:rPr>
                        <w:i/>
                        <w:iCs/>
                      </w:rPr>
                      <w:t>BLASTOCYSTIS HOMINIS,</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1850A776" wp14:editId="69352817">
              <wp:simplePos x="0" y="0"/>
              <wp:positionH relativeFrom="page">
                <wp:posOffset>513080</wp:posOffset>
              </wp:positionH>
              <wp:positionV relativeFrom="page">
                <wp:posOffset>414655</wp:posOffset>
              </wp:positionV>
              <wp:extent cx="4358640" cy="0"/>
              <wp:effectExtent l="0" t="0" r="0" b="0"/>
              <wp:wrapNone/>
              <wp:docPr id="564" name="Shape 56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6F823A" id="_x0000_t32" coordsize="21600,21600" o:spt="32" o:oned="t" path="m,l21600,21600e" filled="f">
              <v:path arrowok="t" fillok="f" o:connecttype="none"/>
              <o:lock v:ext="edit" shapetype="t"/>
            </v:shapetype>
            <v:shape id="Shape 564" o:spid="_x0000_s1026" type="#_x0000_t32" style="position:absolute;margin-left:40.4pt;margin-top:32.65pt;width:343.2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7BB9" w14:textId="77777777" w:rsidR="00093A32" w:rsidRDefault="00093A32">
    <w:pPr>
      <w:spacing w:line="1" w:lineRule="exact"/>
    </w:pPr>
    <w:r>
      <w:rPr>
        <w:noProof/>
      </w:rPr>
      <mc:AlternateContent>
        <mc:Choice Requires="wps">
          <w:drawing>
            <wp:anchor distT="0" distB="0" distL="0" distR="0" simplePos="0" relativeHeight="251919360" behindDoc="1" locked="0" layoutInCell="1" allowOverlap="1" wp14:anchorId="374FEC79" wp14:editId="102FA9F0">
              <wp:simplePos x="0" y="0"/>
              <wp:positionH relativeFrom="page">
                <wp:posOffset>528320</wp:posOffset>
              </wp:positionH>
              <wp:positionV relativeFrom="page">
                <wp:posOffset>306705</wp:posOffset>
              </wp:positionV>
              <wp:extent cx="3026410" cy="79375"/>
              <wp:effectExtent l="0" t="0" r="0" b="0"/>
              <wp:wrapNone/>
              <wp:docPr id="559" name="Shape 559"/>
              <wp:cNvGraphicFramePr/>
              <a:graphic xmlns:a="http://schemas.openxmlformats.org/drawingml/2006/main">
                <a:graphicData uri="http://schemas.microsoft.com/office/word/2010/wordprocessingShape">
                  <wps:wsp>
                    <wps:cNvSpPr txBox="1"/>
                    <wps:spPr>
                      <a:xfrm>
                        <a:off x="0" y="0"/>
                        <a:ext cx="3026410" cy="79375"/>
                      </a:xfrm>
                      <a:prstGeom prst="rect">
                        <a:avLst/>
                      </a:prstGeom>
                      <a:noFill/>
                    </wps:spPr>
                    <wps:txbx>
                      <w:txbxContent>
                        <w:p w14:paraId="039BEA19" w14:textId="77777777" w:rsidR="00093A32" w:rsidRDefault="00093A32">
                          <w:pPr>
                            <w:pStyle w:val="Headerorfooter0"/>
                            <w:tabs>
                              <w:tab w:val="right" w:pos="4766"/>
                            </w:tabs>
                          </w:pPr>
                          <w:r>
                            <w:rPr>
                              <w:sz w:val="16"/>
                              <w:szCs w:val="16"/>
                            </w:rPr>
                            <w:t>232</w:t>
                          </w:r>
                          <w:r>
                            <w:rPr>
                              <w:sz w:val="16"/>
                              <w:szCs w:val="16"/>
                            </w:rPr>
                            <w:tab/>
                          </w:r>
                          <w:r>
                            <w:rPr>
                              <w:i/>
                              <w:iCs/>
                            </w:rPr>
                            <w:t>BLASTOCYSTIS HOMINIS,</w:t>
                          </w:r>
                          <w:r>
                            <w:t xml:space="preserve"> INFECCIONES</w:t>
                          </w:r>
                        </w:p>
                      </w:txbxContent>
                    </wps:txbx>
                    <wps:bodyPr lIns="0" tIns="0" rIns="0" bIns="0">
                      <a:spAutoFit/>
                    </wps:bodyPr>
                  </wps:wsp>
                </a:graphicData>
              </a:graphic>
            </wp:anchor>
          </w:drawing>
        </mc:Choice>
        <mc:Fallback>
          <w:pict>
            <v:shapetype w14:anchorId="374FEC79" id="_x0000_t202" coordsize="21600,21600" o:spt="202" path="m,l,21600r21600,l21600,xe">
              <v:stroke joinstyle="miter"/>
              <v:path gradientshapeok="t" o:connecttype="rect"/>
            </v:shapetype>
            <v:shape id="Shape 559" o:spid="_x0000_s1067" type="#_x0000_t202" style="position:absolute;margin-left:41.6pt;margin-top:24.15pt;width:238.3pt;height:6.25pt;z-index:-2513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" filled="f" stroked="f">
              <v:textbox style="mso-fit-shape-to-text:t" inset="0,0,0,0">
                <w:txbxContent>
                  <w:p w14:paraId="039BEA19" w14:textId="77777777" w:rsidR="00093A32" w:rsidRDefault="00093A32">
                    <w:pPr>
                      <w:pStyle w:val="Headerorfooter0"/>
                      <w:tabs>
                        <w:tab w:val="right" w:pos="4766"/>
                      </w:tabs>
                    </w:pPr>
                    <w:r>
                      <w:rPr>
                        <w:sz w:val="16"/>
                        <w:szCs w:val="16"/>
                      </w:rPr>
                      <w:t>232</w:t>
                    </w:r>
                    <w:r>
                      <w:rPr>
                        <w:sz w:val="16"/>
                        <w:szCs w:val="16"/>
                      </w:rPr>
                      <w:tab/>
                    </w:r>
                    <w:r>
                      <w:rPr>
                        <w:i/>
                        <w:iCs/>
                      </w:rPr>
                      <w:t>BLASTOCYSTIS HOMINIS,</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0F9716B6" wp14:editId="324EF246">
              <wp:simplePos x="0" y="0"/>
              <wp:positionH relativeFrom="page">
                <wp:posOffset>513080</wp:posOffset>
              </wp:positionH>
              <wp:positionV relativeFrom="page">
                <wp:posOffset>414655</wp:posOffset>
              </wp:positionV>
              <wp:extent cx="4358640" cy="0"/>
              <wp:effectExtent l="0" t="0" r="0" b="0"/>
              <wp:wrapNone/>
              <wp:docPr id="561" name="Shape 56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513D74" id="_x0000_t32" coordsize="21600,21600" o:spt="32" o:oned="t" path="m,l21600,21600e" filled="f">
              <v:path arrowok="t" fillok="f" o:connecttype="none"/>
              <o:lock v:ext="edit" shapetype="t"/>
            </v:shapetype>
            <v:shape id="Shape 561" o:spid="_x0000_s1026" type="#_x0000_t32" style="position:absolute;margin-left:40.4pt;margin-top:32.65pt;width:343.2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0627" w14:textId="77777777" w:rsidR="00093A32" w:rsidRDefault="00093A32">
    <w:pPr>
      <w:spacing w:line="1" w:lineRule="exact"/>
    </w:pPr>
    <w:r>
      <w:rPr>
        <w:noProof/>
      </w:rPr>
      <mc:AlternateContent>
        <mc:Choice Requires="wps">
          <w:drawing>
            <wp:anchor distT="0" distB="0" distL="0" distR="0" simplePos="0" relativeHeight="251922432" behindDoc="1" locked="0" layoutInCell="1" allowOverlap="1" wp14:anchorId="19B13D13" wp14:editId="3F80CCFB">
              <wp:simplePos x="0" y="0"/>
              <wp:positionH relativeFrom="page">
                <wp:posOffset>2343150</wp:posOffset>
              </wp:positionH>
              <wp:positionV relativeFrom="page">
                <wp:posOffset>315595</wp:posOffset>
              </wp:positionV>
              <wp:extent cx="2514600" cy="69850"/>
              <wp:effectExtent l="0" t="0" r="0" b="0"/>
              <wp:wrapNone/>
              <wp:docPr id="568" name="Shape 568"/>
              <wp:cNvGraphicFramePr/>
              <a:graphic xmlns:a="http://schemas.openxmlformats.org/drawingml/2006/main">
                <a:graphicData uri="http://schemas.microsoft.com/office/word/2010/wordprocessingShape">
                  <wps:wsp>
                    <wps:cNvSpPr txBox="1"/>
                    <wps:spPr>
                      <a:xfrm>
                        <a:off x="0" y="0"/>
                        <a:ext cx="2514600" cy="69850"/>
                      </a:xfrm>
                      <a:prstGeom prst="rect">
                        <a:avLst/>
                      </a:prstGeom>
                      <a:noFill/>
                    </wps:spPr>
                    <wps:txbx>
                      <w:txbxContent>
                        <w:p w14:paraId="686DE108" w14:textId="77777777" w:rsidR="00093A32" w:rsidRDefault="00093A32">
                          <w:pPr>
                            <w:pStyle w:val="Headerorfooter0"/>
                            <w:tabs>
                              <w:tab w:val="right" w:pos="3960"/>
                            </w:tabs>
                            <w:rPr>
                              <w:sz w:val="16"/>
                              <w:szCs w:val="16"/>
                            </w:rPr>
                          </w:pPr>
                          <w:r>
                            <w:t>BLASTOMICOSIS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9B13D13" id="_x0000_t202" coordsize="21600,21600" o:spt="202" path="m,l,21600r21600,l21600,xe">
              <v:stroke joinstyle="miter"/>
              <v:path gradientshapeok="t" o:connecttype="rect"/>
            </v:shapetype>
            <v:shape id="Shape 568" o:spid="_x0000_s1068" type="#_x0000_t202" style="position:absolute;margin-left:184.5pt;margin-top:24.85pt;width:198pt;height:5.5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" filled="f" stroked="f">
              <v:textbox style="mso-fit-shape-to-text:t" inset="0,0,0,0">
                <w:txbxContent>
                  <w:p w14:paraId="686DE108" w14:textId="77777777" w:rsidR="00093A32" w:rsidRDefault="00093A32">
                    <w:pPr>
                      <w:pStyle w:val="Headerorfooter0"/>
                      <w:tabs>
                        <w:tab w:val="right" w:pos="3960"/>
                      </w:tabs>
                      <w:rPr>
                        <w:sz w:val="16"/>
                        <w:szCs w:val="16"/>
                      </w:rPr>
                    </w:pPr>
                    <w:r>
                      <w:t>BLASTOMICOSIS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4B44932C" wp14:editId="20CEDE98">
              <wp:simplePos x="0" y="0"/>
              <wp:positionH relativeFrom="page">
                <wp:posOffset>520700</wp:posOffset>
              </wp:positionH>
              <wp:positionV relativeFrom="page">
                <wp:posOffset>424180</wp:posOffset>
              </wp:positionV>
              <wp:extent cx="4358640" cy="0"/>
              <wp:effectExtent l="0" t="0" r="0" b="0"/>
              <wp:wrapNone/>
              <wp:docPr id="570" name="Shape 57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DF7E57" id="_x0000_t32" coordsize="21600,21600" o:spt="32" o:oned="t" path="m,l21600,21600e" filled="f">
              <v:path arrowok="t" fillok="f" o:connecttype="none"/>
              <o:lock v:ext="edit" shapetype="t"/>
            </v:shapetype>
            <v:shape id="Shape 570" o:spid="_x0000_s1026" type="#_x0000_t32" style="position:absolute;margin-left:41pt;margin-top:33.4pt;width:343.2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" strokeweight="1pt">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E703" w14:textId="77777777" w:rsidR="00093A32" w:rsidRDefault="00093A32">
    <w:pPr>
      <w:spacing w:line="1" w:lineRule="exact"/>
    </w:pPr>
    <w:r>
      <w:rPr>
        <w:noProof/>
      </w:rPr>
      <mc:AlternateContent>
        <mc:Choice Requires="wps">
          <w:drawing>
            <wp:anchor distT="0" distB="0" distL="0" distR="0" simplePos="0" relativeHeight="251921408" behindDoc="1" locked="0" layoutInCell="1" allowOverlap="1" wp14:anchorId="3B3E3E5E" wp14:editId="5DEB6B1F">
              <wp:simplePos x="0" y="0"/>
              <wp:positionH relativeFrom="page">
                <wp:posOffset>2343150</wp:posOffset>
              </wp:positionH>
              <wp:positionV relativeFrom="page">
                <wp:posOffset>315595</wp:posOffset>
              </wp:positionV>
              <wp:extent cx="2514600" cy="69850"/>
              <wp:effectExtent l="0" t="0" r="0" b="0"/>
              <wp:wrapNone/>
              <wp:docPr id="565" name="Shape 565"/>
              <wp:cNvGraphicFramePr/>
              <a:graphic xmlns:a="http://schemas.openxmlformats.org/drawingml/2006/main">
                <a:graphicData uri="http://schemas.microsoft.com/office/word/2010/wordprocessingShape">
                  <wps:wsp>
                    <wps:cNvSpPr txBox="1"/>
                    <wps:spPr>
                      <a:xfrm>
                        <a:off x="0" y="0"/>
                        <a:ext cx="2514600" cy="69850"/>
                      </a:xfrm>
                      <a:prstGeom prst="rect">
                        <a:avLst/>
                      </a:prstGeom>
                      <a:noFill/>
                    </wps:spPr>
                    <wps:txbx>
                      <w:txbxContent>
                        <w:p w14:paraId="06427E74" w14:textId="77777777" w:rsidR="00093A32" w:rsidRDefault="00093A32">
                          <w:pPr>
                            <w:pStyle w:val="Headerorfooter0"/>
                            <w:tabs>
                              <w:tab w:val="right" w:pos="3960"/>
                            </w:tabs>
                            <w:rPr>
                              <w:sz w:val="16"/>
                              <w:szCs w:val="16"/>
                            </w:rPr>
                          </w:pPr>
                          <w:r>
                            <w:t>BLASTOMICOSIS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B3E3E5E" id="_x0000_t202" coordsize="21600,21600" o:spt="202" path="m,l,21600r21600,l21600,xe">
              <v:stroke joinstyle="miter"/>
              <v:path gradientshapeok="t" o:connecttype="rect"/>
            </v:shapetype>
            <v:shape id="Shape 565" o:spid="_x0000_s1069" type="#_x0000_t202" style="position:absolute;margin-left:184.5pt;margin-top:24.85pt;width:198pt;height:5.5pt;z-index:-2513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9T7fwEAAPsCAAAOAAAAZHJzL2Uyb0RvYy54bWysUttOwzAMfUfiH6K8s3YTDK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" filled="f" stroked="f">
              <v:textbox style="mso-fit-shape-to-text:t" inset="0,0,0,0">
                <w:txbxContent>
                  <w:p w14:paraId="06427E74" w14:textId="77777777" w:rsidR="00093A32" w:rsidRDefault="00093A32">
                    <w:pPr>
                      <w:pStyle w:val="Headerorfooter0"/>
                      <w:tabs>
                        <w:tab w:val="right" w:pos="3960"/>
                      </w:tabs>
                      <w:rPr>
                        <w:sz w:val="16"/>
                        <w:szCs w:val="16"/>
                      </w:rPr>
                    </w:pPr>
                    <w:r>
                      <w:t>BLASTOMICOSIS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2B796F56" wp14:editId="6CB0FF5F">
              <wp:simplePos x="0" y="0"/>
              <wp:positionH relativeFrom="page">
                <wp:posOffset>520700</wp:posOffset>
              </wp:positionH>
              <wp:positionV relativeFrom="page">
                <wp:posOffset>424180</wp:posOffset>
              </wp:positionV>
              <wp:extent cx="4358640" cy="0"/>
              <wp:effectExtent l="0" t="0" r="0" b="0"/>
              <wp:wrapNone/>
              <wp:docPr id="567" name="Shape 5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F2B9F46" id="_x0000_t32" coordsize="21600,21600" o:spt="32" o:oned="t" path="m,l21600,21600e" filled="f">
              <v:path arrowok="t" fillok="f" o:connecttype="none"/>
              <o:lock v:ext="edit" shapetype="t"/>
            </v:shapetype>
            <v:shape id="Shape 567" o:spid="_x0000_s1026" type="#_x0000_t32" style="position:absolute;margin-left:41pt;margin-top:33.4pt;width:343.2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" strokeweight="1pt">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1C04" w14:textId="77777777" w:rsidR="00093A32" w:rsidRDefault="00093A32">
    <w:pPr>
      <w:spacing w:line="1" w:lineRule="exact"/>
    </w:pPr>
    <w:r>
      <w:rPr>
        <w:noProof/>
      </w:rPr>
      <mc:AlternateContent>
        <mc:Choice Requires="wps">
          <w:drawing>
            <wp:anchor distT="0" distB="0" distL="0" distR="0" simplePos="0" relativeHeight="251923456" behindDoc="1" locked="0" layoutInCell="1" allowOverlap="1" wp14:anchorId="5D41C424" wp14:editId="3F0E70D2">
              <wp:simplePos x="0" y="0"/>
              <wp:positionH relativeFrom="page">
                <wp:posOffset>528320</wp:posOffset>
              </wp:positionH>
              <wp:positionV relativeFrom="page">
                <wp:posOffset>306705</wp:posOffset>
              </wp:positionV>
              <wp:extent cx="3026410" cy="79375"/>
              <wp:effectExtent l="0" t="0" r="0" b="0"/>
              <wp:wrapNone/>
              <wp:docPr id="571" name="Shape 571"/>
              <wp:cNvGraphicFramePr/>
              <a:graphic xmlns:a="http://schemas.openxmlformats.org/drawingml/2006/main">
                <a:graphicData uri="http://schemas.microsoft.com/office/word/2010/wordprocessingShape">
                  <wps:wsp>
                    <wps:cNvSpPr txBox="1"/>
                    <wps:spPr>
                      <a:xfrm>
                        <a:off x="0" y="0"/>
                        <a:ext cx="3026410" cy="79375"/>
                      </a:xfrm>
                      <a:prstGeom prst="rect">
                        <a:avLst/>
                      </a:prstGeom>
                      <a:noFill/>
                    </wps:spPr>
                    <wps:txbx>
                      <w:txbxContent>
                        <w:p w14:paraId="6E401B85" w14:textId="77777777" w:rsidR="00093A32" w:rsidRDefault="00093A32">
                          <w:pPr>
                            <w:pStyle w:val="Headerorfooter0"/>
                            <w:tabs>
                              <w:tab w:val="right" w:pos="4766"/>
                            </w:tabs>
                          </w:pPr>
                          <w:r>
                            <w:rPr>
                              <w:sz w:val="16"/>
                              <w:szCs w:val="16"/>
                            </w:rPr>
                            <w:t>232</w:t>
                          </w:r>
                          <w:r>
                            <w:rPr>
                              <w:sz w:val="16"/>
                              <w:szCs w:val="16"/>
                            </w:rPr>
                            <w:tab/>
                          </w:r>
                          <w:r>
                            <w:rPr>
                              <w:i/>
                              <w:iCs/>
                            </w:rPr>
                            <w:t>BLASTOCYSTIS HOMINIS,</w:t>
                          </w:r>
                          <w:r>
                            <w:t xml:space="preserve"> INFECCIONES</w:t>
                          </w:r>
                        </w:p>
                      </w:txbxContent>
                    </wps:txbx>
                    <wps:bodyPr lIns="0" tIns="0" rIns="0" bIns="0">
                      <a:spAutoFit/>
                    </wps:bodyPr>
                  </wps:wsp>
                </a:graphicData>
              </a:graphic>
            </wp:anchor>
          </w:drawing>
        </mc:Choice>
        <mc:Fallback>
          <w:pict>
            <v:shapetype w14:anchorId="5D41C424" id="_x0000_t202" coordsize="21600,21600" o:spt="202" path="m,l,21600r21600,l21600,xe">
              <v:stroke joinstyle="miter"/>
              <v:path gradientshapeok="t" o:connecttype="rect"/>
            </v:shapetype>
            <v:shape id="Shape 571" o:spid="_x0000_s1070" type="#_x0000_t202" style="position:absolute;margin-left:41.6pt;margin-top:24.15pt;width:238.3pt;height:6.25pt;z-index:-2513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JsHfgEAAPs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" filled="f" stroked="f">
              <v:textbox style="mso-fit-shape-to-text:t" inset="0,0,0,0">
                <w:txbxContent>
                  <w:p w14:paraId="6E401B85" w14:textId="77777777" w:rsidR="00093A32" w:rsidRDefault="00093A32">
                    <w:pPr>
                      <w:pStyle w:val="Headerorfooter0"/>
                      <w:tabs>
                        <w:tab w:val="right" w:pos="4766"/>
                      </w:tabs>
                    </w:pPr>
                    <w:r>
                      <w:rPr>
                        <w:sz w:val="16"/>
                        <w:szCs w:val="16"/>
                      </w:rPr>
                      <w:t>232</w:t>
                    </w:r>
                    <w:r>
                      <w:rPr>
                        <w:sz w:val="16"/>
                        <w:szCs w:val="16"/>
                      </w:rPr>
                      <w:tab/>
                    </w:r>
                    <w:r>
                      <w:rPr>
                        <w:i/>
                        <w:iCs/>
                      </w:rPr>
                      <w:t>BLASTOCYSTIS HOMINIS,</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280AF6AA" wp14:editId="47A5B172">
              <wp:simplePos x="0" y="0"/>
              <wp:positionH relativeFrom="page">
                <wp:posOffset>513080</wp:posOffset>
              </wp:positionH>
              <wp:positionV relativeFrom="page">
                <wp:posOffset>414655</wp:posOffset>
              </wp:positionV>
              <wp:extent cx="4358640" cy="0"/>
              <wp:effectExtent l="0" t="0" r="0" b="0"/>
              <wp:wrapNone/>
              <wp:docPr id="573" name="Shape 57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583C5F" id="_x0000_t32" coordsize="21600,21600" o:spt="32" o:oned="t" path="m,l21600,21600e" filled="f">
              <v:path arrowok="t" fillok="f" o:connecttype="none"/>
              <o:lock v:ext="edit" shapetype="t"/>
            </v:shapetype>
            <v:shape id="Shape 573" o:spid="_x0000_s1026" type="#_x0000_t32" style="position:absolute;margin-left:40.4pt;margin-top:32.65pt;width:343.2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1605" w14:textId="77777777" w:rsidR="00093A32" w:rsidRDefault="00093A32">
    <w:pPr>
      <w:spacing w:line="1" w:lineRule="exact"/>
    </w:pPr>
    <w:r>
      <w:rPr>
        <w:noProof/>
      </w:rPr>
      <mc:AlternateContent>
        <mc:Choice Requires="wps">
          <w:drawing>
            <wp:anchor distT="0" distB="0" distL="0" distR="0" simplePos="0" relativeHeight="251925504" behindDoc="1" locked="0" layoutInCell="1" allowOverlap="1" wp14:anchorId="3A954C83" wp14:editId="0CA51F3A">
              <wp:simplePos x="0" y="0"/>
              <wp:positionH relativeFrom="page">
                <wp:posOffset>525145</wp:posOffset>
              </wp:positionH>
              <wp:positionV relativeFrom="page">
                <wp:posOffset>315595</wp:posOffset>
              </wp:positionV>
              <wp:extent cx="2459990" cy="69850"/>
              <wp:effectExtent l="0" t="0" r="0" b="0"/>
              <wp:wrapNone/>
              <wp:docPr id="577" name="Shape 577"/>
              <wp:cNvGraphicFramePr/>
              <a:graphic xmlns:a="http://schemas.openxmlformats.org/drawingml/2006/main">
                <a:graphicData uri="http://schemas.microsoft.com/office/word/2010/wordprocessingShape">
                  <wps:wsp>
                    <wps:cNvSpPr txBox="1"/>
                    <wps:spPr>
                      <a:xfrm>
                        <a:off x="0" y="0"/>
                        <a:ext cx="2459990" cy="69850"/>
                      </a:xfrm>
                      <a:prstGeom prst="rect">
                        <a:avLst/>
                      </a:prstGeom>
                      <a:noFill/>
                    </wps:spPr>
                    <wps:txbx>
                      <w:txbxContent>
                        <w:p w14:paraId="5DDB60AC" w14:textId="77777777" w:rsidR="00093A32" w:rsidRDefault="00093A32">
                          <w:pPr>
                            <w:pStyle w:val="Headerorfooter0"/>
                            <w:tabs>
                              <w:tab w:val="right" w:pos="3874"/>
                            </w:tabs>
                          </w:pPr>
                          <w:r>
                            <w:rPr>
                              <w:sz w:val="16"/>
                              <w:szCs w:val="16"/>
                            </w:rPr>
                            <w:t>234</w:t>
                          </w:r>
                          <w:r>
                            <w:rPr>
                              <w:sz w:val="16"/>
                              <w:szCs w:val="16"/>
                            </w:rPr>
                            <w:tab/>
                          </w:r>
                          <w:r>
                            <w:t>BORRELIOSIS</w:t>
                          </w:r>
                        </w:p>
                      </w:txbxContent>
                    </wps:txbx>
                    <wps:bodyPr lIns="0" tIns="0" rIns="0" bIns="0">
                      <a:spAutoFit/>
                    </wps:bodyPr>
                  </wps:wsp>
                </a:graphicData>
              </a:graphic>
            </wp:anchor>
          </w:drawing>
        </mc:Choice>
        <mc:Fallback>
          <w:pict>
            <v:shapetype w14:anchorId="3A954C83" id="_x0000_t202" coordsize="21600,21600" o:spt="202" path="m,l,21600r21600,l21600,xe">
              <v:stroke joinstyle="miter"/>
              <v:path gradientshapeok="t" o:connecttype="rect"/>
            </v:shapetype>
            <v:shape id="Shape 577" o:spid="_x0000_s1071" type="#_x0000_t202" style="position:absolute;margin-left:41.35pt;margin-top:24.85pt;width:193.7pt;height:5.5pt;z-index:-2513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" filled="f" stroked="f">
              <v:textbox style="mso-fit-shape-to-text:t" inset="0,0,0,0">
                <w:txbxContent>
                  <w:p w14:paraId="5DDB60AC" w14:textId="77777777" w:rsidR="00093A32" w:rsidRDefault="00093A32">
                    <w:pPr>
                      <w:pStyle w:val="Headerorfooter0"/>
                      <w:tabs>
                        <w:tab w:val="right" w:pos="3874"/>
                      </w:tabs>
                    </w:pPr>
                    <w:r>
                      <w:rPr>
                        <w:sz w:val="16"/>
                        <w:szCs w:val="16"/>
                      </w:rPr>
                      <w:t>234</w:t>
                    </w:r>
                    <w:r>
                      <w:rPr>
                        <w:sz w:val="16"/>
                        <w:szCs w:val="16"/>
                      </w:rPr>
                      <w:tab/>
                    </w:r>
                    <w:r>
                      <w:t>BORRELIOSIS</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35AB9B2F" wp14:editId="136D2CDF">
              <wp:simplePos x="0" y="0"/>
              <wp:positionH relativeFrom="page">
                <wp:posOffset>509905</wp:posOffset>
              </wp:positionH>
              <wp:positionV relativeFrom="page">
                <wp:posOffset>424180</wp:posOffset>
              </wp:positionV>
              <wp:extent cx="4358640" cy="0"/>
              <wp:effectExtent l="0" t="0" r="0" b="0"/>
              <wp:wrapNone/>
              <wp:docPr id="579" name="Shape 5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69E1683" id="_x0000_t32" coordsize="21600,21600" o:spt="32" o:oned="t" path="m,l21600,21600e" filled="f">
              <v:path arrowok="t" fillok="f" o:connecttype="none"/>
              <o:lock v:ext="edit" shapetype="t"/>
            </v:shapetype>
            <v:shape id="Shape 579" o:spid="_x0000_s1026" type="#_x0000_t32" style="position:absolute;margin-left:40.15pt;margin-top:33.4pt;width:343.2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D15E" w14:textId="77777777" w:rsidR="00093A32" w:rsidRDefault="00093A32">
    <w:pPr>
      <w:spacing w:line="1" w:lineRule="exact"/>
    </w:pPr>
    <w:r>
      <w:rPr>
        <w:noProof/>
      </w:rPr>
      <mc:AlternateContent>
        <mc:Choice Requires="wps">
          <w:drawing>
            <wp:anchor distT="0" distB="0" distL="0" distR="0" simplePos="0" relativeHeight="251924480" behindDoc="1" locked="0" layoutInCell="1" allowOverlap="1" wp14:anchorId="5E5F35D6" wp14:editId="05A12FE2">
              <wp:simplePos x="0" y="0"/>
              <wp:positionH relativeFrom="page">
                <wp:posOffset>525145</wp:posOffset>
              </wp:positionH>
              <wp:positionV relativeFrom="page">
                <wp:posOffset>315595</wp:posOffset>
              </wp:positionV>
              <wp:extent cx="2459990" cy="69850"/>
              <wp:effectExtent l="0" t="0" r="0" b="0"/>
              <wp:wrapNone/>
              <wp:docPr id="574" name="Shape 574"/>
              <wp:cNvGraphicFramePr/>
              <a:graphic xmlns:a="http://schemas.openxmlformats.org/drawingml/2006/main">
                <a:graphicData uri="http://schemas.microsoft.com/office/word/2010/wordprocessingShape">
                  <wps:wsp>
                    <wps:cNvSpPr txBox="1"/>
                    <wps:spPr>
                      <a:xfrm>
                        <a:off x="0" y="0"/>
                        <a:ext cx="2459990" cy="69850"/>
                      </a:xfrm>
                      <a:prstGeom prst="rect">
                        <a:avLst/>
                      </a:prstGeom>
                      <a:noFill/>
                    </wps:spPr>
                    <wps:txbx>
                      <w:txbxContent>
                        <w:p w14:paraId="7D1389E5" w14:textId="77777777" w:rsidR="00093A32" w:rsidRDefault="00093A32">
                          <w:pPr>
                            <w:pStyle w:val="Headerorfooter0"/>
                            <w:tabs>
                              <w:tab w:val="right" w:pos="3874"/>
                            </w:tabs>
                          </w:pPr>
                          <w:r>
                            <w:rPr>
                              <w:sz w:val="16"/>
                              <w:szCs w:val="16"/>
                            </w:rPr>
                            <w:t>234</w:t>
                          </w:r>
                          <w:r>
                            <w:rPr>
                              <w:sz w:val="16"/>
                              <w:szCs w:val="16"/>
                            </w:rPr>
                            <w:tab/>
                          </w:r>
                          <w:r>
                            <w:t>BORRELIOSIS</w:t>
                          </w:r>
                        </w:p>
                      </w:txbxContent>
                    </wps:txbx>
                    <wps:bodyPr lIns="0" tIns="0" rIns="0" bIns="0">
                      <a:spAutoFit/>
                    </wps:bodyPr>
                  </wps:wsp>
                </a:graphicData>
              </a:graphic>
            </wp:anchor>
          </w:drawing>
        </mc:Choice>
        <mc:Fallback>
          <w:pict>
            <v:shapetype w14:anchorId="5E5F35D6" id="_x0000_t202" coordsize="21600,21600" o:spt="202" path="m,l,21600r21600,l21600,xe">
              <v:stroke joinstyle="miter"/>
              <v:path gradientshapeok="t" o:connecttype="rect"/>
            </v:shapetype>
            <v:shape id="Shape 574" o:spid="_x0000_s1072" type="#_x0000_t202" style="position:absolute;margin-left:41.35pt;margin-top:24.85pt;width:193.7pt;height:5.5pt;z-index:-2513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" filled="f" stroked="f">
              <v:textbox style="mso-fit-shape-to-text:t" inset="0,0,0,0">
                <w:txbxContent>
                  <w:p w14:paraId="7D1389E5" w14:textId="77777777" w:rsidR="00093A32" w:rsidRDefault="00093A32">
                    <w:pPr>
                      <w:pStyle w:val="Headerorfooter0"/>
                      <w:tabs>
                        <w:tab w:val="right" w:pos="3874"/>
                      </w:tabs>
                    </w:pPr>
                    <w:r>
                      <w:rPr>
                        <w:sz w:val="16"/>
                        <w:szCs w:val="16"/>
                      </w:rPr>
                      <w:t>234</w:t>
                    </w:r>
                    <w:r>
                      <w:rPr>
                        <w:sz w:val="16"/>
                        <w:szCs w:val="16"/>
                      </w:rPr>
                      <w:tab/>
                    </w:r>
                    <w:r>
                      <w:t>BORRELIOSIS</w:t>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13B69C1D" wp14:editId="5F8FC20D">
              <wp:simplePos x="0" y="0"/>
              <wp:positionH relativeFrom="page">
                <wp:posOffset>509905</wp:posOffset>
              </wp:positionH>
              <wp:positionV relativeFrom="page">
                <wp:posOffset>424180</wp:posOffset>
              </wp:positionV>
              <wp:extent cx="4358640" cy="0"/>
              <wp:effectExtent l="0" t="0" r="0" b="0"/>
              <wp:wrapNone/>
              <wp:docPr id="576" name="Shape 5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FA285E" id="_x0000_t32" coordsize="21600,21600" o:spt="32" o:oned="t" path="m,l21600,21600e" filled="f">
              <v:path arrowok="t" fillok="f" o:connecttype="none"/>
              <o:lock v:ext="edit" shapetype="t"/>
            </v:shapetype>
            <v:shape id="Shape 576" o:spid="_x0000_s1026" type="#_x0000_t32" style="position:absolute;margin-left:40.15pt;margin-top:33.4pt;width:343.2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D942" w14:textId="77777777" w:rsidR="00093A32" w:rsidRDefault="00093A32">
    <w:pPr>
      <w:spacing w:line="1" w:lineRule="exact"/>
    </w:pPr>
    <w:r>
      <w:rPr>
        <w:noProof/>
      </w:rPr>
      <mc:AlternateContent>
        <mc:Choice Requires="wps">
          <w:drawing>
            <wp:anchor distT="0" distB="0" distL="0" distR="0" simplePos="0" relativeHeight="251926528" behindDoc="1" locked="0" layoutInCell="1" allowOverlap="1" wp14:anchorId="29144B6F" wp14:editId="0A9EAB95">
              <wp:simplePos x="0" y="0"/>
              <wp:positionH relativeFrom="page">
                <wp:posOffset>2343150</wp:posOffset>
              </wp:positionH>
              <wp:positionV relativeFrom="page">
                <wp:posOffset>315595</wp:posOffset>
              </wp:positionV>
              <wp:extent cx="2514600" cy="69850"/>
              <wp:effectExtent l="0" t="0" r="0" b="0"/>
              <wp:wrapNone/>
              <wp:docPr id="580" name="Shape 580"/>
              <wp:cNvGraphicFramePr/>
              <a:graphic xmlns:a="http://schemas.openxmlformats.org/drawingml/2006/main">
                <a:graphicData uri="http://schemas.microsoft.com/office/word/2010/wordprocessingShape">
                  <wps:wsp>
                    <wps:cNvSpPr txBox="1"/>
                    <wps:spPr>
                      <a:xfrm>
                        <a:off x="0" y="0"/>
                        <a:ext cx="2514600" cy="69850"/>
                      </a:xfrm>
                      <a:prstGeom prst="rect">
                        <a:avLst/>
                      </a:prstGeom>
                      <a:noFill/>
                    </wps:spPr>
                    <wps:txbx>
                      <w:txbxContent>
                        <w:p w14:paraId="59778AE2" w14:textId="77777777" w:rsidR="00093A32" w:rsidRDefault="00093A32">
                          <w:pPr>
                            <w:pStyle w:val="Headerorfooter0"/>
                            <w:tabs>
                              <w:tab w:val="right" w:pos="3960"/>
                            </w:tabs>
                            <w:rPr>
                              <w:sz w:val="16"/>
                              <w:szCs w:val="16"/>
                            </w:rPr>
                          </w:pPr>
                          <w:r>
                            <w:t>BLASTOMICOSIS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9144B6F" id="_x0000_t202" coordsize="21600,21600" o:spt="202" path="m,l,21600r21600,l21600,xe">
              <v:stroke joinstyle="miter"/>
              <v:path gradientshapeok="t" o:connecttype="rect"/>
            </v:shapetype>
            <v:shape id="Shape 580" o:spid="_x0000_s1073" type="#_x0000_t202" style="position:absolute;margin-left:184.5pt;margin-top:24.85pt;width:198pt;height:5.5pt;z-index:-2513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DAyfgEAAPsCAAAOAAAAZHJzL2Uyb0RvYy54bWysUttOwzAMfUfiH6K8s3YDJq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" filled="f" stroked="f">
              <v:textbox style="mso-fit-shape-to-text:t" inset="0,0,0,0">
                <w:txbxContent>
                  <w:p w14:paraId="59778AE2" w14:textId="77777777" w:rsidR="00093A32" w:rsidRDefault="00093A32">
                    <w:pPr>
                      <w:pStyle w:val="Headerorfooter0"/>
                      <w:tabs>
                        <w:tab w:val="right" w:pos="3960"/>
                      </w:tabs>
                      <w:rPr>
                        <w:sz w:val="16"/>
                        <w:szCs w:val="16"/>
                      </w:rPr>
                    </w:pPr>
                    <w:r>
                      <w:t>BLASTOMICOSIS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042926D5" wp14:editId="39C37998">
              <wp:simplePos x="0" y="0"/>
              <wp:positionH relativeFrom="page">
                <wp:posOffset>520700</wp:posOffset>
              </wp:positionH>
              <wp:positionV relativeFrom="page">
                <wp:posOffset>424180</wp:posOffset>
              </wp:positionV>
              <wp:extent cx="4358640" cy="0"/>
              <wp:effectExtent l="0" t="0" r="0" b="0"/>
              <wp:wrapNone/>
              <wp:docPr id="582" name="Shape 5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005EA4" id="_x0000_t32" coordsize="21600,21600" o:spt="32" o:oned="t" path="m,l21600,21600e" filled="f">
              <v:path arrowok="t" fillok="f" o:connecttype="none"/>
              <o:lock v:ext="edit" shapetype="t"/>
            </v:shapetype>
            <v:shape id="Shape 582" o:spid="_x0000_s1026" type="#_x0000_t32" style="position:absolute;margin-left:41pt;margin-top:33.4pt;width:343.2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" strokeweight="1pt">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8FAB" w14:textId="77777777" w:rsidR="00093A32" w:rsidRDefault="00093A32">
    <w:pPr>
      <w:spacing w:line="1" w:lineRule="exact"/>
    </w:pPr>
    <w:r>
      <w:rPr>
        <w:noProof/>
      </w:rPr>
      <mc:AlternateContent>
        <mc:Choice Requires="wps">
          <w:drawing>
            <wp:anchor distT="0" distB="0" distL="0" distR="0" simplePos="0" relativeHeight="251928576" behindDoc="1" locked="0" layoutInCell="1" allowOverlap="1" wp14:anchorId="1B1C893F" wp14:editId="30CA053D">
              <wp:simplePos x="0" y="0"/>
              <wp:positionH relativeFrom="page">
                <wp:posOffset>531495</wp:posOffset>
              </wp:positionH>
              <wp:positionV relativeFrom="page">
                <wp:posOffset>315595</wp:posOffset>
              </wp:positionV>
              <wp:extent cx="2444750" cy="69850"/>
              <wp:effectExtent l="0" t="0" r="0" b="0"/>
              <wp:wrapNone/>
              <wp:docPr id="586" name="Shape 586"/>
              <wp:cNvGraphicFramePr/>
              <a:graphic xmlns:a="http://schemas.openxmlformats.org/drawingml/2006/main">
                <a:graphicData uri="http://schemas.microsoft.com/office/word/2010/wordprocessingShape">
                  <wps:wsp>
                    <wps:cNvSpPr txBox="1"/>
                    <wps:spPr>
                      <a:xfrm>
                        <a:off x="0" y="0"/>
                        <a:ext cx="2444750" cy="69850"/>
                      </a:xfrm>
                      <a:prstGeom prst="rect">
                        <a:avLst/>
                      </a:prstGeom>
                      <a:noFill/>
                    </wps:spPr>
                    <wps:txbx>
                      <w:txbxContent>
                        <w:p w14:paraId="6027C330" w14:textId="77777777" w:rsidR="00093A32" w:rsidRDefault="00093A32">
                          <w:pPr>
                            <w:pStyle w:val="Headerorfooter0"/>
                            <w:tabs>
                              <w:tab w:val="right" w:pos="3850"/>
                            </w:tabs>
                          </w:pPr>
                          <w:r>
                            <w:rPr>
                              <w:sz w:val="16"/>
                              <w:szCs w:val="16"/>
                            </w:rPr>
                            <w:t>236</w:t>
                          </w:r>
                          <w:r>
                            <w:rPr>
                              <w:sz w:val="16"/>
                              <w:szCs w:val="16"/>
                            </w:rPr>
                            <w:tab/>
                          </w:r>
                          <w:r>
                            <w:t>BRUCELOSIS</w:t>
                          </w:r>
                        </w:p>
                      </w:txbxContent>
                    </wps:txbx>
                    <wps:bodyPr lIns="0" tIns="0" rIns="0" bIns="0">
                      <a:spAutoFit/>
                    </wps:bodyPr>
                  </wps:wsp>
                </a:graphicData>
              </a:graphic>
            </wp:anchor>
          </w:drawing>
        </mc:Choice>
        <mc:Fallback>
          <w:pict>
            <v:shapetype w14:anchorId="1B1C893F" id="_x0000_t202" coordsize="21600,21600" o:spt="202" path="m,l,21600r21600,l21600,xe">
              <v:stroke joinstyle="miter"/>
              <v:path gradientshapeok="t" o:connecttype="rect"/>
            </v:shapetype>
            <v:shape id="Shape 586" o:spid="_x0000_s1074" type="#_x0000_t202" style="position:absolute;margin-left:41.85pt;margin-top:24.85pt;width:192.5pt;height:5.5pt;z-index:-2513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" filled="f" stroked="f">
              <v:textbox style="mso-fit-shape-to-text:t" inset="0,0,0,0">
                <w:txbxContent>
                  <w:p w14:paraId="6027C330" w14:textId="77777777" w:rsidR="00093A32" w:rsidRDefault="00093A32">
                    <w:pPr>
                      <w:pStyle w:val="Headerorfooter0"/>
                      <w:tabs>
                        <w:tab w:val="right" w:pos="3850"/>
                      </w:tabs>
                    </w:pPr>
                    <w:r>
                      <w:rPr>
                        <w:sz w:val="16"/>
                        <w:szCs w:val="16"/>
                      </w:rPr>
                      <w:t>236</w:t>
                    </w:r>
                    <w:r>
                      <w:rPr>
                        <w:sz w:val="16"/>
                        <w:szCs w:val="16"/>
                      </w:rPr>
                      <w:tab/>
                    </w:r>
                    <w:r>
                      <w:t>BRUCELOSIS</w:t>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5137B659" wp14:editId="615B4F38">
              <wp:simplePos x="0" y="0"/>
              <wp:positionH relativeFrom="page">
                <wp:posOffset>516255</wp:posOffset>
              </wp:positionH>
              <wp:positionV relativeFrom="page">
                <wp:posOffset>424180</wp:posOffset>
              </wp:positionV>
              <wp:extent cx="4358640" cy="0"/>
              <wp:effectExtent l="0" t="0" r="0" b="0"/>
              <wp:wrapNone/>
              <wp:docPr id="588" name="Shape 58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35A59D" id="_x0000_t32" coordsize="21600,21600" o:spt="32" o:oned="t" path="m,l21600,21600e" filled="f">
              <v:path arrowok="t" fillok="f" o:connecttype="none"/>
              <o:lock v:ext="edit" shapetype="t"/>
            </v:shapetype>
            <v:shape id="Shape 588" o:spid="_x0000_s1026" type="#_x0000_t32" style="position:absolute;margin-left:40.65pt;margin-top:33.4pt;width:343.2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B936" w14:textId="77777777" w:rsidR="00093A32" w:rsidRDefault="00093A32">
    <w:pPr>
      <w:spacing w:line="1" w:lineRule="exact"/>
    </w:pPr>
    <w:r>
      <w:rPr>
        <w:noProof/>
      </w:rPr>
      <mc:AlternateContent>
        <mc:Choice Requires="wps">
          <w:drawing>
            <wp:anchor distT="0" distB="0" distL="0" distR="0" simplePos="0" relativeHeight="251927552" behindDoc="1" locked="0" layoutInCell="1" allowOverlap="1" wp14:anchorId="06FAFDD9" wp14:editId="65E933E3">
              <wp:simplePos x="0" y="0"/>
              <wp:positionH relativeFrom="page">
                <wp:posOffset>531495</wp:posOffset>
              </wp:positionH>
              <wp:positionV relativeFrom="page">
                <wp:posOffset>315595</wp:posOffset>
              </wp:positionV>
              <wp:extent cx="2444750" cy="69850"/>
              <wp:effectExtent l="0" t="0" r="0" b="0"/>
              <wp:wrapNone/>
              <wp:docPr id="583" name="Shape 583"/>
              <wp:cNvGraphicFramePr/>
              <a:graphic xmlns:a="http://schemas.openxmlformats.org/drawingml/2006/main">
                <a:graphicData uri="http://schemas.microsoft.com/office/word/2010/wordprocessingShape">
                  <wps:wsp>
                    <wps:cNvSpPr txBox="1"/>
                    <wps:spPr>
                      <a:xfrm>
                        <a:off x="0" y="0"/>
                        <a:ext cx="2444750" cy="69850"/>
                      </a:xfrm>
                      <a:prstGeom prst="rect">
                        <a:avLst/>
                      </a:prstGeom>
                      <a:noFill/>
                    </wps:spPr>
                    <wps:txbx>
                      <w:txbxContent>
                        <w:p w14:paraId="42EE46EE" w14:textId="77777777" w:rsidR="00093A32" w:rsidRDefault="00093A32">
                          <w:pPr>
                            <w:pStyle w:val="Headerorfooter0"/>
                            <w:tabs>
                              <w:tab w:val="right" w:pos="3850"/>
                            </w:tabs>
                          </w:pPr>
                          <w:r>
                            <w:rPr>
                              <w:sz w:val="16"/>
                              <w:szCs w:val="16"/>
                            </w:rPr>
                            <w:t>236</w:t>
                          </w:r>
                          <w:r>
                            <w:rPr>
                              <w:sz w:val="16"/>
                              <w:szCs w:val="16"/>
                            </w:rPr>
                            <w:tab/>
                          </w:r>
                          <w:r>
                            <w:t>BRUCELOSIS</w:t>
                          </w:r>
                        </w:p>
                      </w:txbxContent>
                    </wps:txbx>
                    <wps:bodyPr lIns="0" tIns="0" rIns="0" bIns="0">
                      <a:spAutoFit/>
                    </wps:bodyPr>
                  </wps:wsp>
                </a:graphicData>
              </a:graphic>
            </wp:anchor>
          </w:drawing>
        </mc:Choice>
        <mc:Fallback>
          <w:pict>
            <v:shapetype w14:anchorId="06FAFDD9" id="_x0000_t202" coordsize="21600,21600" o:spt="202" path="m,l,21600r21600,l21600,xe">
              <v:stroke joinstyle="miter"/>
              <v:path gradientshapeok="t" o:connecttype="rect"/>
            </v:shapetype>
            <v:shape id="Shape 583" o:spid="_x0000_s1075" type="#_x0000_t202" style="position:absolute;margin-left:41.85pt;margin-top:24.85pt;width:192.5pt;height:5.5pt;z-index:-2513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" filled="f" stroked="f">
              <v:textbox style="mso-fit-shape-to-text:t" inset="0,0,0,0">
                <w:txbxContent>
                  <w:p w14:paraId="42EE46EE" w14:textId="77777777" w:rsidR="00093A32" w:rsidRDefault="00093A32">
                    <w:pPr>
                      <w:pStyle w:val="Headerorfooter0"/>
                      <w:tabs>
                        <w:tab w:val="right" w:pos="3850"/>
                      </w:tabs>
                    </w:pPr>
                    <w:r>
                      <w:rPr>
                        <w:sz w:val="16"/>
                        <w:szCs w:val="16"/>
                      </w:rPr>
                      <w:t>236</w:t>
                    </w:r>
                    <w:r>
                      <w:rPr>
                        <w:sz w:val="16"/>
                        <w:szCs w:val="16"/>
                      </w:rPr>
                      <w:tab/>
                    </w:r>
                    <w:r>
                      <w:t>BRUCELOSIS</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3E78854C" wp14:editId="309E9BC9">
              <wp:simplePos x="0" y="0"/>
              <wp:positionH relativeFrom="page">
                <wp:posOffset>516255</wp:posOffset>
              </wp:positionH>
              <wp:positionV relativeFrom="page">
                <wp:posOffset>424180</wp:posOffset>
              </wp:positionV>
              <wp:extent cx="4358640" cy="0"/>
              <wp:effectExtent l="0" t="0" r="0" b="0"/>
              <wp:wrapNone/>
              <wp:docPr id="585" name="Shape 5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9D10A93" id="_x0000_t32" coordsize="21600,21600" o:spt="32" o:oned="t" path="m,l21600,21600e" filled="f">
              <v:path arrowok="t" fillok="f" o:connecttype="none"/>
              <o:lock v:ext="edit" shapetype="t"/>
            </v:shapetype>
            <v:shape id="Shape 585" o:spid="_x0000_s1026" type="#_x0000_t32" style="position:absolute;margin-left:40.65pt;margin-top:33.4pt;width:343.2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E20A" w14:textId="77777777" w:rsidR="00093A32" w:rsidRDefault="00093A32">
    <w:pPr>
      <w:spacing w:line="1" w:lineRule="exact"/>
    </w:pPr>
    <w:r>
      <w:rPr>
        <w:noProof/>
      </w:rPr>
      <mc:AlternateContent>
        <mc:Choice Requires="wps">
          <w:drawing>
            <wp:anchor distT="0" distB="0" distL="0" distR="0" simplePos="0" relativeHeight="251929600" behindDoc="1" locked="0" layoutInCell="1" allowOverlap="1" wp14:anchorId="4FCB4C6E" wp14:editId="453FECB4">
              <wp:simplePos x="0" y="0"/>
              <wp:positionH relativeFrom="page">
                <wp:posOffset>2399665</wp:posOffset>
              </wp:positionH>
              <wp:positionV relativeFrom="page">
                <wp:posOffset>315595</wp:posOffset>
              </wp:positionV>
              <wp:extent cx="2453640" cy="69850"/>
              <wp:effectExtent l="0" t="0" r="0" b="0"/>
              <wp:wrapNone/>
              <wp:docPr id="589" name="Shape 589"/>
              <wp:cNvGraphicFramePr/>
              <a:graphic xmlns:a="http://schemas.openxmlformats.org/drawingml/2006/main">
                <a:graphicData uri="http://schemas.microsoft.com/office/word/2010/wordprocessingShape">
                  <wps:wsp>
                    <wps:cNvSpPr txBox="1"/>
                    <wps:spPr>
                      <a:xfrm>
                        <a:off x="0" y="0"/>
                        <a:ext cx="2453640" cy="69850"/>
                      </a:xfrm>
                      <a:prstGeom prst="rect">
                        <a:avLst/>
                      </a:prstGeom>
                      <a:noFill/>
                    </wps:spPr>
                    <wps:txbx>
                      <w:txbxContent>
                        <w:p w14:paraId="5F7DCC5E" w14:textId="77777777" w:rsidR="00093A32" w:rsidRDefault="00093A32">
                          <w:pPr>
                            <w:pStyle w:val="Headerorfooter0"/>
                            <w:tabs>
                              <w:tab w:val="right" w:pos="3864"/>
                            </w:tabs>
                            <w:rPr>
                              <w:sz w:val="16"/>
                              <w:szCs w:val="16"/>
                            </w:rPr>
                          </w:pPr>
                          <w:r>
                            <w:t>BORRELIOSIS</w:t>
                          </w:r>
                          <w:r>
                            <w:tab/>
                          </w:r>
                          <w:r>
                            <w:rPr>
                              <w:sz w:val="16"/>
                              <w:szCs w:val="16"/>
                            </w:rPr>
                            <w:t>235</w:t>
                          </w:r>
                        </w:p>
                      </w:txbxContent>
                    </wps:txbx>
                    <wps:bodyPr lIns="0" tIns="0" rIns="0" bIns="0">
                      <a:spAutoFit/>
                    </wps:bodyPr>
                  </wps:wsp>
                </a:graphicData>
              </a:graphic>
            </wp:anchor>
          </w:drawing>
        </mc:Choice>
        <mc:Fallback>
          <w:pict>
            <v:shapetype w14:anchorId="4FCB4C6E" id="_x0000_t202" coordsize="21600,21600" o:spt="202" path="m,l,21600r21600,l21600,xe">
              <v:stroke joinstyle="miter"/>
              <v:path gradientshapeok="t" o:connecttype="rect"/>
            </v:shapetype>
            <v:shape id="Shape 589" o:spid="_x0000_s1076" type="#_x0000_t202" style="position:absolute;margin-left:188.95pt;margin-top:24.85pt;width:193.2pt;height:5.5pt;z-index:-2513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" filled="f" stroked="f">
              <v:textbox style="mso-fit-shape-to-text:t" inset="0,0,0,0">
                <w:txbxContent>
                  <w:p w14:paraId="5F7DCC5E" w14:textId="77777777" w:rsidR="00093A32" w:rsidRDefault="00093A32">
                    <w:pPr>
                      <w:pStyle w:val="Headerorfooter0"/>
                      <w:tabs>
                        <w:tab w:val="right" w:pos="3864"/>
                      </w:tabs>
                      <w:rPr>
                        <w:sz w:val="16"/>
                        <w:szCs w:val="16"/>
                      </w:rPr>
                    </w:pPr>
                    <w:r>
                      <w:t>BORRELIOSIS</w:t>
                    </w:r>
                    <w:r>
                      <w:tab/>
                    </w:r>
                    <w:r>
                      <w:rPr>
                        <w:sz w:val="16"/>
                        <w:szCs w:val="16"/>
                      </w:rPr>
                      <w:t>235</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40689FF0" wp14:editId="08CC9F45">
              <wp:simplePos x="0" y="0"/>
              <wp:positionH relativeFrom="page">
                <wp:posOffset>516255</wp:posOffset>
              </wp:positionH>
              <wp:positionV relativeFrom="page">
                <wp:posOffset>424180</wp:posOffset>
              </wp:positionV>
              <wp:extent cx="4358640" cy="0"/>
              <wp:effectExtent l="0" t="0" r="0" b="0"/>
              <wp:wrapNone/>
              <wp:docPr id="591" name="Shape 59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A8615B3" id="_x0000_t32" coordsize="21600,21600" o:spt="32" o:oned="t" path="m,l21600,21600e" filled="f">
              <v:path arrowok="t" fillok="f" o:connecttype="none"/>
              <o:lock v:ext="edit" shapetype="t"/>
            </v:shapetype>
            <v:shape id="Shape 591" o:spid="_x0000_s1026" type="#_x0000_t32" style="position:absolute;margin-left:40.65pt;margin-top:33.4pt;width:343.2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CEA4" w14:textId="77777777" w:rsidR="00093A32" w:rsidRDefault="00093A32">
    <w:pPr>
      <w:spacing w:line="1" w:lineRule="exact"/>
    </w:pPr>
    <w:r>
      <w:rPr>
        <w:noProof/>
      </w:rPr>
      <mc:AlternateContent>
        <mc:Choice Requires="wps">
          <w:drawing>
            <wp:anchor distT="0" distB="0" distL="0" distR="0" simplePos="0" relativeHeight="251931648" behindDoc="1" locked="0" layoutInCell="1" allowOverlap="1" wp14:anchorId="2D06CED1" wp14:editId="7938FCF7">
              <wp:simplePos x="0" y="0"/>
              <wp:positionH relativeFrom="page">
                <wp:posOffset>534670</wp:posOffset>
              </wp:positionH>
              <wp:positionV relativeFrom="page">
                <wp:posOffset>306705</wp:posOffset>
              </wp:positionV>
              <wp:extent cx="2837815" cy="79375"/>
              <wp:effectExtent l="0" t="0" r="0" b="0"/>
              <wp:wrapNone/>
              <wp:docPr id="595" name="Shape 595"/>
              <wp:cNvGraphicFramePr/>
              <a:graphic xmlns:a="http://schemas.openxmlformats.org/drawingml/2006/main">
                <a:graphicData uri="http://schemas.microsoft.com/office/word/2010/wordprocessingShape">
                  <wps:wsp>
                    <wps:cNvSpPr txBox="1"/>
                    <wps:spPr>
                      <a:xfrm>
                        <a:off x="0" y="0"/>
                        <a:ext cx="2837815" cy="79375"/>
                      </a:xfrm>
                      <a:prstGeom prst="rect">
                        <a:avLst/>
                      </a:prstGeom>
                      <a:noFill/>
                    </wps:spPr>
                    <wps:txbx>
                      <w:txbxContent>
                        <w:p w14:paraId="0423D490" w14:textId="77777777" w:rsidR="00093A32" w:rsidRDefault="00093A32">
                          <w:pPr>
                            <w:pStyle w:val="Headerorfooter0"/>
                            <w:tabs>
                              <w:tab w:val="right" w:pos="4469"/>
                            </w:tabs>
                          </w:pPr>
                          <w:r>
                            <w:rPr>
                              <w:sz w:val="16"/>
                              <w:szCs w:val="16"/>
                            </w:rPr>
                            <w:t>238</w:t>
                          </w:r>
                          <w:r>
                            <w:rPr>
                              <w:sz w:val="16"/>
                              <w:szCs w:val="16"/>
                            </w:rPr>
                            <w:tab/>
                          </w:r>
                          <w:r>
                            <w:rPr>
                              <w:i/>
                              <w:iCs/>
                            </w:rPr>
                            <w:t>BURKHOLDERIA,</w:t>
                          </w:r>
                          <w:r>
                            <w:t xml:space="preserve"> INFECCIONES</w:t>
                          </w:r>
                        </w:p>
                      </w:txbxContent>
                    </wps:txbx>
                    <wps:bodyPr lIns="0" tIns="0" rIns="0" bIns="0">
                      <a:spAutoFit/>
                    </wps:bodyPr>
                  </wps:wsp>
                </a:graphicData>
              </a:graphic>
            </wp:anchor>
          </w:drawing>
        </mc:Choice>
        <mc:Fallback>
          <w:pict>
            <v:shapetype w14:anchorId="2D06CED1" id="_x0000_t202" coordsize="21600,21600" o:spt="202" path="m,l,21600r21600,l21600,xe">
              <v:stroke joinstyle="miter"/>
              <v:path gradientshapeok="t" o:connecttype="rect"/>
            </v:shapetype>
            <v:shape id="Shape 595" o:spid="_x0000_s1077" type="#_x0000_t202" style="position:absolute;margin-left:42.1pt;margin-top:24.15pt;width:223.45pt;height:6.25pt;z-index:-2513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" filled="f" stroked="f">
              <v:textbox style="mso-fit-shape-to-text:t" inset="0,0,0,0">
                <w:txbxContent>
                  <w:p w14:paraId="0423D490" w14:textId="77777777" w:rsidR="00093A32" w:rsidRDefault="00093A32">
                    <w:pPr>
                      <w:pStyle w:val="Headerorfooter0"/>
                      <w:tabs>
                        <w:tab w:val="right" w:pos="4469"/>
                      </w:tabs>
                    </w:pPr>
                    <w:r>
                      <w:rPr>
                        <w:sz w:val="16"/>
                        <w:szCs w:val="16"/>
                      </w:rPr>
                      <w:t>238</w:t>
                    </w:r>
                    <w:r>
                      <w:rPr>
                        <w:sz w:val="16"/>
                        <w:szCs w:val="16"/>
                      </w:rPr>
                      <w:tab/>
                    </w:r>
                    <w:r>
                      <w:rPr>
                        <w:i/>
                        <w:iCs/>
                      </w:rPr>
                      <w:t>BURKHOLDERIA,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1A4D9628" wp14:editId="2D862AEA">
              <wp:simplePos x="0" y="0"/>
              <wp:positionH relativeFrom="page">
                <wp:posOffset>519430</wp:posOffset>
              </wp:positionH>
              <wp:positionV relativeFrom="page">
                <wp:posOffset>414655</wp:posOffset>
              </wp:positionV>
              <wp:extent cx="4358640" cy="0"/>
              <wp:effectExtent l="0" t="0" r="0" b="0"/>
              <wp:wrapNone/>
              <wp:docPr id="597" name="Shape 5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C0862E9" id="_x0000_t32" coordsize="21600,21600" o:spt="32" o:oned="t" path="m,l21600,21600e" filled="f">
              <v:path arrowok="t" fillok="f" o:connecttype="none"/>
              <o:lock v:ext="edit" shapetype="t"/>
            </v:shapetype>
            <v:shape id="Shape 597" o:spid="_x0000_s1026" type="#_x0000_t32" style="position:absolute;margin-left:40.9pt;margin-top:32.65pt;width:343.2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" strokeweight="1pt">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52B5" w14:textId="77777777" w:rsidR="00093A32" w:rsidRDefault="00093A32">
    <w:pPr>
      <w:spacing w:line="1" w:lineRule="exact"/>
    </w:pPr>
    <w:r>
      <w:rPr>
        <w:noProof/>
      </w:rPr>
      <mc:AlternateContent>
        <mc:Choice Requires="wps">
          <w:drawing>
            <wp:anchor distT="0" distB="0" distL="0" distR="0" simplePos="0" relativeHeight="251930624" behindDoc="1" locked="0" layoutInCell="1" allowOverlap="1" wp14:anchorId="0F291732" wp14:editId="366B97E1">
              <wp:simplePos x="0" y="0"/>
              <wp:positionH relativeFrom="page">
                <wp:posOffset>534670</wp:posOffset>
              </wp:positionH>
              <wp:positionV relativeFrom="page">
                <wp:posOffset>306705</wp:posOffset>
              </wp:positionV>
              <wp:extent cx="2837815" cy="79375"/>
              <wp:effectExtent l="0" t="0" r="0" b="0"/>
              <wp:wrapNone/>
              <wp:docPr id="592" name="Shape 592"/>
              <wp:cNvGraphicFramePr/>
              <a:graphic xmlns:a="http://schemas.openxmlformats.org/drawingml/2006/main">
                <a:graphicData uri="http://schemas.microsoft.com/office/word/2010/wordprocessingShape">
                  <wps:wsp>
                    <wps:cNvSpPr txBox="1"/>
                    <wps:spPr>
                      <a:xfrm>
                        <a:off x="0" y="0"/>
                        <a:ext cx="2837815" cy="79375"/>
                      </a:xfrm>
                      <a:prstGeom prst="rect">
                        <a:avLst/>
                      </a:prstGeom>
                      <a:noFill/>
                    </wps:spPr>
                    <wps:txbx>
                      <w:txbxContent>
                        <w:p w14:paraId="6F243B27" w14:textId="77777777" w:rsidR="00093A32" w:rsidRDefault="00093A32">
                          <w:pPr>
                            <w:pStyle w:val="Headerorfooter0"/>
                            <w:tabs>
                              <w:tab w:val="right" w:pos="4469"/>
                            </w:tabs>
                          </w:pPr>
                          <w:r>
                            <w:rPr>
                              <w:sz w:val="16"/>
                              <w:szCs w:val="16"/>
                            </w:rPr>
                            <w:t>238</w:t>
                          </w:r>
                          <w:r>
                            <w:rPr>
                              <w:sz w:val="16"/>
                              <w:szCs w:val="16"/>
                            </w:rPr>
                            <w:tab/>
                          </w:r>
                          <w:r>
                            <w:rPr>
                              <w:i/>
                              <w:iCs/>
                            </w:rPr>
                            <w:t>BURKHOLDERIA,</w:t>
                          </w:r>
                          <w:r>
                            <w:t xml:space="preserve"> INFECCIONES</w:t>
                          </w:r>
                        </w:p>
                      </w:txbxContent>
                    </wps:txbx>
                    <wps:bodyPr lIns="0" tIns="0" rIns="0" bIns="0">
                      <a:spAutoFit/>
                    </wps:bodyPr>
                  </wps:wsp>
                </a:graphicData>
              </a:graphic>
            </wp:anchor>
          </w:drawing>
        </mc:Choice>
        <mc:Fallback>
          <w:pict>
            <v:shapetype w14:anchorId="0F291732" id="_x0000_t202" coordsize="21600,21600" o:spt="202" path="m,l,21600r21600,l21600,xe">
              <v:stroke joinstyle="miter"/>
              <v:path gradientshapeok="t" o:connecttype="rect"/>
            </v:shapetype>
            <v:shape id="Shape 592" o:spid="_x0000_s1078" type="#_x0000_t202" style="position:absolute;margin-left:42.1pt;margin-top:24.15pt;width:223.45pt;height:6.25pt;z-index:-2513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" filled="f" stroked="f">
              <v:textbox style="mso-fit-shape-to-text:t" inset="0,0,0,0">
                <w:txbxContent>
                  <w:p w14:paraId="6F243B27" w14:textId="77777777" w:rsidR="00093A32" w:rsidRDefault="00093A32">
                    <w:pPr>
                      <w:pStyle w:val="Headerorfooter0"/>
                      <w:tabs>
                        <w:tab w:val="right" w:pos="4469"/>
                      </w:tabs>
                    </w:pPr>
                    <w:r>
                      <w:rPr>
                        <w:sz w:val="16"/>
                        <w:szCs w:val="16"/>
                      </w:rPr>
                      <w:t>238</w:t>
                    </w:r>
                    <w:r>
                      <w:rPr>
                        <w:sz w:val="16"/>
                        <w:szCs w:val="16"/>
                      </w:rPr>
                      <w:tab/>
                    </w:r>
                    <w:r>
                      <w:rPr>
                        <w:i/>
                        <w:iCs/>
                      </w:rPr>
                      <w:t>BURKHOLDERIA,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58AE6DDA" wp14:editId="36B9193D">
              <wp:simplePos x="0" y="0"/>
              <wp:positionH relativeFrom="page">
                <wp:posOffset>519430</wp:posOffset>
              </wp:positionH>
              <wp:positionV relativeFrom="page">
                <wp:posOffset>414655</wp:posOffset>
              </wp:positionV>
              <wp:extent cx="4358640" cy="0"/>
              <wp:effectExtent l="0" t="0" r="0" b="0"/>
              <wp:wrapNone/>
              <wp:docPr id="594" name="Shape 5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2A86FD" id="_x0000_t32" coordsize="21600,21600" o:spt="32" o:oned="t" path="m,l21600,21600e" filled="f">
              <v:path arrowok="t" fillok="f" o:connecttype="none"/>
              <o:lock v:ext="edit" shapetype="t"/>
            </v:shapetype>
            <v:shape id="Shape 594" o:spid="_x0000_s1026" type="#_x0000_t32" style="position:absolute;margin-left:40.9pt;margin-top:32.65pt;width:343.2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" strokeweight="1pt">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A5E1" w14:textId="77777777" w:rsidR="00093A32" w:rsidRDefault="00093A32">
    <w:pPr>
      <w:spacing w:line="1" w:lineRule="exact"/>
    </w:pPr>
    <w:r>
      <w:rPr>
        <w:noProof/>
      </w:rPr>
      <mc:AlternateContent>
        <mc:Choice Requires="wps">
          <w:drawing>
            <wp:anchor distT="0" distB="0" distL="0" distR="0" simplePos="0" relativeHeight="251932672" behindDoc="1" locked="0" layoutInCell="1" allowOverlap="1" wp14:anchorId="760A1937" wp14:editId="7C764DEF">
              <wp:simplePos x="0" y="0"/>
              <wp:positionH relativeFrom="page">
                <wp:posOffset>2410460</wp:posOffset>
              </wp:positionH>
              <wp:positionV relativeFrom="page">
                <wp:posOffset>315595</wp:posOffset>
              </wp:positionV>
              <wp:extent cx="2438400" cy="69850"/>
              <wp:effectExtent l="0" t="0" r="0" b="0"/>
              <wp:wrapNone/>
              <wp:docPr id="598" name="Shape 598"/>
              <wp:cNvGraphicFramePr/>
              <a:graphic xmlns:a="http://schemas.openxmlformats.org/drawingml/2006/main">
                <a:graphicData uri="http://schemas.microsoft.com/office/word/2010/wordprocessingShape">
                  <wps:wsp>
                    <wps:cNvSpPr txBox="1"/>
                    <wps:spPr>
                      <a:xfrm>
                        <a:off x="0" y="0"/>
                        <a:ext cx="2438400" cy="69850"/>
                      </a:xfrm>
                      <a:prstGeom prst="rect">
                        <a:avLst/>
                      </a:prstGeom>
                      <a:noFill/>
                    </wps:spPr>
                    <wps:txbx>
                      <w:txbxContent>
                        <w:p w14:paraId="42FF708A" w14:textId="77777777" w:rsidR="00093A32" w:rsidRDefault="00093A32">
                          <w:pPr>
                            <w:pStyle w:val="Headerorfooter0"/>
                            <w:tabs>
                              <w:tab w:val="right" w:pos="3840"/>
                            </w:tabs>
                            <w:rPr>
                              <w:sz w:val="16"/>
                              <w:szCs w:val="16"/>
                            </w:rPr>
                          </w:pPr>
                          <w:r>
                            <w:t>BRUCELOSIS</w:t>
                          </w:r>
                          <w:r>
                            <w:tab/>
                          </w:r>
                          <w:r>
                            <w:rPr>
                              <w:sz w:val="16"/>
                              <w:szCs w:val="16"/>
                            </w:rPr>
                            <w:t>237</w:t>
                          </w:r>
                        </w:p>
                      </w:txbxContent>
                    </wps:txbx>
                    <wps:bodyPr lIns="0" tIns="0" rIns="0" bIns="0">
                      <a:spAutoFit/>
                    </wps:bodyPr>
                  </wps:wsp>
                </a:graphicData>
              </a:graphic>
            </wp:anchor>
          </w:drawing>
        </mc:Choice>
        <mc:Fallback>
          <w:pict>
            <v:shapetype w14:anchorId="760A1937" id="_x0000_t202" coordsize="21600,21600" o:spt="202" path="m,l,21600r21600,l21600,xe">
              <v:stroke joinstyle="miter"/>
              <v:path gradientshapeok="t" o:connecttype="rect"/>
            </v:shapetype>
            <v:shape id="Shape 598" o:spid="_x0000_s1079" type="#_x0000_t202" style="position:absolute;margin-left:189.8pt;margin-top:24.85pt;width:192pt;height:5.5pt;z-index:-2513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" filled="f" stroked="f">
              <v:textbox style="mso-fit-shape-to-text:t" inset="0,0,0,0">
                <w:txbxContent>
                  <w:p w14:paraId="42FF708A" w14:textId="77777777" w:rsidR="00093A32" w:rsidRDefault="00093A32">
                    <w:pPr>
                      <w:pStyle w:val="Headerorfooter0"/>
                      <w:tabs>
                        <w:tab w:val="right" w:pos="3840"/>
                      </w:tabs>
                      <w:rPr>
                        <w:sz w:val="16"/>
                        <w:szCs w:val="16"/>
                      </w:rPr>
                    </w:pPr>
                    <w:r>
                      <w:t>BRUCELOSIS</w:t>
                    </w:r>
                    <w:r>
                      <w:tab/>
                    </w:r>
                    <w:r>
                      <w:rPr>
                        <w:sz w:val="16"/>
                        <w:szCs w:val="16"/>
                      </w:rPr>
                      <w:t>237</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6198CCDF" wp14:editId="3DF87B60">
              <wp:simplePos x="0" y="0"/>
              <wp:positionH relativeFrom="page">
                <wp:posOffset>511810</wp:posOffset>
              </wp:positionH>
              <wp:positionV relativeFrom="page">
                <wp:posOffset>424180</wp:posOffset>
              </wp:positionV>
              <wp:extent cx="4358640" cy="0"/>
              <wp:effectExtent l="0" t="0" r="0" b="0"/>
              <wp:wrapNone/>
              <wp:docPr id="600" name="Shape 6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E97AFF" id="_x0000_t32" coordsize="21600,21600" o:spt="32" o:oned="t" path="m,l21600,21600e" filled="f">
              <v:path arrowok="t" fillok="f" o:connecttype="none"/>
              <o:lock v:ext="edit" shapetype="t"/>
            </v:shapetype>
            <v:shape id="Shape 600" o:spid="_x0000_s1026" type="#_x0000_t32" style="position:absolute;margin-left:40.3pt;margin-top:33.4pt;width:343.2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B6F7" w14:textId="77777777" w:rsidR="00093A32" w:rsidRDefault="00093A32">
    <w:pPr>
      <w:spacing w:line="1" w:lineRule="exact"/>
    </w:pPr>
    <w:r>
      <w:rPr>
        <w:noProof/>
      </w:rPr>
      <mc:AlternateContent>
        <mc:Choice Requires="wps">
          <w:drawing>
            <wp:anchor distT="0" distB="0" distL="0" distR="0" simplePos="0" relativeHeight="251934720" behindDoc="1" locked="0" layoutInCell="1" allowOverlap="1" wp14:anchorId="00A1EF17" wp14:editId="5F5DF755">
              <wp:simplePos x="0" y="0"/>
              <wp:positionH relativeFrom="page">
                <wp:posOffset>528320</wp:posOffset>
              </wp:positionH>
              <wp:positionV relativeFrom="page">
                <wp:posOffset>315595</wp:posOffset>
              </wp:positionV>
              <wp:extent cx="2435225" cy="69850"/>
              <wp:effectExtent l="0" t="0" r="0" b="0"/>
              <wp:wrapNone/>
              <wp:docPr id="604" name="Shape 604"/>
              <wp:cNvGraphicFramePr/>
              <a:graphic xmlns:a="http://schemas.openxmlformats.org/drawingml/2006/main">
                <a:graphicData uri="http://schemas.microsoft.com/office/word/2010/wordprocessingShape">
                  <wps:wsp>
                    <wps:cNvSpPr txBox="1"/>
                    <wps:spPr>
                      <a:xfrm>
                        <a:off x="0" y="0"/>
                        <a:ext cx="2435225" cy="69850"/>
                      </a:xfrm>
                      <a:prstGeom prst="rect">
                        <a:avLst/>
                      </a:prstGeom>
                      <a:noFill/>
                    </wps:spPr>
                    <wps:txbx>
                      <w:txbxContent>
                        <w:p w14:paraId="2DD1DDDA" w14:textId="77777777" w:rsidR="00093A32" w:rsidRDefault="00093A32">
                          <w:pPr>
                            <w:pStyle w:val="Headerorfooter0"/>
                            <w:tabs>
                              <w:tab w:val="right" w:pos="3835"/>
                            </w:tabs>
                          </w:pPr>
                          <w:r>
                            <w:rPr>
                              <w:sz w:val="16"/>
                              <w:szCs w:val="16"/>
                            </w:rPr>
                            <w:t>240</w:t>
                          </w:r>
                          <w:r>
                            <w:rPr>
                              <w:sz w:val="16"/>
                              <w:szCs w:val="16"/>
                            </w:rPr>
                            <w:tab/>
                          </w:r>
                          <w:r>
                            <w:t>CALICIVIRUS</w:t>
                          </w:r>
                        </w:p>
                      </w:txbxContent>
                    </wps:txbx>
                    <wps:bodyPr lIns="0" tIns="0" rIns="0" bIns="0">
                      <a:spAutoFit/>
                    </wps:bodyPr>
                  </wps:wsp>
                </a:graphicData>
              </a:graphic>
            </wp:anchor>
          </w:drawing>
        </mc:Choice>
        <mc:Fallback>
          <w:pict>
            <v:shapetype w14:anchorId="00A1EF17" id="_x0000_t202" coordsize="21600,21600" o:spt="202" path="m,l,21600r21600,l21600,xe">
              <v:stroke joinstyle="miter"/>
              <v:path gradientshapeok="t" o:connecttype="rect"/>
            </v:shapetype>
            <v:shape id="Shape 604" o:spid="_x0000_s1080" type="#_x0000_t202" style="position:absolute;margin-left:41.6pt;margin-top:24.85pt;width:191.75pt;height:5.5pt;z-index:-2513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" filled="f" stroked="f">
              <v:textbox style="mso-fit-shape-to-text:t" inset="0,0,0,0">
                <w:txbxContent>
                  <w:p w14:paraId="2DD1DDDA" w14:textId="77777777" w:rsidR="00093A32" w:rsidRDefault="00093A32">
                    <w:pPr>
                      <w:pStyle w:val="Headerorfooter0"/>
                      <w:tabs>
                        <w:tab w:val="right" w:pos="3835"/>
                      </w:tabs>
                    </w:pPr>
                    <w:r>
                      <w:rPr>
                        <w:sz w:val="16"/>
                        <w:szCs w:val="16"/>
                      </w:rPr>
                      <w:t>240</w:t>
                    </w:r>
                    <w:r>
                      <w:rPr>
                        <w:sz w:val="16"/>
                        <w:szCs w:val="16"/>
                      </w:rPr>
                      <w:tab/>
                    </w:r>
                    <w:r>
                      <w:t>CALICIVIRUS</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32E657A4" wp14:editId="49BCF2C3">
              <wp:simplePos x="0" y="0"/>
              <wp:positionH relativeFrom="page">
                <wp:posOffset>513080</wp:posOffset>
              </wp:positionH>
              <wp:positionV relativeFrom="page">
                <wp:posOffset>424180</wp:posOffset>
              </wp:positionV>
              <wp:extent cx="4358640" cy="0"/>
              <wp:effectExtent l="0" t="0" r="0" b="0"/>
              <wp:wrapNone/>
              <wp:docPr id="606" name="Shape 60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10C561E" id="_x0000_t32" coordsize="21600,21600" o:spt="32" o:oned="t" path="m,l21600,21600e" filled="f">
              <v:path arrowok="t" fillok="f" o:connecttype="none"/>
              <o:lock v:ext="edit" shapetype="t"/>
            </v:shapetype>
            <v:shape id="Shape 606" o:spid="_x0000_s1026" type="#_x0000_t32" style="position:absolute;margin-left:40.4pt;margin-top:33.4pt;width:343.2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" strokeweight="1pt">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DD86" w14:textId="77777777" w:rsidR="00093A32" w:rsidRDefault="00093A32">
    <w:pPr>
      <w:spacing w:line="1" w:lineRule="exact"/>
    </w:pPr>
    <w:r>
      <w:rPr>
        <w:noProof/>
      </w:rPr>
      <mc:AlternateContent>
        <mc:Choice Requires="wps">
          <w:drawing>
            <wp:anchor distT="0" distB="0" distL="0" distR="0" simplePos="0" relativeHeight="251933696" behindDoc="1" locked="0" layoutInCell="1" allowOverlap="1" wp14:anchorId="70BA07EA" wp14:editId="2BCE9D7C">
              <wp:simplePos x="0" y="0"/>
              <wp:positionH relativeFrom="page">
                <wp:posOffset>528320</wp:posOffset>
              </wp:positionH>
              <wp:positionV relativeFrom="page">
                <wp:posOffset>315595</wp:posOffset>
              </wp:positionV>
              <wp:extent cx="2435225" cy="69850"/>
              <wp:effectExtent l="0" t="0" r="0" b="0"/>
              <wp:wrapNone/>
              <wp:docPr id="601" name="Shape 601"/>
              <wp:cNvGraphicFramePr/>
              <a:graphic xmlns:a="http://schemas.openxmlformats.org/drawingml/2006/main">
                <a:graphicData uri="http://schemas.microsoft.com/office/word/2010/wordprocessingShape">
                  <wps:wsp>
                    <wps:cNvSpPr txBox="1"/>
                    <wps:spPr>
                      <a:xfrm>
                        <a:off x="0" y="0"/>
                        <a:ext cx="2435225" cy="69850"/>
                      </a:xfrm>
                      <a:prstGeom prst="rect">
                        <a:avLst/>
                      </a:prstGeom>
                      <a:noFill/>
                    </wps:spPr>
                    <wps:txbx>
                      <w:txbxContent>
                        <w:p w14:paraId="0479982B" w14:textId="77777777" w:rsidR="00093A32" w:rsidRDefault="00093A32">
                          <w:pPr>
                            <w:pStyle w:val="Headerorfooter0"/>
                            <w:tabs>
                              <w:tab w:val="right" w:pos="3835"/>
                            </w:tabs>
                          </w:pPr>
                          <w:r>
                            <w:rPr>
                              <w:sz w:val="16"/>
                              <w:szCs w:val="16"/>
                            </w:rPr>
                            <w:t>240</w:t>
                          </w:r>
                          <w:r>
                            <w:rPr>
                              <w:sz w:val="16"/>
                              <w:szCs w:val="16"/>
                            </w:rPr>
                            <w:tab/>
                          </w:r>
                          <w:r>
                            <w:t>CALICIVIRUS</w:t>
                          </w:r>
                        </w:p>
                      </w:txbxContent>
                    </wps:txbx>
                    <wps:bodyPr lIns="0" tIns="0" rIns="0" bIns="0">
                      <a:spAutoFit/>
                    </wps:bodyPr>
                  </wps:wsp>
                </a:graphicData>
              </a:graphic>
            </wp:anchor>
          </w:drawing>
        </mc:Choice>
        <mc:Fallback>
          <w:pict>
            <v:shapetype w14:anchorId="70BA07EA" id="_x0000_t202" coordsize="21600,21600" o:spt="202" path="m,l,21600r21600,l21600,xe">
              <v:stroke joinstyle="miter"/>
              <v:path gradientshapeok="t" o:connecttype="rect"/>
            </v:shapetype>
            <v:shape id="Shape 601" o:spid="_x0000_s1081" type="#_x0000_t202" style="position:absolute;margin-left:41.6pt;margin-top:24.85pt;width:191.75pt;height:5.5pt;z-index:-2513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" filled="f" stroked="f">
              <v:textbox style="mso-fit-shape-to-text:t" inset="0,0,0,0">
                <w:txbxContent>
                  <w:p w14:paraId="0479982B" w14:textId="77777777" w:rsidR="00093A32" w:rsidRDefault="00093A32">
                    <w:pPr>
                      <w:pStyle w:val="Headerorfooter0"/>
                      <w:tabs>
                        <w:tab w:val="right" w:pos="3835"/>
                      </w:tabs>
                    </w:pPr>
                    <w:r>
                      <w:rPr>
                        <w:sz w:val="16"/>
                        <w:szCs w:val="16"/>
                      </w:rPr>
                      <w:t>240</w:t>
                    </w:r>
                    <w:r>
                      <w:rPr>
                        <w:sz w:val="16"/>
                        <w:szCs w:val="16"/>
                      </w:rPr>
                      <w:tab/>
                    </w:r>
                    <w:r>
                      <w:t>CALICIVIRUS</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307C7317" wp14:editId="3158196A">
              <wp:simplePos x="0" y="0"/>
              <wp:positionH relativeFrom="page">
                <wp:posOffset>513080</wp:posOffset>
              </wp:positionH>
              <wp:positionV relativeFrom="page">
                <wp:posOffset>424180</wp:posOffset>
              </wp:positionV>
              <wp:extent cx="4358640" cy="0"/>
              <wp:effectExtent l="0" t="0" r="0" b="0"/>
              <wp:wrapNone/>
              <wp:docPr id="603" name="Shape 60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21ADBD" id="_x0000_t32" coordsize="21600,21600" o:spt="32" o:oned="t" path="m,l21600,21600e" filled="f">
              <v:path arrowok="t" fillok="f" o:connecttype="none"/>
              <o:lock v:ext="edit" shapetype="t"/>
            </v:shapetype>
            <v:shape id="Shape 603" o:spid="_x0000_s1026" type="#_x0000_t32" style="position:absolute;margin-left:40.4pt;margin-top:33.4pt;width:343.2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" strokeweight="1p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8204" w14:textId="77777777" w:rsidR="00093A32" w:rsidRDefault="00093A32">
    <w:pPr>
      <w:spacing w:line="1" w:lineRule="exact"/>
    </w:pPr>
    <w:r>
      <w:rPr>
        <w:noProof/>
      </w:rPr>
      <mc:AlternateContent>
        <mc:Choice Requires="wps">
          <w:drawing>
            <wp:anchor distT="0" distB="0" distL="0" distR="0" simplePos="0" relativeHeight="251935744" behindDoc="1" locked="0" layoutInCell="1" allowOverlap="1" wp14:anchorId="1BD3CC1B" wp14:editId="2749DE0F">
              <wp:simplePos x="0" y="0"/>
              <wp:positionH relativeFrom="page">
                <wp:posOffset>2015490</wp:posOffset>
              </wp:positionH>
              <wp:positionV relativeFrom="page">
                <wp:posOffset>306705</wp:posOffset>
              </wp:positionV>
              <wp:extent cx="2831465" cy="79375"/>
              <wp:effectExtent l="0" t="0" r="0" b="0"/>
              <wp:wrapNone/>
              <wp:docPr id="607" name="Shape 607"/>
              <wp:cNvGraphicFramePr/>
              <a:graphic xmlns:a="http://schemas.openxmlformats.org/drawingml/2006/main">
                <a:graphicData uri="http://schemas.microsoft.com/office/word/2010/wordprocessingShape">
                  <wps:wsp>
                    <wps:cNvSpPr txBox="1"/>
                    <wps:spPr>
                      <a:xfrm>
                        <a:off x="0" y="0"/>
                        <a:ext cx="2831465" cy="79375"/>
                      </a:xfrm>
                      <a:prstGeom prst="rect">
                        <a:avLst/>
                      </a:prstGeom>
                      <a:noFill/>
                    </wps:spPr>
                    <wps:txbx>
                      <w:txbxContent>
                        <w:p w14:paraId="78618331" w14:textId="77777777" w:rsidR="00093A32" w:rsidRDefault="00093A32">
                          <w:pPr>
                            <w:pStyle w:val="Headerorfooter0"/>
                            <w:tabs>
                              <w:tab w:val="right" w:pos="4459"/>
                            </w:tabs>
                            <w:rPr>
                              <w:sz w:val="16"/>
                              <w:szCs w:val="16"/>
                            </w:rPr>
                          </w:pPr>
                          <w:r>
                            <w:rPr>
                              <w:i/>
                              <w:iCs/>
                            </w:rPr>
                            <w:t>BURKHOLDERIA,</w:t>
                          </w:r>
                          <w:r>
                            <w:t xml:space="preserve"> INFECCIONES</w:t>
                          </w:r>
                          <w:r>
                            <w:tab/>
                          </w:r>
                          <w:r>
                            <w:rPr>
                              <w:sz w:val="16"/>
                              <w:szCs w:val="16"/>
                            </w:rPr>
                            <w:t>239</w:t>
                          </w:r>
                        </w:p>
                      </w:txbxContent>
                    </wps:txbx>
                    <wps:bodyPr lIns="0" tIns="0" rIns="0" bIns="0">
                      <a:spAutoFit/>
                    </wps:bodyPr>
                  </wps:wsp>
                </a:graphicData>
              </a:graphic>
            </wp:anchor>
          </w:drawing>
        </mc:Choice>
        <mc:Fallback>
          <w:pict>
            <v:shapetype w14:anchorId="1BD3CC1B" id="_x0000_t202" coordsize="21600,21600" o:spt="202" path="m,l,21600r21600,l21600,xe">
              <v:stroke joinstyle="miter"/>
              <v:path gradientshapeok="t" o:connecttype="rect"/>
            </v:shapetype>
            <v:shape id="Shape 607" o:spid="_x0000_s1082" type="#_x0000_t202" style="position:absolute;margin-left:158.7pt;margin-top:24.15pt;width:222.95pt;height:6.25pt;z-index:-2513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" filled="f" stroked="f">
              <v:textbox style="mso-fit-shape-to-text:t" inset="0,0,0,0">
                <w:txbxContent>
                  <w:p w14:paraId="78618331" w14:textId="77777777" w:rsidR="00093A32" w:rsidRDefault="00093A32">
                    <w:pPr>
                      <w:pStyle w:val="Headerorfooter0"/>
                      <w:tabs>
                        <w:tab w:val="right" w:pos="4459"/>
                      </w:tabs>
                      <w:rPr>
                        <w:sz w:val="16"/>
                        <w:szCs w:val="16"/>
                      </w:rPr>
                    </w:pPr>
                    <w:r>
                      <w:rPr>
                        <w:i/>
                        <w:iCs/>
                      </w:rPr>
                      <w:t>BURKHOLDERIA,</w:t>
                    </w:r>
                    <w:r>
                      <w:t xml:space="preserve"> INFECCIONES</w:t>
                    </w:r>
                    <w:r>
                      <w:tab/>
                    </w:r>
                    <w:r>
                      <w:rPr>
                        <w:sz w:val="16"/>
                        <w:szCs w:val="16"/>
                      </w:rPr>
                      <w:t>239</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57D8AC68" wp14:editId="2E5AEC25">
              <wp:simplePos x="0" y="0"/>
              <wp:positionH relativeFrom="page">
                <wp:posOffset>509905</wp:posOffset>
              </wp:positionH>
              <wp:positionV relativeFrom="page">
                <wp:posOffset>414655</wp:posOffset>
              </wp:positionV>
              <wp:extent cx="4358640" cy="0"/>
              <wp:effectExtent l="0" t="0" r="0" b="0"/>
              <wp:wrapNone/>
              <wp:docPr id="609" name="Shape 60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E9BFA29" id="_x0000_t32" coordsize="21600,21600" o:spt="32" o:oned="t" path="m,l21600,21600e" filled="f">
              <v:path arrowok="t" fillok="f" o:connecttype="none"/>
              <o:lock v:ext="edit" shapetype="t"/>
            </v:shapetype>
            <v:shape id="Shape 609" o:spid="_x0000_s1026" type="#_x0000_t32" style="position:absolute;margin-left:40.15pt;margin-top:32.65pt;width:343.2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" strokeweight="1pt">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5C0D" w14:textId="77777777" w:rsidR="00093A32" w:rsidRDefault="00093A32">
    <w:pPr>
      <w:spacing w:line="1" w:lineRule="exact"/>
    </w:pPr>
    <w:r>
      <w:rPr>
        <w:noProof/>
      </w:rPr>
      <mc:AlternateContent>
        <mc:Choice Requires="wps">
          <w:drawing>
            <wp:anchor distT="0" distB="0" distL="0" distR="0" simplePos="0" relativeHeight="251937792" behindDoc="1" locked="0" layoutInCell="1" allowOverlap="1" wp14:anchorId="71222387" wp14:editId="45B9D4F3">
              <wp:simplePos x="0" y="0"/>
              <wp:positionH relativeFrom="page">
                <wp:posOffset>1972945</wp:posOffset>
              </wp:positionH>
              <wp:positionV relativeFrom="page">
                <wp:posOffset>306705</wp:posOffset>
              </wp:positionV>
              <wp:extent cx="2861945" cy="79375"/>
              <wp:effectExtent l="0" t="0" r="0" b="0"/>
              <wp:wrapNone/>
              <wp:docPr id="613" name="Shape 613"/>
              <wp:cNvGraphicFramePr/>
              <a:graphic xmlns:a="http://schemas.openxmlformats.org/drawingml/2006/main">
                <a:graphicData uri="http://schemas.microsoft.com/office/word/2010/wordprocessingShape">
                  <wps:wsp>
                    <wps:cNvSpPr txBox="1"/>
                    <wps:spPr>
                      <a:xfrm>
                        <a:off x="0" y="0"/>
                        <a:ext cx="2861945" cy="79375"/>
                      </a:xfrm>
                      <a:prstGeom prst="rect">
                        <a:avLst/>
                      </a:prstGeom>
                      <a:noFill/>
                    </wps:spPr>
                    <wps:txbx>
                      <w:txbxContent>
                        <w:p w14:paraId="34CDB64A" w14:textId="77777777" w:rsidR="00093A32" w:rsidRDefault="00093A32">
                          <w:pPr>
                            <w:pStyle w:val="Headerorfooter0"/>
                            <w:tabs>
                              <w:tab w:val="right" w:pos="4507"/>
                            </w:tabs>
                            <w:rPr>
                              <w:sz w:val="16"/>
                              <w:szCs w:val="16"/>
                            </w:rPr>
                          </w:pPr>
                          <w:r>
                            <w:rPr>
                              <w:i/>
                              <w:iCs/>
                            </w:rPr>
                            <w:t>CAMPYLOBACTER,</w:t>
                          </w:r>
                          <w:r>
                            <w:t xml:space="preserve"> INFECCIONES</w:t>
                          </w:r>
                          <w:r>
                            <w:tab/>
                          </w:r>
                          <w:r>
                            <w:rPr>
                              <w:sz w:val="16"/>
                              <w:szCs w:val="16"/>
                            </w:rPr>
                            <w:t>241</w:t>
                          </w:r>
                        </w:p>
                      </w:txbxContent>
                    </wps:txbx>
                    <wps:bodyPr lIns="0" tIns="0" rIns="0" bIns="0">
                      <a:spAutoFit/>
                    </wps:bodyPr>
                  </wps:wsp>
                </a:graphicData>
              </a:graphic>
            </wp:anchor>
          </w:drawing>
        </mc:Choice>
        <mc:Fallback>
          <w:pict>
            <v:shapetype w14:anchorId="71222387" id="_x0000_t202" coordsize="21600,21600" o:spt="202" path="m,l,21600r21600,l21600,xe">
              <v:stroke joinstyle="miter"/>
              <v:path gradientshapeok="t" o:connecttype="rect"/>
            </v:shapetype>
            <v:shape id="Shape 613" o:spid="_x0000_s1083" type="#_x0000_t202" style="position:absolute;margin-left:155.35pt;margin-top:24.15pt;width:225.35pt;height:6.25pt;z-index:-2513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" filled="f" stroked="f">
              <v:textbox style="mso-fit-shape-to-text:t" inset="0,0,0,0">
                <w:txbxContent>
                  <w:p w14:paraId="34CDB64A" w14:textId="77777777" w:rsidR="00093A32" w:rsidRDefault="00093A32">
                    <w:pPr>
                      <w:pStyle w:val="Headerorfooter0"/>
                      <w:tabs>
                        <w:tab w:val="right" w:pos="4507"/>
                      </w:tabs>
                      <w:rPr>
                        <w:sz w:val="16"/>
                        <w:szCs w:val="16"/>
                      </w:rPr>
                    </w:pPr>
                    <w:r>
                      <w:rPr>
                        <w:i/>
                        <w:iCs/>
                      </w:rPr>
                      <w:t>CAMPYLOBACTER,</w:t>
                    </w:r>
                    <w:r>
                      <w:t xml:space="preserve"> INFECCIONES</w:t>
                    </w:r>
                    <w:r>
                      <w:tab/>
                    </w:r>
                    <w:r>
                      <w:rPr>
                        <w:sz w:val="16"/>
                        <w:szCs w:val="16"/>
                      </w:rPr>
                      <w:t>241</w:t>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052B3F21" wp14:editId="67218816">
              <wp:simplePos x="0" y="0"/>
              <wp:positionH relativeFrom="page">
                <wp:posOffset>513080</wp:posOffset>
              </wp:positionH>
              <wp:positionV relativeFrom="page">
                <wp:posOffset>414655</wp:posOffset>
              </wp:positionV>
              <wp:extent cx="4358640" cy="0"/>
              <wp:effectExtent l="0" t="0" r="0" b="0"/>
              <wp:wrapNone/>
              <wp:docPr id="615" name="Shape 61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C48429" id="_x0000_t32" coordsize="21600,21600" o:spt="32" o:oned="t" path="m,l21600,21600e" filled="f">
              <v:path arrowok="t" fillok="f" o:connecttype="none"/>
              <o:lock v:ext="edit" shapetype="t"/>
            </v:shapetype>
            <v:shape id="Shape 615" o:spid="_x0000_s1026" type="#_x0000_t32" style="position:absolute;margin-left:40.4pt;margin-top:32.65pt;width:343.2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418D" w14:textId="77777777" w:rsidR="00093A32" w:rsidRDefault="00093A32">
    <w:pPr>
      <w:spacing w:line="1" w:lineRule="exact"/>
    </w:pPr>
    <w:r>
      <w:rPr>
        <w:noProof/>
      </w:rPr>
      <mc:AlternateContent>
        <mc:Choice Requires="wps">
          <w:drawing>
            <wp:anchor distT="0" distB="0" distL="0" distR="0" simplePos="0" relativeHeight="251936768" behindDoc="1" locked="0" layoutInCell="1" allowOverlap="1" wp14:anchorId="0C6EAF8D" wp14:editId="0D517BDC">
              <wp:simplePos x="0" y="0"/>
              <wp:positionH relativeFrom="page">
                <wp:posOffset>1972945</wp:posOffset>
              </wp:positionH>
              <wp:positionV relativeFrom="page">
                <wp:posOffset>306705</wp:posOffset>
              </wp:positionV>
              <wp:extent cx="2861945" cy="79375"/>
              <wp:effectExtent l="0" t="0" r="0" b="0"/>
              <wp:wrapNone/>
              <wp:docPr id="610" name="Shape 610"/>
              <wp:cNvGraphicFramePr/>
              <a:graphic xmlns:a="http://schemas.openxmlformats.org/drawingml/2006/main">
                <a:graphicData uri="http://schemas.microsoft.com/office/word/2010/wordprocessingShape">
                  <wps:wsp>
                    <wps:cNvSpPr txBox="1"/>
                    <wps:spPr>
                      <a:xfrm>
                        <a:off x="0" y="0"/>
                        <a:ext cx="2861945" cy="79375"/>
                      </a:xfrm>
                      <a:prstGeom prst="rect">
                        <a:avLst/>
                      </a:prstGeom>
                      <a:noFill/>
                    </wps:spPr>
                    <wps:txbx>
                      <w:txbxContent>
                        <w:p w14:paraId="1B886CFB" w14:textId="77777777" w:rsidR="00093A32" w:rsidRDefault="00093A32">
                          <w:pPr>
                            <w:pStyle w:val="Headerorfooter0"/>
                            <w:tabs>
                              <w:tab w:val="right" w:pos="4507"/>
                            </w:tabs>
                            <w:rPr>
                              <w:sz w:val="16"/>
                              <w:szCs w:val="16"/>
                            </w:rPr>
                          </w:pPr>
                          <w:r>
                            <w:rPr>
                              <w:i/>
                              <w:iCs/>
                            </w:rPr>
                            <w:t>CAMPYLOBACTER,</w:t>
                          </w:r>
                          <w:r>
                            <w:t xml:space="preserve"> INFECCIONES</w:t>
                          </w:r>
                          <w:r>
                            <w:tab/>
                          </w:r>
                          <w:r>
                            <w:rPr>
                              <w:sz w:val="16"/>
                              <w:szCs w:val="16"/>
                            </w:rPr>
                            <w:t>241</w:t>
                          </w:r>
                        </w:p>
                      </w:txbxContent>
                    </wps:txbx>
                    <wps:bodyPr lIns="0" tIns="0" rIns="0" bIns="0">
                      <a:spAutoFit/>
                    </wps:bodyPr>
                  </wps:wsp>
                </a:graphicData>
              </a:graphic>
            </wp:anchor>
          </w:drawing>
        </mc:Choice>
        <mc:Fallback>
          <w:pict>
            <v:shapetype w14:anchorId="0C6EAF8D" id="_x0000_t202" coordsize="21600,21600" o:spt="202" path="m,l,21600r21600,l21600,xe">
              <v:stroke joinstyle="miter"/>
              <v:path gradientshapeok="t" o:connecttype="rect"/>
            </v:shapetype>
            <v:shape id="Shape 610" o:spid="_x0000_s1084" type="#_x0000_t202" style="position:absolute;margin-left:155.35pt;margin-top:24.15pt;width:225.35pt;height:6.25pt;z-index:-2513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" filled="f" stroked="f">
              <v:textbox style="mso-fit-shape-to-text:t" inset="0,0,0,0">
                <w:txbxContent>
                  <w:p w14:paraId="1B886CFB" w14:textId="77777777" w:rsidR="00093A32" w:rsidRDefault="00093A32">
                    <w:pPr>
                      <w:pStyle w:val="Headerorfooter0"/>
                      <w:tabs>
                        <w:tab w:val="right" w:pos="4507"/>
                      </w:tabs>
                      <w:rPr>
                        <w:sz w:val="16"/>
                        <w:szCs w:val="16"/>
                      </w:rPr>
                    </w:pPr>
                    <w:r>
                      <w:rPr>
                        <w:i/>
                        <w:iCs/>
                      </w:rPr>
                      <w:t>CAMPYLOBACTER,</w:t>
                    </w:r>
                    <w:r>
                      <w:t xml:space="preserve"> INFECCIONES</w:t>
                    </w:r>
                    <w:r>
                      <w:tab/>
                    </w:r>
                    <w:r>
                      <w:rPr>
                        <w:sz w:val="16"/>
                        <w:szCs w:val="16"/>
                      </w:rPr>
                      <w:t>241</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0A094CEA" wp14:editId="21D86402">
              <wp:simplePos x="0" y="0"/>
              <wp:positionH relativeFrom="page">
                <wp:posOffset>513080</wp:posOffset>
              </wp:positionH>
              <wp:positionV relativeFrom="page">
                <wp:posOffset>414655</wp:posOffset>
              </wp:positionV>
              <wp:extent cx="4358640" cy="0"/>
              <wp:effectExtent l="0" t="0" r="0" b="0"/>
              <wp:wrapNone/>
              <wp:docPr id="612" name="Shape 61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C4A4190" id="_x0000_t32" coordsize="21600,21600" o:spt="32" o:oned="t" path="m,l21600,21600e" filled="f">
              <v:path arrowok="t" fillok="f" o:connecttype="none"/>
              <o:lock v:ext="edit" shapetype="t"/>
            </v:shapetype>
            <v:shape id="Shape 612" o:spid="_x0000_s1026" type="#_x0000_t32" style="position:absolute;margin-left:40.4pt;margin-top:32.65pt;width:343.2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C245" w14:textId="77777777" w:rsidR="00093A32" w:rsidRDefault="00093A32">
    <w:pPr>
      <w:spacing w:line="1" w:lineRule="exact"/>
    </w:pPr>
    <w:r>
      <w:rPr>
        <w:noProof/>
      </w:rPr>
      <mc:AlternateContent>
        <mc:Choice Requires="wps">
          <w:drawing>
            <wp:anchor distT="0" distB="0" distL="0" distR="0" simplePos="0" relativeHeight="251939840" behindDoc="1" locked="0" layoutInCell="1" allowOverlap="1" wp14:anchorId="058160A5" wp14:editId="4F654B18">
              <wp:simplePos x="0" y="0"/>
              <wp:positionH relativeFrom="page">
                <wp:posOffset>2411730</wp:posOffset>
              </wp:positionH>
              <wp:positionV relativeFrom="page">
                <wp:posOffset>315595</wp:posOffset>
              </wp:positionV>
              <wp:extent cx="2441575" cy="69850"/>
              <wp:effectExtent l="0" t="0" r="0" b="0"/>
              <wp:wrapNone/>
              <wp:docPr id="619" name="Shape 619"/>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61B53811" w14:textId="77777777" w:rsidR="00093A32" w:rsidRDefault="00093A32">
                          <w:pPr>
                            <w:pStyle w:val="Headerorfooter0"/>
                            <w:tabs>
                              <w:tab w:val="right" w:pos="3845"/>
                            </w:tabs>
                            <w:rPr>
                              <w:sz w:val="16"/>
                              <w:szCs w:val="16"/>
                            </w:rPr>
                          </w:pPr>
                          <w:r>
                            <w:t>CANDIDIASIS</w:t>
                          </w:r>
                          <w:r>
                            <w:tab/>
                          </w:r>
                          <w:r>
                            <w:rPr>
                              <w:sz w:val="16"/>
                              <w:szCs w:val="16"/>
                            </w:rPr>
                            <w:t>243</w:t>
                          </w:r>
                        </w:p>
                      </w:txbxContent>
                    </wps:txbx>
                    <wps:bodyPr lIns="0" tIns="0" rIns="0" bIns="0">
                      <a:spAutoFit/>
                    </wps:bodyPr>
                  </wps:wsp>
                </a:graphicData>
              </a:graphic>
            </wp:anchor>
          </w:drawing>
        </mc:Choice>
        <mc:Fallback>
          <w:pict>
            <v:shapetype w14:anchorId="058160A5" id="_x0000_t202" coordsize="21600,21600" o:spt="202" path="m,l,21600r21600,l21600,xe">
              <v:stroke joinstyle="miter"/>
              <v:path gradientshapeok="t" o:connecttype="rect"/>
            </v:shapetype>
            <v:shape id="Shape 619" o:spid="_x0000_s1085" type="#_x0000_t202" style="position:absolute;margin-left:189.9pt;margin-top:24.85pt;width:192.25pt;height:5.5pt;z-index:-2513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" filled="f" stroked="f">
              <v:textbox style="mso-fit-shape-to-text:t" inset="0,0,0,0">
                <w:txbxContent>
                  <w:p w14:paraId="61B53811" w14:textId="77777777" w:rsidR="00093A32" w:rsidRDefault="00093A32">
                    <w:pPr>
                      <w:pStyle w:val="Headerorfooter0"/>
                      <w:tabs>
                        <w:tab w:val="right" w:pos="3845"/>
                      </w:tabs>
                      <w:rPr>
                        <w:sz w:val="16"/>
                        <w:szCs w:val="16"/>
                      </w:rPr>
                    </w:pPr>
                    <w:r>
                      <w:t>CANDIDIASIS</w:t>
                    </w:r>
                    <w:r>
                      <w:tab/>
                    </w:r>
                    <w:r>
                      <w:rPr>
                        <w:sz w:val="16"/>
                        <w:szCs w:val="16"/>
                      </w:rPr>
                      <w:t>243</w:t>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7BFEB78C" wp14:editId="75D48246">
              <wp:simplePos x="0" y="0"/>
              <wp:positionH relativeFrom="page">
                <wp:posOffset>516255</wp:posOffset>
              </wp:positionH>
              <wp:positionV relativeFrom="page">
                <wp:posOffset>424180</wp:posOffset>
              </wp:positionV>
              <wp:extent cx="4358640" cy="0"/>
              <wp:effectExtent l="0" t="0" r="0" b="0"/>
              <wp:wrapNone/>
              <wp:docPr id="621" name="Shape 62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A1A9490" id="_x0000_t32" coordsize="21600,21600" o:spt="32" o:oned="t" path="m,l21600,21600e" filled="f">
              <v:path arrowok="t" fillok="f" o:connecttype="none"/>
              <o:lock v:ext="edit" shapetype="t"/>
            </v:shapetype>
            <v:shape id="Shape 621" o:spid="_x0000_s1026" type="#_x0000_t32" style="position:absolute;margin-left:40.65pt;margin-top:33.4pt;width:343.2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793F" w14:textId="77777777" w:rsidR="00093A32" w:rsidRDefault="00093A32">
    <w:pPr>
      <w:spacing w:line="1" w:lineRule="exact"/>
    </w:pPr>
    <w:r>
      <w:rPr>
        <w:noProof/>
      </w:rPr>
      <mc:AlternateContent>
        <mc:Choice Requires="wps">
          <w:drawing>
            <wp:anchor distT="0" distB="0" distL="0" distR="0" simplePos="0" relativeHeight="251938816" behindDoc="1" locked="0" layoutInCell="1" allowOverlap="1" wp14:anchorId="7496A08D" wp14:editId="519A3B6E">
              <wp:simplePos x="0" y="0"/>
              <wp:positionH relativeFrom="page">
                <wp:posOffset>2411730</wp:posOffset>
              </wp:positionH>
              <wp:positionV relativeFrom="page">
                <wp:posOffset>315595</wp:posOffset>
              </wp:positionV>
              <wp:extent cx="2441575" cy="69850"/>
              <wp:effectExtent l="0" t="0" r="0" b="0"/>
              <wp:wrapNone/>
              <wp:docPr id="616" name="Shape 616"/>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07CB532E" w14:textId="77777777" w:rsidR="00093A32" w:rsidRDefault="00093A32">
                          <w:pPr>
                            <w:pStyle w:val="Headerorfooter0"/>
                            <w:tabs>
                              <w:tab w:val="right" w:pos="3845"/>
                            </w:tabs>
                            <w:rPr>
                              <w:sz w:val="16"/>
                              <w:szCs w:val="16"/>
                            </w:rPr>
                          </w:pPr>
                          <w:r>
                            <w:t>CANDIDIASIS</w:t>
                          </w:r>
                          <w:r>
                            <w:tab/>
                          </w:r>
                          <w:r>
                            <w:rPr>
                              <w:sz w:val="16"/>
                              <w:szCs w:val="16"/>
                            </w:rPr>
                            <w:t>243</w:t>
                          </w:r>
                        </w:p>
                      </w:txbxContent>
                    </wps:txbx>
                    <wps:bodyPr lIns="0" tIns="0" rIns="0" bIns="0">
                      <a:spAutoFit/>
                    </wps:bodyPr>
                  </wps:wsp>
                </a:graphicData>
              </a:graphic>
            </wp:anchor>
          </w:drawing>
        </mc:Choice>
        <mc:Fallback>
          <w:pict>
            <v:shapetype w14:anchorId="7496A08D" id="_x0000_t202" coordsize="21600,21600" o:spt="202" path="m,l,21600r21600,l21600,xe">
              <v:stroke joinstyle="miter"/>
              <v:path gradientshapeok="t" o:connecttype="rect"/>
            </v:shapetype>
            <v:shape id="Shape 616" o:spid="_x0000_s1086" type="#_x0000_t202" style="position:absolute;margin-left:189.9pt;margin-top:24.85pt;width:192.25pt;height:5.5pt;z-index:-2513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" filled="f" stroked="f">
              <v:textbox style="mso-fit-shape-to-text:t" inset="0,0,0,0">
                <w:txbxContent>
                  <w:p w14:paraId="07CB532E" w14:textId="77777777" w:rsidR="00093A32" w:rsidRDefault="00093A32">
                    <w:pPr>
                      <w:pStyle w:val="Headerorfooter0"/>
                      <w:tabs>
                        <w:tab w:val="right" w:pos="3845"/>
                      </w:tabs>
                      <w:rPr>
                        <w:sz w:val="16"/>
                        <w:szCs w:val="16"/>
                      </w:rPr>
                    </w:pPr>
                    <w:r>
                      <w:t>CANDIDIASIS</w:t>
                    </w:r>
                    <w:r>
                      <w:tab/>
                    </w:r>
                    <w:r>
                      <w:rPr>
                        <w:sz w:val="16"/>
                        <w:szCs w:val="16"/>
                      </w:rPr>
                      <w:t>243</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24E6CEB1" wp14:editId="45942D13">
              <wp:simplePos x="0" y="0"/>
              <wp:positionH relativeFrom="page">
                <wp:posOffset>516255</wp:posOffset>
              </wp:positionH>
              <wp:positionV relativeFrom="page">
                <wp:posOffset>424180</wp:posOffset>
              </wp:positionV>
              <wp:extent cx="4358640" cy="0"/>
              <wp:effectExtent l="0" t="0" r="0" b="0"/>
              <wp:wrapNone/>
              <wp:docPr id="618" name="Shape 61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B2ADCF" id="_x0000_t32" coordsize="21600,21600" o:spt="32" o:oned="t" path="m,l21600,21600e" filled="f">
              <v:path arrowok="t" fillok="f" o:connecttype="none"/>
              <o:lock v:ext="edit" shapetype="t"/>
            </v:shapetype>
            <v:shape id="Shape 618" o:spid="_x0000_s1026" type="#_x0000_t32" style="position:absolute;margin-left:40.65pt;margin-top:33.4pt;width:343.2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4E4B" w14:textId="77777777" w:rsidR="00093A32" w:rsidRDefault="00093A32">
    <w:pPr>
      <w:spacing w:line="1" w:lineRule="exact"/>
    </w:pPr>
    <w:r>
      <w:rPr>
        <w:noProof/>
      </w:rPr>
      <mc:AlternateContent>
        <mc:Choice Requires="wps">
          <w:drawing>
            <wp:anchor distT="0" distB="0" distL="0" distR="0" simplePos="0" relativeHeight="251940864" behindDoc="1" locked="0" layoutInCell="1" allowOverlap="1" wp14:anchorId="60920466" wp14:editId="5CBF965E">
              <wp:simplePos x="0" y="0"/>
              <wp:positionH relativeFrom="page">
                <wp:posOffset>534670</wp:posOffset>
              </wp:positionH>
              <wp:positionV relativeFrom="page">
                <wp:posOffset>306705</wp:posOffset>
              </wp:positionV>
              <wp:extent cx="2886710" cy="79375"/>
              <wp:effectExtent l="0" t="0" r="0" b="0"/>
              <wp:wrapNone/>
              <wp:docPr id="622" name="Shape 622"/>
              <wp:cNvGraphicFramePr/>
              <a:graphic xmlns:a="http://schemas.openxmlformats.org/drawingml/2006/main">
                <a:graphicData uri="http://schemas.microsoft.com/office/word/2010/wordprocessingShape">
                  <wps:wsp>
                    <wps:cNvSpPr txBox="1"/>
                    <wps:spPr>
                      <a:xfrm>
                        <a:off x="0" y="0"/>
                        <a:ext cx="2886710" cy="79375"/>
                      </a:xfrm>
                      <a:prstGeom prst="rect">
                        <a:avLst/>
                      </a:prstGeom>
                      <a:noFill/>
                    </wps:spPr>
                    <wps:txbx>
                      <w:txbxContent>
                        <w:p w14:paraId="04BE312F" w14:textId="77777777" w:rsidR="00093A32" w:rsidRDefault="00093A32">
                          <w:pPr>
                            <w:pStyle w:val="Headerorfooter0"/>
                            <w:tabs>
                              <w:tab w:val="right" w:pos="4546"/>
                            </w:tabs>
                          </w:pPr>
                          <w:r>
                            <w:rPr>
                              <w:sz w:val="16"/>
                              <w:szCs w:val="16"/>
                            </w:rPr>
                            <w:t>242</w:t>
                          </w:r>
                          <w:r>
                            <w:rPr>
                              <w:sz w:val="16"/>
                              <w:szCs w:val="16"/>
                            </w:rPr>
                            <w:tab/>
                          </w:r>
                          <w:r>
                            <w:rPr>
                              <w:i/>
                              <w:iCs/>
                            </w:rPr>
                            <w:t>CAMPYLOBACTER,</w:t>
                          </w:r>
                          <w:r>
                            <w:t xml:space="preserve"> INFECCIONES</w:t>
                          </w:r>
                        </w:p>
                      </w:txbxContent>
                    </wps:txbx>
                    <wps:bodyPr lIns="0" tIns="0" rIns="0" bIns="0">
                      <a:spAutoFit/>
                    </wps:bodyPr>
                  </wps:wsp>
                </a:graphicData>
              </a:graphic>
            </wp:anchor>
          </w:drawing>
        </mc:Choice>
        <mc:Fallback>
          <w:pict>
            <v:shapetype w14:anchorId="60920466" id="_x0000_t202" coordsize="21600,21600" o:spt="202" path="m,l,21600r21600,l21600,xe">
              <v:stroke joinstyle="miter"/>
              <v:path gradientshapeok="t" o:connecttype="rect"/>
            </v:shapetype>
            <v:shape id="Shape 622" o:spid="_x0000_s1087" type="#_x0000_t202" style="position:absolute;margin-left:42.1pt;margin-top:24.15pt;width:227.3pt;height:6.25pt;z-index:-2513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" filled="f" stroked="f">
              <v:textbox style="mso-fit-shape-to-text:t" inset="0,0,0,0">
                <w:txbxContent>
                  <w:p w14:paraId="04BE312F" w14:textId="77777777" w:rsidR="00093A32" w:rsidRDefault="00093A32">
                    <w:pPr>
                      <w:pStyle w:val="Headerorfooter0"/>
                      <w:tabs>
                        <w:tab w:val="right" w:pos="4546"/>
                      </w:tabs>
                    </w:pPr>
                    <w:r>
                      <w:rPr>
                        <w:sz w:val="16"/>
                        <w:szCs w:val="16"/>
                      </w:rPr>
                      <w:t>242</w:t>
                    </w:r>
                    <w:r>
                      <w:rPr>
                        <w:sz w:val="16"/>
                        <w:szCs w:val="16"/>
                      </w:rPr>
                      <w:tab/>
                    </w:r>
                    <w:r>
                      <w:rPr>
                        <w:i/>
                        <w:iCs/>
                      </w:rPr>
                      <w:t>CAMPYLOBACTER,</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3CF881C5" wp14:editId="24973271">
              <wp:simplePos x="0" y="0"/>
              <wp:positionH relativeFrom="page">
                <wp:posOffset>519430</wp:posOffset>
              </wp:positionH>
              <wp:positionV relativeFrom="page">
                <wp:posOffset>414655</wp:posOffset>
              </wp:positionV>
              <wp:extent cx="4358640" cy="0"/>
              <wp:effectExtent l="0" t="0" r="0" b="0"/>
              <wp:wrapNone/>
              <wp:docPr id="624" name="Shape 62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FE6AA8" id="_x0000_t32" coordsize="21600,21600" o:spt="32" o:oned="t" path="m,l21600,21600e" filled="f">
              <v:path arrowok="t" fillok="f" o:connecttype="none"/>
              <o:lock v:ext="edit" shapetype="t"/>
            </v:shapetype>
            <v:shape id="Shape 624" o:spid="_x0000_s1026" type="#_x0000_t32" style="position:absolute;margin-left:40.9pt;margin-top:32.65pt;width:343.2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" strokeweight="1pt">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DFA6" w14:textId="77777777" w:rsidR="00093A32" w:rsidRDefault="00093A32">
    <w:pPr>
      <w:spacing w:line="1" w:lineRule="exact"/>
    </w:pPr>
    <w:r>
      <w:rPr>
        <w:noProof/>
      </w:rPr>
      <mc:AlternateContent>
        <mc:Choice Requires="wps">
          <w:drawing>
            <wp:anchor distT="0" distB="0" distL="0" distR="0" simplePos="0" relativeHeight="251942912" behindDoc="1" locked="0" layoutInCell="1" allowOverlap="1" wp14:anchorId="5776E4A7" wp14:editId="072EBF13">
              <wp:simplePos x="0" y="0"/>
              <wp:positionH relativeFrom="page">
                <wp:posOffset>2411730</wp:posOffset>
              </wp:positionH>
              <wp:positionV relativeFrom="page">
                <wp:posOffset>315595</wp:posOffset>
              </wp:positionV>
              <wp:extent cx="2441575" cy="69850"/>
              <wp:effectExtent l="0" t="0" r="0" b="0"/>
              <wp:wrapNone/>
              <wp:docPr id="628" name="Shape 628"/>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12D0F8A7" w14:textId="77777777" w:rsidR="00093A32" w:rsidRDefault="00093A32">
                          <w:pPr>
                            <w:pStyle w:val="Headerorfooter0"/>
                            <w:tabs>
                              <w:tab w:val="right" w:pos="3845"/>
                            </w:tabs>
                            <w:rPr>
                              <w:sz w:val="16"/>
                              <w:szCs w:val="16"/>
                            </w:rPr>
                          </w:pPr>
                          <w:r>
                            <w:t>CANDIDIASIS</w:t>
                          </w:r>
                          <w:r>
                            <w:tab/>
                          </w:r>
                          <w:r>
                            <w:rPr>
                              <w:sz w:val="16"/>
                              <w:szCs w:val="16"/>
                            </w:rPr>
                            <w:t>243</w:t>
                          </w:r>
                        </w:p>
                      </w:txbxContent>
                    </wps:txbx>
                    <wps:bodyPr lIns="0" tIns="0" rIns="0" bIns="0">
                      <a:spAutoFit/>
                    </wps:bodyPr>
                  </wps:wsp>
                </a:graphicData>
              </a:graphic>
            </wp:anchor>
          </w:drawing>
        </mc:Choice>
        <mc:Fallback>
          <w:pict>
            <v:shapetype w14:anchorId="5776E4A7" id="_x0000_t202" coordsize="21600,21600" o:spt="202" path="m,l,21600r21600,l21600,xe">
              <v:stroke joinstyle="miter"/>
              <v:path gradientshapeok="t" o:connecttype="rect"/>
            </v:shapetype>
            <v:shape id="Shape 628" o:spid="_x0000_s1088" type="#_x0000_t202" style="position:absolute;margin-left:189.9pt;margin-top:24.85pt;width:192.25pt;height:5.5pt;z-index:-2513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" filled="f" stroked="f">
              <v:textbox style="mso-fit-shape-to-text:t" inset="0,0,0,0">
                <w:txbxContent>
                  <w:p w14:paraId="12D0F8A7" w14:textId="77777777" w:rsidR="00093A32" w:rsidRDefault="00093A32">
                    <w:pPr>
                      <w:pStyle w:val="Headerorfooter0"/>
                      <w:tabs>
                        <w:tab w:val="right" w:pos="3845"/>
                      </w:tabs>
                      <w:rPr>
                        <w:sz w:val="16"/>
                        <w:szCs w:val="16"/>
                      </w:rPr>
                    </w:pPr>
                    <w:r>
                      <w:t>CANDIDIASIS</w:t>
                    </w:r>
                    <w:r>
                      <w:tab/>
                    </w:r>
                    <w:r>
                      <w:rPr>
                        <w:sz w:val="16"/>
                        <w:szCs w:val="16"/>
                      </w:rPr>
                      <w:t>243</w:t>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2764FEAA" wp14:editId="688A9387">
              <wp:simplePos x="0" y="0"/>
              <wp:positionH relativeFrom="page">
                <wp:posOffset>516255</wp:posOffset>
              </wp:positionH>
              <wp:positionV relativeFrom="page">
                <wp:posOffset>424180</wp:posOffset>
              </wp:positionV>
              <wp:extent cx="4358640" cy="0"/>
              <wp:effectExtent l="0" t="0" r="0" b="0"/>
              <wp:wrapNone/>
              <wp:docPr id="630" name="Shape 63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9B0735D" id="_x0000_t32" coordsize="21600,21600" o:spt="32" o:oned="t" path="m,l21600,21600e" filled="f">
              <v:path arrowok="t" fillok="f" o:connecttype="none"/>
              <o:lock v:ext="edit" shapetype="t"/>
            </v:shapetype>
            <v:shape id="Shape 630" o:spid="_x0000_s1026" type="#_x0000_t32" style="position:absolute;margin-left:40.65pt;margin-top:33.4pt;width:343.2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DA8C" w14:textId="77777777" w:rsidR="00093A32" w:rsidRDefault="00093A32">
    <w:pPr>
      <w:spacing w:line="1" w:lineRule="exact"/>
    </w:pPr>
    <w:r>
      <w:rPr>
        <w:noProof/>
      </w:rPr>
      <mc:AlternateContent>
        <mc:Choice Requires="wps">
          <w:drawing>
            <wp:anchor distT="0" distB="0" distL="0" distR="0" simplePos="0" relativeHeight="251941888" behindDoc="1" locked="0" layoutInCell="1" allowOverlap="1" wp14:anchorId="274A7EBB" wp14:editId="6FEC99DB">
              <wp:simplePos x="0" y="0"/>
              <wp:positionH relativeFrom="page">
                <wp:posOffset>2411730</wp:posOffset>
              </wp:positionH>
              <wp:positionV relativeFrom="page">
                <wp:posOffset>315595</wp:posOffset>
              </wp:positionV>
              <wp:extent cx="2441575" cy="69850"/>
              <wp:effectExtent l="0" t="0" r="0" b="0"/>
              <wp:wrapNone/>
              <wp:docPr id="625" name="Shape 625"/>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257283DB" w14:textId="77777777" w:rsidR="00093A32" w:rsidRDefault="00093A32">
                          <w:pPr>
                            <w:pStyle w:val="Headerorfooter0"/>
                            <w:tabs>
                              <w:tab w:val="right" w:pos="3845"/>
                            </w:tabs>
                            <w:rPr>
                              <w:sz w:val="16"/>
                              <w:szCs w:val="16"/>
                            </w:rPr>
                          </w:pPr>
                          <w:r>
                            <w:t>CANDIDIASIS</w:t>
                          </w:r>
                          <w:r>
                            <w:tab/>
                          </w:r>
                          <w:r>
                            <w:rPr>
                              <w:sz w:val="16"/>
                              <w:szCs w:val="16"/>
                            </w:rPr>
                            <w:t>243</w:t>
                          </w:r>
                        </w:p>
                      </w:txbxContent>
                    </wps:txbx>
                    <wps:bodyPr lIns="0" tIns="0" rIns="0" bIns="0">
                      <a:spAutoFit/>
                    </wps:bodyPr>
                  </wps:wsp>
                </a:graphicData>
              </a:graphic>
            </wp:anchor>
          </w:drawing>
        </mc:Choice>
        <mc:Fallback>
          <w:pict>
            <v:shapetype w14:anchorId="274A7EBB" id="_x0000_t202" coordsize="21600,21600" o:spt="202" path="m,l,21600r21600,l21600,xe">
              <v:stroke joinstyle="miter"/>
              <v:path gradientshapeok="t" o:connecttype="rect"/>
            </v:shapetype>
            <v:shape id="Shape 625" o:spid="_x0000_s1089" type="#_x0000_t202" style="position:absolute;margin-left:189.9pt;margin-top:24.85pt;width:192.25pt;height:5.5pt;z-index:-2513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" filled="f" stroked="f">
              <v:textbox style="mso-fit-shape-to-text:t" inset="0,0,0,0">
                <w:txbxContent>
                  <w:p w14:paraId="257283DB" w14:textId="77777777" w:rsidR="00093A32" w:rsidRDefault="00093A32">
                    <w:pPr>
                      <w:pStyle w:val="Headerorfooter0"/>
                      <w:tabs>
                        <w:tab w:val="right" w:pos="3845"/>
                      </w:tabs>
                      <w:rPr>
                        <w:sz w:val="16"/>
                        <w:szCs w:val="16"/>
                      </w:rPr>
                    </w:pPr>
                    <w:r>
                      <w:t>CANDIDIASIS</w:t>
                    </w:r>
                    <w:r>
                      <w:tab/>
                    </w:r>
                    <w:r>
                      <w:rPr>
                        <w:sz w:val="16"/>
                        <w:szCs w:val="16"/>
                      </w:rPr>
                      <w:t>243</w:t>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62D7632A" wp14:editId="7C041ECA">
              <wp:simplePos x="0" y="0"/>
              <wp:positionH relativeFrom="page">
                <wp:posOffset>516255</wp:posOffset>
              </wp:positionH>
              <wp:positionV relativeFrom="page">
                <wp:posOffset>424180</wp:posOffset>
              </wp:positionV>
              <wp:extent cx="4358640" cy="0"/>
              <wp:effectExtent l="0" t="0" r="0" b="0"/>
              <wp:wrapNone/>
              <wp:docPr id="627" name="Shape 62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4E22622" id="_x0000_t32" coordsize="21600,21600" o:spt="32" o:oned="t" path="m,l21600,21600e" filled="f">
              <v:path arrowok="t" fillok="f" o:connecttype="none"/>
              <o:lock v:ext="edit" shapetype="t"/>
            </v:shapetype>
            <v:shape id="Shape 627" o:spid="_x0000_s1026" type="#_x0000_t32" style="position:absolute;margin-left:40.65pt;margin-top:33.4pt;width:343.2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sk4T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3Z&#10;5pGTGpTiBeynKk1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Cms&#10;k4TaAAAACAEAAA8AAAAAAAAAAAAAAAAAwgMAAGRycy9kb3ducmV2LnhtbFBLBQYAAAAABAAEAPMA&#10;AADJBAAAAAA=&#10;" strokeweight="1pt">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296" w14:textId="77777777" w:rsidR="00093A32" w:rsidRDefault="00093A32">
    <w:pPr>
      <w:spacing w:line="1" w:lineRule="exact"/>
    </w:pPr>
    <w:r>
      <w:rPr>
        <w:noProof/>
      </w:rPr>
      <mc:AlternateContent>
        <mc:Choice Requires="wps">
          <w:drawing>
            <wp:anchor distT="0" distB="0" distL="0" distR="0" simplePos="0" relativeHeight="251943936" behindDoc="1" locked="0" layoutInCell="1" allowOverlap="1" wp14:anchorId="451E3819" wp14:editId="335AF5B8">
              <wp:simplePos x="0" y="0"/>
              <wp:positionH relativeFrom="page">
                <wp:posOffset>525145</wp:posOffset>
              </wp:positionH>
              <wp:positionV relativeFrom="page">
                <wp:posOffset>315595</wp:posOffset>
              </wp:positionV>
              <wp:extent cx="2444750" cy="69850"/>
              <wp:effectExtent l="0" t="0" r="0" b="0"/>
              <wp:wrapNone/>
              <wp:docPr id="631" name="Shape 631"/>
              <wp:cNvGraphicFramePr/>
              <a:graphic xmlns:a="http://schemas.openxmlformats.org/drawingml/2006/main">
                <a:graphicData uri="http://schemas.microsoft.com/office/word/2010/wordprocessingShape">
                  <wps:wsp>
                    <wps:cNvSpPr txBox="1"/>
                    <wps:spPr>
                      <a:xfrm>
                        <a:off x="0" y="0"/>
                        <a:ext cx="2444750" cy="69850"/>
                      </a:xfrm>
                      <a:prstGeom prst="rect">
                        <a:avLst/>
                      </a:prstGeom>
                      <a:noFill/>
                    </wps:spPr>
                    <wps:txbx>
                      <w:txbxContent>
                        <w:p w14:paraId="6B5CD249" w14:textId="77777777" w:rsidR="00093A32" w:rsidRDefault="00093A32">
                          <w:pPr>
                            <w:pStyle w:val="Headerorfooter0"/>
                            <w:tabs>
                              <w:tab w:val="right" w:pos="3850"/>
                            </w:tabs>
                          </w:pPr>
                          <w:r>
                            <w:rPr>
                              <w:sz w:val="16"/>
                              <w:szCs w:val="16"/>
                            </w:rPr>
                            <w:t>244</w:t>
                          </w:r>
                          <w:r>
                            <w:rPr>
                              <w:sz w:val="16"/>
                              <w:szCs w:val="16"/>
                            </w:rPr>
                            <w:tab/>
                          </w:r>
                          <w:r>
                            <w:t>CANDIDIASIS</w:t>
                          </w:r>
                        </w:p>
                      </w:txbxContent>
                    </wps:txbx>
                    <wps:bodyPr lIns="0" tIns="0" rIns="0" bIns="0">
                      <a:spAutoFit/>
                    </wps:bodyPr>
                  </wps:wsp>
                </a:graphicData>
              </a:graphic>
            </wp:anchor>
          </w:drawing>
        </mc:Choice>
        <mc:Fallback>
          <w:pict>
            <v:shapetype w14:anchorId="451E3819" id="_x0000_t202" coordsize="21600,21600" o:spt="202" path="m,l,21600r21600,l21600,xe">
              <v:stroke joinstyle="miter"/>
              <v:path gradientshapeok="t" o:connecttype="rect"/>
            </v:shapetype>
            <v:shape id="Shape 631" o:spid="_x0000_s1090" type="#_x0000_t202" style="position:absolute;margin-left:41.35pt;margin-top:24.85pt;width:192.5pt;height:5.5pt;z-index:-2513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" filled="f" stroked="f">
              <v:textbox style="mso-fit-shape-to-text:t" inset="0,0,0,0">
                <w:txbxContent>
                  <w:p w14:paraId="6B5CD249" w14:textId="77777777" w:rsidR="00093A32" w:rsidRDefault="00093A32">
                    <w:pPr>
                      <w:pStyle w:val="Headerorfooter0"/>
                      <w:tabs>
                        <w:tab w:val="right" w:pos="3850"/>
                      </w:tabs>
                    </w:pPr>
                    <w:r>
                      <w:rPr>
                        <w:sz w:val="16"/>
                        <w:szCs w:val="16"/>
                      </w:rPr>
                      <w:t>244</w:t>
                    </w:r>
                    <w:r>
                      <w:rPr>
                        <w:sz w:val="16"/>
                        <w:szCs w:val="16"/>
                      </w:rPr>
                      <w:tab/>
                    </w:r>
                    <w:r>
                      <w:t>CANDIDIASIS</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43915721" wp14:editId="39C86B2D">
              <wp:simplePos x="0" y="0"/>
              <wp:positionH relativeFrom="page">
                <wp:posOffset>509905</wp:posOffset>
              </wp:positionH>
              <wp:positionV relativeFrom="page">
                <wp:posOffset>424180</wp:posOffset>
              </wp:positionV>
              <wp:extent cx="4358640" cy="0"/>
              <wp:effectExtent l="0" t="0" r="0" b="0"/>
              <wp:wrapNone/>
              <wp:docPr id="633" name="Shape 6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010ED3" id="_x0000_t32" coordsize="21600,21600" o:spt="32" o:oned="t" path="m,l21600,21600e" filled="f">
              <v:path arrowok="t" fillok="f" o:connecttype="none"/>
              <o:lock v:ext="edit" shapetype="t"/>
            </v:shapetype>
            <v:shape id="Shape 633" o:spid="_x0000_s1026" type="#_x0000_t32" style="position:absolute;margin-left:40.15pt;margin-top:33.4pt;width:343.2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" strokeweight="1pt">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5275" w14:textId="77777777" w:rsidR="00093A32" w:rsidRDefault="00093A32">
    <w:pPr>
      <w:spacing w:line="1" w:lineRule="exact"/>
    </w:pPr>
    <w:r>
      <w:rPr>
        <w:noProof/>
      </w:rPr>
      <mc:AlternateContent>
        <mc:Choice Requires="wps">
          <w:drawing>
            <wp:anchor distT="0" distB="0" distL="0" distR="0" simplePos="0" relativeHeight="251945984" behindDoc="1" locked="0" layoutInCell="1" allowOverlap="1" wp14:anchorId="58C45D2F" wp14:editId="0037CAFD">
              <wp:simplePos x="0" y="0"/>
              <wp:positionH relativeFrom="page">
                <wp:posOffset>528320</wp:posOffset>
              </wp:positionH>
              <wp:positionV relativeFrom="page">
                <wp:posOffset>285115</wp:posOffset>
              </wp:positionV>
              <wp:extent cx="3517265" cy="100330"/>
              <wp:effectExtent l="0" t="0" r="0" b="0"/>
              <wp:wrapNone/>
              <wp:docPr id="637" name="Shape 637"/>
              <wp:cNvGraphicFramePr/>
              <a:graphic xmlns:a="http://schemas.openxmlformats.org/drawingml/2006/main">
                <a:graphicData uri="http://schemas.microsoft.com/office/word/2010/wordprocessingShape">
                  <wps:wsp>
                    <wps:cNvSpPr txBox="1"/>
                    <wps:spPr>
                      <a:xfrm>
                        <a:off x="0" y="0"/>
                        <a:ext cx="3517265" cy="100330"/>
                      </a:xfrm>
                      <a:prstGeom prst="rect">
                        <a:avLst/>
                      </a:prstGeom>
                      <a:noFill/>
                    </wps:spPr>
                    <wps:txbx>
                      <w:txbxContent>
                        <w:p w14:paraId="7C581726" w14:textId="77777777" w:rsidR="00093A32" w:rsidRDefault="00093A32">
                          <w:pPr>
                            <w:pStyle w:val="Headerorfooter0"/>
                            <w:tabs>
                              <w:tab w:val="right" w:pos="5539"/>
                            </w:tabs>
                          </w:pPr>
                          <w:r>
                            <w:rPr>
                              <w:sz w:val="16"/>
                              <w:szCs w:val="16"/>
                            </w:rPr>
                            <w:t>474</w:t>
                          </w:r>
                          <w:r>
                            <w:rPr>
                              <w:sz w:val="16"/>
                              <w:szCs w:val="16"/>
                            </w:rPr>
                            <w:tab/>
                          </w:r>
                          <w:r>
                            <w:t>LINFORRETICULOSIS (ENFERMEDAD POR ARAÑAZO DE GATO)</w:t>
                          </w:r>
                        </w:p>
                      </w:txbxContent>
                    </wps:txbx>
                    <wps:bodyPr lIns="0" tIns="0" rIns="0" bIns="0">
                      <a:spAutoFit/>
                    </wps:bodyPr>
                  </wps:wsp>
                </a:graphicData>
              </a:graphic>
            </wp:anchor>
          </w:drawing>
        </mc:Choice>
        <mc:Fallback>
          <w:pict>
            <v:shapetype w14:anchorId="58C45D2F" id="_x0000_t202" coordsize="21600,21600" o:spt="202" path="m,l,21600r21600,l21600,xe">
              <v:stroke joinstyle="miter"/>
              <v:path gradientshapeok="t" o:connecttype="rect"/>
            </v:shapetype>
            <v:shape id="Shape 637" o:spid="_x0000_s1091" type="#_x0000_t202" style="position:absolute;margin-left:41.6pt;margin-top:22.45pt;width:276.95pt;height:7.9pt;z-index:-2513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" filled="f" stroked="f">
              <v:textbox style="mso-fit-shape-to-text:t" inset="0,0,0,0">
                <w:txbxContent>
                  <w:p w14:paraId="7C581726" w14:textId="77777777" w:rsidR="00093A32" w:rsidRDefault="00093A32">
                    <w:pPr>
                      <w:pStyle w:val="Headerorfooter0"/>
                      <w:tabs>
                        <w:tab w:val="right" w:pos="5539"/>
                      </w:tabs>
                    </w:pPr>
                    <w:r>
                      <w:rPr>
                        <w:sz w:val="16"/>
                        <w:szCs w:val="16"/>
                      </w:rPr>
                      <w:t>474</w:t>
                    </w:r>
                    <w:r>
                      <w:rPr>
                        <w:sz w:val="16"/>
                        <w:szCs w:val="16"/>
                      </w:rPr>
                      <w:tab/>
                    </w:r>
                    <w:r>
                      <w:t>LINFORRETICULOSIS (ENFERMEDAD POR ARAÑAZO DE GATO)</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77730980" wp14:editId="1340592F">
              <wp:simplePos x="0" y="0"/>
              <wp:positionH relativeFrom="page">
                <wp:posOffset>513080</wp:posOffset>
              </wp:positionH>
              <wp:positionV relativeFrom="page">
                <wp:posOffset>408940</wp:posOffset>
              </wp:positionV>
              <wp:extent cx="4358640" cy="0"/>
              <wp:effectExtent l="0" t="0" r="0" b="0"/>
              <wp:wrapNone/>
              <wp:docPr id="639" name="Shape 6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707E37" id="_x0000_t32" coordsize="21600,21600" o:spt="32" o:oned="t" path="m,l21600,21600e" filled="f">
              <v:path arrowok="t" fillok="f" o:connecttype="none"/>
              <o:lock v:ext="edit" shapetype="t"/>
            </v:shapetype>
            <v:shape id="Shape 639" o:spid="_x0000_s1026" type="#_x0000_t32" style="position:absolute;margin-left:40.4pt;margin-top:32.2pt;width:343.2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Lve&#10;5mTaAAAACAEAAA8AAAAAAAAAAAAAAAAAwgMAAGRycy9kb3ducmV2LnhtbFBLBQYAAAAABAAEAPMA&#10;AADJBAAAAAA=&#10;" strokeweight="1pt">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613F" w14:textId="77777777" w:rsidR="00093A32" w:rsidRDefault="00093A32">
    <w:pPr>
      <w:spacing w:line="1" w:lineRule="exact"/>
    </w:pPr>
    <w:r>
      <w:rPr>
        <w:noProof/>
      </w:rPr>
      <mc:AlternateContent>
        <mc:Choice Requires="wps">
          <w:drawing>
            <wp:anchor distT="0" distB="0" distL="0" distR="0" simplePos="0" relativeHeight="251944960" behindDoc="1" locked="0" layoutInCell="1" allowOverlap="1" wp14:anchorId="26AA0E4F" wp14:editId="64F3A2F2">
              <wp:simplePos x="0" y="0"/>
              <wp:positionH relativeFrom="page">
                <wp:posOffset>528320</wp:posOffset>
              </wp:positionH>
              <wp:positionV relativeFrom="page">
                <wp:posOffset>285115</wp:posOffset>
              </wp:positionV>
              <wp:extent cx="3517265" cy="100330"/>
              <wp:effectExtent l="0" t="0" r="0" b="0"/>
              <wp:wrapNone/>
              <wp:docPr id="634" name="Shape 634"/>
              <wp:cNvGraphicFramePr/>
              <a:graphic xmlns:a="http://schemas.openxmlformats.org/drawingml/2006/main">
                <a:graphicData uri="http://schemas.microsoft.com/office/word/2010/wordprocessingShape">
                  <wps:wsp>
                    <wps:cNvSpPr txBox="1"/>
                    <wps:spPr>
                      <a:xfrm>
                        <a:off x="0" y="0"/>
                        <a:ext cx="3517265" cy="100330"/>
                      </a:xfrm>
                      <a:prstGeom prst="rect">
                        <a:avLst/>
                      </a:prstGeom>
                      <a:noFill/>
                    </wps:spPr>
                    <wps:txbx>
                      <w:txbxContent>
                        <w:p w14:paraId="079757DD" w14:textId="77777777" w:rsidR="00093A32" w:rsidRDefault="00093A32">
                          <w:pPr>
                            <w:pStyle w:val="Headerorfooter0"/>
                            <w:tabs>
                              <w:tab w:val="right" w:pos="5539"/>
                            </w:tabs>
                          </w:pPr>
                          <w:r>
                            <w:rPr>
                              <w:sz w:val="16"/>
                              <w:szCs w:val="16"/>
                            </w:rPr>
                            <w:t>474</w:t>
                          </w:r>
                          <w:r>
                            <w:rPr>
                              <w:sz w:val="16"/>
                              <w:szCs w:val="16"/>
                            </w:rPr>
                            <w:tab/>
                          </w:r>
                          <w:r>
                            <w:t>LINFORRETICULOSIS (ENFERMEDAD POR ARAÑAZO DE GATO)</w:t>
                          </w:r>
                        </w:p>
                      </w:txbxContent>
                    </wps:txbx>
                    <wps:bodyPr lIns="0" tIns="0" rIns="0" bIns="0">
                      <a:spAutoFit/>
                    </wps:bodyPr>
                  </wps:wsp>
                </a:graphicData>
              </a:graphic>
            </wp:anchor>
          </w:drawing>
        </mc:Choice>
        <mc:Fallback>
          <w:pict>
            <v:shapetype w14:anchorId="26AA0E4F" id="_x0000_t202" coordsize="21600,21600" o:spt="202" path="m,l,21600r21600,l21600,xe">
              <v:stroke joinstyle="miter"/>
              <v:path gradientshapeok="t" o:connecttype="rect"/>
            </v:shapetype>
            <v:shape id="Shape 634" o:spid="_x0000_s1092" type="#_x0000_t202" style="position:absolute;margin-left:41.6pt;margin-top:22.45pt;width:276.95pt;height:7.9pt;z-index:-2513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" filled="f" stroked="f">
              <v:textbox style="mso-fit-shape-to-text:t" inset="0,0,0,0">
                <w:txbxContent>
                  <w:p w14:paraId="079757DD" w14:textId="77777777" w:rsidR="00093A32" w:rsidRDefault="00093A32">
                    <w:pPr>
                      <w:pStyle w:val="Headerorfooter0"/>
                      <w:tabs>
                        <w:tab w:val="right" w:pos="5539"/>
                      </w:tabs>
                    </w:pPr>
                    <w:r>
                      <w:rPr>
                        <w:sz w:val="16"/>
                        <w:szCs w:val="16"/>
                      </w:rPr>
                      <w:t>474</w:t>
                    </w:r>
                    <w:r>
                      <w:rPr>
                        <w:sz w:val="16"/>
                        <w:szCs w:val="16"/>
                      </w:rPr>
                      <w:tab/>
                    </w:r>
                    <w:r>
                      <w:t>LINFORRETICULOSIS (ENFERMEDAD POR ARAÑAZO DE GATO)</w:t>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71BF0B3B" wp14:editId="491ED729">
              <wp:simplePos x="0" y="0"/>
              <wp:positionH relativeFrom="page">
                <wp:posOffset>513080</wp:posOffset>
              </wp:positionH>
              <wp:positionV relativeFrom="page">
                <wp:posOffset>408940</wp:posOffset>
              </wp:positionV>
              <wp:extent cx="4358640" cy="0"/>
              <wp:effectExtent l="0" t="0" r="0" b="0"/>
              <wp:wrapNone/>
              <wp:docPr id="636" name="Shape 6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38B8DA8" id="_x0000_t32" coordsize="21600,21600" o:spt="32" o:oned="t" path="m,l21600,21600e" filled="f">
              <v:path arrowok="t" fillok="f" o:connecttype="none"/>
              <o:lock v:ext="edit" shapetype="t"/>
            </v:shapetype>
            <v:shape id="Shape 636" o:spid="_x0000_s1026" type="#_x0000_t32" style="position:absolute;margin-left:40.4pt;margin-top:32.2pt;width:343.2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Lve&#10;5mTaAAAACAEAAA8AAAAAAAAAAAAAAAAAwgMAAGRycy9kb3ducmV2LnhtbFBLBQYAAAAABAAEAPMA&#10;AADJBAAAAAA=&#10;" strokeweight="1pt">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3F7F" w14:textId="77777777" w:rsidR="00093A32" w:rsidRDefault="00093A32">
    <w:pPr>
      <w:spacing w:line="1" w:lineRule="exact"/>
    </w:pPr>
    <w:r>
      <w:rPr>
        <w:noProof/>
      </w:rPr>
      <mc:AlternateContent>
        <mc:Choice Requires="wps">
          <w:drawing>
            <wp:anchor distT="0" distB="0" distL="0" distR="0" simplePos="0" relativeHeight="251947008" behindDoc="1" locked="0" layoutInCell="1" allowOverlap="1" wp14:anchorId="3F311C22" wp14:editId="5A110ED4">
              <wp:simplePos x="0" y="0"/>
              <wp:positionH relativeFrom="page">
                <wp:posOffset>527050</wp:posOffset>
              </wp:positionH>
              <wp:positionV relativeFrom="page">
                <wp:posOffset>315595</wp:posOffset>
              </wp:positionV>
              <wp:extent cx="2414270" cy="69850"/>
              <wp:effectExtent l="0" t="0" r="0" b="0"/>
              <wp:wrapNone/>
              <wp:docPr id="640" name="Shape 640"/>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619B69BE" w14:textId="77777777" w:rsidR="00093A32" w:rsidRDefault="00093A32">
                          <w:pPr>
                            <w:pStyle w:val="Headerorfooter0"/>
                            <w:tabs>
                              <w:tab w:val="right" w:pos="3802"/>
                            </w:tabs>
                          </w:pPr>
                          <w:r>
                            <w:rPr>
                              <w:sz w:val="16"/>
                              <w:szCs w:val="16"/>
                            </w:rPr>
                            <w:t>246</w:t>
                          </w:r>
                          <w:r>
                            <w:rPr>
                              <w:sz w:val="16"/>
                              <w:szCs w:val="16"/>
                            </w:rPr>
                            <w:tab/>
                          </w:r>
                          <w:r>
                            <w:t>CARBUNCO</w:t>
                          </w:r>
                        </w:p>
                      </w:txbxContent>
                    </wps:txbx>
                    <wps:bodyPr lIns="0" tIns="0" rIns="0" bIns="0">
                      <a:spAutoFit/>
                    </wps:bodyPr>
                  </wps:wsp>
                </a:graphicData>
              </a:graphic>
            </wp:anchor>
          </w:drawing>
        </mc:Choice>
        <mc:Fallback>
          <w:pict>
            <v:shapetype w14:anchorId="3F311C22" id="_x0000_t202" coordsize="21600,21600" o:spt="202" path="m,l,21600r21600,l21600,xe">
              <v:stroke joinstyle="miter"/>
              <v:path gradientshapeok="t" o:connecttype="rect"/>
            </v:shapetype>
            <v:shape id="Shape 640" o:spid="_x0000_s1093" type="#_x0000_t202" style="position:absolute;margin-left:41.5pt;margin-top:24.85pt;width:190.1pt;height:5.5pt;z-index:-2513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" filled="f" stroked="f">
              <v:textbox style="mso-fit-shape-to-text:t" inset="0,0,0,0">
                <w:txbxContent>
                  <w:p w14:paraId="619B69BE" w14:textId="77777777" w:rsidR="00093A32" w:rsidRDefault="00093A32">
                    <w:pPr>
                      <w:pStyle w:val="Headerorfooter0"/>
                      <w:tabs>
                        <w:tab w:val="right" w:pos="3802"/>
                      </w:tabs>
                    </w:pPr>
                    <w:r>
                      <w:rPr>
                        <w:sz w:val="16"/>
                        <w:szCs w:val="16"/>
                      </w:rPr>
                      <w:t>246</w:t>
                    </w:r>
                    <w:r>
                      <w:rPr>
                        <w:sz w:val="16"/>
                        <w:szCs w:val="16"/>
                      </w:rPr>
                      <w:tab/>
                    </w:r>
                    <w:r>
                      <w:t>CARBUNCO</w:t>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5B72C9FC" wp14:editId="5DBBA2C2">
              <wp:simplePos x="0" y="0"/>
              <wp:positionH relativeFrom="page">
                <wp:posOffset>511810</wp:posOffset>
              </wp:positionH>
              <wp:positionV relativeFrom="page">
                <wp:posOffset>424180</wp:posOffset>
              </wp:positionV>
              <wp:extent cx="4358640" cy="0"/>
              <wp:effectExtent l="0" t="0" r="0" b="0"/>
              <wp:wrapNone/>
              <wp:docPr id="642" name="Shape 6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41E7973" id="_x0000_t32" coordsize="21600,21600" o:spt="32" o:oned="t" path="m,l21600,21600e" filled="f">
              <v:path arrowok="t" fillok="f" o:connecttype="none"/>
              <o:lock v:ext="edit" shapetype="t"/>
            </v:shapetype>
            <v:shape id="Shape 642" o:spid="_x0000_s1026" type="#_x0000_t32" style="position:absolute;margin-left:40.3pt;margin-top:33.4pt;width:343.2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DB8B" w14:textId="77777777" w:rsidR="00093A32" w:rsidRDefault="00093A32">
    <w:pPr>
      <w:spacing w:line="1" w:lineRule="exact"/>
    </w:pPr>
    <w:r>
      <w:rPr>
        <w:noProof/>
      </w:rPr>
      <mc:AlternateContent>
        <mc:Choice Requires="wps">
          <w:drawing>
            <wp:anchor distT="0" distB="0" distL="0" distR="0" simplePos="0" relativeHeight="251949056" behindDoc="1" locked="0" layoutInCell="1" allowOverlap="1" wp14:anchorId="025FE0FF" wp14:editId="3347350F">
              <wp:simplePos x="0" y="0"/>
              <wp:positionH relativeFrom="page">
                <wp:posOffset>544830</wp:posOffset>
              </wp:positionH>
              <wp:positionV relativeFrom="page">
                <wp:posOffset>306705</wp:posOffset>
              </wp:positionV>
              <wp:extent cx="3096895" cy="79375"/>
              <wp:effectExtent l="0" t="0" r="0" b="0"/>
              <wp:wrapNone/>
              <wp:docPr id="646" name="Shape 646"/>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55C6DE57" w14:textId="77777777" w:rsidR="00093A32" w:rsidRDefault="00093A32">
                          <w:pPr>
                            <w:pStyle w:val="Headerorfooter0"/>
                            <w:tabs>
                              <w:tab w:val="right" w:pos="4877"/>
                            </w:tabs>
                          </w:pPr>
                          <w:r>
                            <w:rPr>
                              <w:sz w:val="16"/>
                              <w:szCs w:val="16"/>
                            </w:rPr>
                            <w:t>476</w:t>
                          </w:r>
                          <w:r>
                            <w:rPr>
                              <w:sz w:val="16"/>
                              <w:szCs w:val="16"/>
                            </w:rPr>
                            <w:tab/>
                          </w:r>
                          <w:r>
                            <w:rPr>
                              <w:i/>
                              <w:iCs/>
                              <w:sz w:val="13"/>
                              <w:szCs w:val="13"/>
                            </w:rPr>
                            <w:t>LISTERIA MONOCYTOGENES</w:t>
                          </w:r>
                          <w:r>
                            <w:rPr>
                              <w:i/>
                              <w:iCs/>
                            </w:rPr>
                            <w:t>,</w:t>
                          </w:r>
                          <w:r>
                            <w:t xml:space="preserve"> INFECCIONES</w:t>
                          </w:r>
                        </w:p>
                      </w:txbxContent>
                    </wps:txbx>
                    <wps:bodyPr lIns="0" tIns="0" rIns="0" bIns="0">
                      <a:spAutoFit/>
                    </wps:bodyPr>
                  </wps:wsp>
                </a:graphicData>
              </a:graphic>
            </wp:anchor>
          </w:drawing>
        </mc:Choice>
        <mc:Fallback>
          <w:pict>
            <v:shapetype w14:anchorId="025FE0FF" id="_x0000_t202" coordsize="21600,21600" o:spt="202" path="m,l,21600r21600,l21600,xe">
              <v:stroke joinstyle="miter"/>
              <v:path gradientshapeok="t" o:connecttype="rect"/>
            </v:shapetype>
            <v:shape id="Shape 646" o:spid="_x0000_s1094" type="#_x0000_t202" style="position:absolute;margin-left:42.9pt;margin-top:24.15pt;width:243.85pt;height:6.25pt;z-index:-2513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" filled="f" stroked="f">
              <v:textbox style="mso-fit-shape-to-text:t" inset="0,0,0,0">
                <w:txbxContent>
                  <w:p w14:paraId="55C6DE57" w14:textId="77777777" w:rsidR="00093A32" w:rsidRDefault="00093A32">
                    <w:pPr>
                      <w:pStyle w:val="Headerorfooter0"/>
                      <w:tabs>
                        <w:tab w:val="right" w:pos="4877"/>
                      </w:tabs>
                    </w:pPr>
                    <w:r>
                      <w:rPr>
                        <w:sz w:val="16"/>
                        <w:szCs w:val="16"/>
                      </w:rPr>
                      <w:t>476</w:t>
                    </w:r>
                    <w:r>
                      <w:rPr>
                        <w:sz w:val="16"/>
                        <w:szCs w:val="16"/>
                      </w:rPr>
                      <w:tab/>
                    </w:r>
                    <w:r>
                      <w:rPr>
                        <w:i/>
                        <w:iCs/>
                        <w:sz w:val="13"/>
                        <w:szCs w:val="13"/>
                      </w:rPr>
                      <w:t>LISTERIA MONOCYTOGENES</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4DCB508D" wp14:editId="0BDE0260">
              <wp:simplePos x="0" y="0"/>
              <wp:positionH relativeFrom="page">
                <wp:posOffset>529590</wp:posOffset>
              </wp:positionH>
              <wp:positionV relativeFrom="page">
                <wp:posOffset>414655</wp:posOffset>
              </wp:positionV>
              <wp:extent cx="4358640" cy="0"/>
              <wp:effectExtent l="0" t="0" r="0" b="0"/>
              <wp:wrapNone/>
              <wp:docPr id="648" name="Shape 6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255B58" id="_x0000_t32" coordsize="21600,21600" o:spt="32" o:oned="t" path="m,l21600,21600e" filled="f">
              <v:path arrowok="t" fillok="f" o:connecttype="none"/>
              <o:lock v:ext="edit" shapetype="t"/>
            </v:shapetype>
            <v:shape id="Shape 648" o:spid="_x0000_s1026" type="#_x0000_t32" style="position:absolute;margin-left:41.7pt;margin-top:32.65pt;width:343.2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Ai&#10;Bi2d2wAAAAgBAAAPAAAAAAAAAAAAAAAAAMIDAABkcnMvZG93bnJldi54bWxQSwUGAAAAAAQABADz&#10;AAAAygQ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A2D4" w14:textId="77777777" w:rsidR="00093A32" w:rsidRDefault="00093A32">
    <w:pPr>
      <w:spacing w:line="1" w:lineRule="exact"/>
    </w:pPr>
    <w:r>
      <w:rPr>
        <w:noProof/>
      </w:rPr>
      <mc:AlternateContent>
        <mc:Choice Requires="wps">
          <w:drawing>
            <wp:anchor distT="0" distB="0" distL="0" distR="0" simplePos="0" relativeHeight="251948032" behindDoc="1" locked="0" layoutInCell="1" allowOverlap="1" wp14:anchorId="5F0DC57C" wp14:editId="2E5E111F">
              <wp:simplePos x="0" y="0"/>
              <wp:positionH relativeFrom="page">
                <wp:posOffset>544830</wp:posOffset>
              </wp:positionH>
              <wp:positionV relativeFrom="page">
                <wp:posOffset>306705</wp:posOffset>
              </wp:positionV>
              <wp:extent cx="3096895" cy="79375"/>
              <wp:effectExtent l="0" t="0" r="0" b="0"/>
              <wp:wrapNone/>
              <wp:docPr id="643" name="Shape 643"/>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17D750E0" w14:textId="77777777" w:rsidR="00093A32" w:rsidRDefault="00093A32">
                          <w:pPr>
                            <w:pStyle w:val="Headerorfooter0"/>
                            <w:tabs>
                              <w:tab w:val="right" w:pos="4877"/>
                            </w:tabs>
                          </w:pPr>
                          <w:r>
                            <w:rPr>
                              <w:sz w:val="16"/>
                              <w:szCs w:val="16"/>
                            </w:rPr>
                            <w:t>476</w:t>
                          </w:r>
                          <w:r>
                            <w:rPr>
                              <w:sz w:val="16"/>
                              <w:szCs w:val="16"/>
                            </w:rPr>
                            <w:tab/>
                          </w:r>
                          <w:r>
                            <w:rPr>
                              <w:i/>
                              <w:iCs/>
                              <w:sz w:val="13"/>
                              <w:szCs w:val="13"/>
                            </w:rPr>
                            <w:t>LISTERIA MONOCYTOGENES</w:t>
                          </w:r>
                          <w:r>
                            <w:rPr>
                              <w:i/>
                              <w:iCs/>
                            </w:rPr>
                            <w:t>,</w:t>
                          </w:r>
                          <w:r>
                            <w:t xml:space="preserve"> INFECCIONES</w:t>
                          </w:r>
                        </w:p>
                      </w:txbxContent>
                    </wps:txbx>
                    <wps:bodyPr lIns="0" tIns="0" rIns="0" bIns="0">
                      <a:spAutoFit/>
                    </wps:bodyPr>
                  </wps:wsp>
                </a:graphicData>
              </a:graphic>
            </wp:anchor>
          </w:drawing>
        </mc:Choice>
        <mc:Fallback>
          <w:pict>
            <v:shapetype w14:anchorId="5F0DC57C" id="_x0000_t202" coordsize="21600,21600" o:spt="202" path="m,l,21600r21600,l21600,xe">
              <v:stroke joinstyle="miter"/>
              <v:path gradientshapeok="t" o:connecttype="rect"/>
            </v:shapetype>
            <v:shape id="Shape 643" o:spid="_x0000_s1095" type="#_x0000_t202" style="position:absolute;margin-left:42.9pt;margin-top:24.15pt;width:243.85pt;height:6.25pt;z-index:-2513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" filled="f" stroked="f">
              <v:textbox style="mso-fit-shape-to-text:t" inset="0,0,0,0">
                <w:txbxContent>
                  <w:p w14:paraId="17D750E0" w14:textId="77777777" w:rsidR="00093A32" w:rsidRDefault="00093A32">
                    <w:pPr>
                      <w:pStyle w:val="Headerorfooter0"/>
                      <w:tabs>
                        <w:tab w:val="right" w:pos="4877"/>
                      </w:tabs>
                    </w:pPr>
                    <w:r>
                      <w:rPr>
                        <w:sz w:val="16"/>
                        <w:szCs w:val="16"/>
                      </w:rPr>
                      <w:t>476</w:t>
                    </w:r>
                    <w:r>
                      <w:rPr>
                        <w:sz w:val="16"/>
                        <w:szCs w:val="16"/>
                      </w:rPr>
                      <w:tab/>
                    </w:r>
                    <w:r>
                      <w:rPr>
                        <w:i/>
                        <w:iCs/>
                        <w:sz w:val="13"/>
                        <w:szCs w:val="13"/>
                      </w:rPr>
                      <w:t>LISTERIA MONOCYTOGENES</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69C39B64" wp14:editId="102D2FF6">
              <wp:simplePos x="0" y="0"/>
              <wp:positionH relativeFrom="page">
                <wp:posOffset>529590</wp:posOffset>
              </wp:positionH>
              <wp:positionV relativeFrom="page">
                <wp:posOffset>414655</wp:posOffset>
              </wp:positionV>
              <wp:extent cx="4358640" cy="0"/>
              <wp:effectExtent l="0" t="0" r="0" b="0"/>
              <wp:wrapNone/>
              <wp:docPr id="645" name="Shape 6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6AAB5AC" id="_x0000_t32" coordsize="21600,21600" o:spt="32" o:oned="t" path="m,l21600,21600e" filled="f">
              <v:path arrowok="t" fillok="f" o:connecttype="none"/>
              <o:lock v:ext="edit" shapetype="t"/>
            </v:shapetype>
            <v:shape id="Shape 645" o:spid="_x0000_s1026" type="#_x0000_t32" style="position:absolute;margin-left:41.7pt;margin-top:32.65pt;width:343.2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Ai&#10;Bi2d2wAAAAgBAAAPAAAAAAAAAAAAAAAAAMIDAABkcnMvZG93bnJldi54bWxQSwUGAAAAAAQABADz&#10;AAAAygQ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1463" w14:textId="77777777" w:rsidR="00093A32" w:rsidRDefault="00093A32">
    <w:pPr>
      <w:spacing w:line="1" w:lineRule="exact"/>
    </w:pPr>
    <w:r>
      <w:rPr>
        <w:noProof/>
      </w:rPr>
      <mc:AlternateContent>
        <mc:Choice Requires="wps">
          <w:drawing>
            <wp:anchor distT="0" distB="0" distL="0" distR="0" simplePos="0" relativeHeight="251950080" behindDoc="1" locked="0" layoutInCell="1" allowOverlap="1" wp14:anchorId="3095A1AC" wp14:editId="77680AE3">
              <wp:simplePos x="0" y="0"/>
              <wp:positionH relativeFrom="page">
                <wp:posOffset>1344930</wp:posOffset>
              </wp:positionH>
              <wp:positionV relativeFrom="page">
                <wp:posOffset>285115</wp:posOffset>
              </wp:positionV>
              <wp:extent cx="3511550" cy="100330"/>
              <wp:effectExtent l="0" t="0" r="0" b="0"/>
              <wp:wrapNone/>
              <wp:docPr id="649" name="Shape 649"/>
              <wp:cNvGraphicFramePr/>
              <a:graphic xmlns:a="http://schemas.openxmlformats.org/drawingml/2006/main">
                <a:graphicData uri="http://schemas.microsoft.com/office/word/2010/wordprocessingShape">
                  <wps:wsp>
                    <wps:cNvSpPr txBox="1"/>
                    <wps:spPr>
                      <a:xfrm>
                        <a:off x="0" y="0"/>
                        <a:ext cx="3511550" cy="100330"/>
                      </a:xfrm>
                      <a:prstGeom prst="rect">
                        <a:avLst/>
                      </a:prstGeom>
                      <a:noFill/>
                    </wps:spPr>
                    <wps:txbx>
                      <w:txbxContent>
                        <w:p w14:paraId="36FB6353" w14:textId="77777777" w:rsidR="00093A32" w:rsidRDefault="00093A32">
                          <w:pPr>
                            <w:pStyle w:val="Headerorfooter0"/>
                            <w:tabs>
                              <w:tab w:val="right" w:pos="5530"/>
                            </w:tabs>
                            <w:rPr>
                              <w:sz w:val="16"/>
                              <w:szCs w:val="16"/>
                            </w:rPr>
                          </w:pPr>
                          <w:r>
                            <w:t>LINFORRETICULOSIS (ENFERMEDAD POR ARAÑAZO DE GATO)</w:t>
                          </w:r>
                          <w:r>
                            <w:tab/>
                          </w:r>
                          <w:r>
                            <w:rPr>
                              <w:sz w:val="16"/>
                              <w:szCs w:val="16"/>
                            </w:rPr>
                            <w:t>475</w:t>
                          </w:r>
                        </w:p>
                      </w:txbxContent>
                    </wps:txbx>
                    <wps:bodyPr lIns="0" tIns="0" rIns="0" bIns="0">
                      <a:spAutoFit/>
                    </wps:bodyPr>
                  </wps:wsp>
                </a:graphicData>
              </a:graphic>
            </wp:anchor>
          </w:drawing>
        </mc:Choice>
        <mc:Fallback>
          <w:pict>
            <v:shapetype w14:anchorId="3095A1AC" id="_x0000_t202" coordsize="21600,21600" o:spt="202" path="m,l,21600r21600,l21600,xe">
              <v:stroke joinstyle="miter"/>
              <v:path gradientshapeok="t" o:connecttype="rect"/>
            </v:shapetype>
            <v:shape id="Shape 649" o:spid="_x0000_s1096" type="#_x0000_t202" style="position:absolute;margin-left:105.9pt;margin-top:22.45pt;width:276.5pt;height:7.9pt;z-index:-2513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" filled="f" stroked="f">
              <v:textbox style="mso-fit-shape-to-text:t" inset="0,0,0,0">
                <w:txbxContent>
                  <w:p w14:paraId="36FB6353" w14:textId="77777777" w:rsidR="00093A32" w:rsidRDefault="00093A32">
                    <w:pPr>
                      <w:pStyle w:val="Headerorfooter0"/>
                      <w:tabs>
                        <w:tab w:val="right" w:pos="5530"/>
                      </w:tabs>
                      <w:rPr>
                        <w:sz w:val="16"/>
                        <w:szCs w:val="16"/>
                      </w:rPr>
                    </w:pPr>
                    <w:r>
                      <w:t>LINFORRETICULOSIS (ENFERMEDAD POR ARAÑAZO DE GATO)</w:t>
                    </w:r>
                    <w:r>
                      <w:tab/>
                    </w:r>
                    <w:r>
                      <w:rPr>
                        <w:sz w:val="16"/>
                        <w:szCs w:val="16"/>
                      </w:rPr>
                      <w:t>475</w:t>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6D76AAA3" wp14:editId="7C7D18EF">
              <wp:simplePos x="0" y="0"/>
              <wp:positionH relativeFrom="page">
                <wp:posOffset>519430</wp:posOffset>
              </wp:positionH>
              <wp:positionV relativeFrom="page">
                <wp:posOffset>408940</wp:posOffset>
              </wp:positionV>
              <wp:extent cx="4358640" cy="0"/>
              <wp:effectExtent l="0" t="0" r="0" b="0"/>
              <wp:wrapNone/>
              <wp:docPr id="651" name="Shape 6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6FF3539" id="_x0000_t32" coordsize="21600,21600" o:spt="32" o:oned="t" path="m,l21600,21600e" filled="f">
              <v:path arrowok="t" fillok="f" o:connecttype="none"/>
              <o:lock v:ext="edit" shapetype="t"/>
            </v:shapetype>
            <v:shape id="Shape 651" o:spid="_x0000_s1026" type="#_x0000_t32" style="position:absolute;margin-left:40.9pt;margin-top:32.2pt;width:343.2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BM&#10;7dbO2wAAAAgBAAAPAAAAAAAAAAAAAAAAAMIDAABkcnMvZG93bnJldi54bWxQSwUGAAAAAAQABADz&#10;AAAAygQAAAAA&#10;" strokeweight="1pt">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20BA" w14:textId="77777777" w:rsidR="00093A32" w:rsidRDefault="00093A32">
    <w:pPr>
      <w:spacing w:line="1" w:lineRule="exact"/>
    </w:pPr>
    <w:r>
      <w:rPr>
        <w:noProof/>
      </w:rPr>
      <mc:AlternateContent>
        <mc:Choice Requires="wps">
          <w:drawing>
            <wp:anchor distT="0" distB="0" distL="0" distR="0" simplePos="0" relativeHeight="251952128" behindDoc="1" locked="0" layoutInCell="1" allowOverlap="1" wp14:anchorId="6632946A" wp14:editId="3D748FA2">
              <wp:simplePos x="0" y="0"/>
              <wp:positionH relativeFrom="page">
                <wp:posOffset>529590</wp:posOffset>
              </wp:positionH>
              <wp:positionV relativeFrom="page">
                <wp:posOffset>315595</wp:posOffset>
              </wp:positionV>
              <wp:extent cx="2456815" cy="69850"/>
              <wp:effectExtent l="0" t="0" r="0" b="0"/>
              <wp:wrapNone/>
              <wp:docPr id="655" name="Shape 655"/>
              <wp:cNvGraphicFramePr/>
              <a:graphic xmlns:a="http://schemas.openxmlformats.org/drawingml/2006/main">
                <a:graphicData uri="http://schemas.microsoft.com/office/word/2010/wordprocessingShape">
                  <wps:wsp>
                    <wps:cNvSpPr txBox="1"/>
                    <wps:spPr>
                      <a:xfrm>
                        <a:off x="0" y="0"/>
                        <a:ext cx="2456815" cy="69850"/>
                      </a:xfrm>
                      <a:prstGeom prst="rect">
                        <a:avLst/>
                      </a:prstGeom>
                      <a:noFill/>
                    </wps:spPr>
                    <wps:txbx>
                      <w:txbxContent>
                        <w:p w14:paraId="54DB4001" w14:textId="77777777" w:rsidR="00093A32" w:rsidRDefault="00093A32">
                          <w:pPr>
                            <w:pStyle w:val="Headerorfooter0"/>
                            <w:tabs>
                              <w:tab w:val="right" w:pos="3869"/>
                            </w:tabs>
                          </w:pPr>
                          <w:r>
                            <w:rPr>
                              <w:sz w:val="16"/>
                              <w:szCs w:val="16"/>
                            </w:rPr>
                            <w:t>250</w:t>
                          </w:r>
                          <w:r>
                            <w:rPr>
                              <w:sz w:val="16"/>
                              <w:szCs w:val="16"/>
                            </w:rPr>
                            <w:tab/>
                          </w:r>
                          <w:r>
                            <w:t>CHANCROIDE</w:t>
                          </w:r>
                        </w:p>
                      </w:txbxContent>
                    </wps:txbx>
                    <wps:bodyPr lIns="0" tIns="0" rIns="0" bIns="0">
                      <a:spAutoFit/>
                    </wps:bodyPr>
                  </wps:wsp>
                </a:graphicData>
              </a:graphic>
            </wp:anchor>
          </w:drawing>
        </mc:Choice>
        <mc:Fallback>
          <w:pict>
            <v:shapetype w14:anchorId="6632946A" id="_x0000_t202" coordsize="21600,21600" o:spt="202" path="m,l,21600r21600,l21600,xe">
              <v:stroke joinstyle="miter"/>
              <v:path gradientshapeok="t" o:connecttype="rect"/>
            </v:shapetype>
            <v:shape id="Shape 655" o:spid="_x0000_s1097" type="#_x0000_t202" style="position:absolute;margin-left:41.7pt;margin-top:24.85pt;width:193.45pt;height:5.5pt;z-index:-2513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" filled="f" stroked="f">
              <v:textbox style="mso-fit-shape-to-text:t" inset="0,0,0,0">
                <w:txbxContent>
                  <w:p w14:paraId="54DB4001" w14:textId="77777777" w:rsidR="00093A32" w:rsidRDefault="00093A32">
                    <w:pPr>
                      <w:pStyle w:val="Headerorfooter0"/>
                      <w:tabs>
                        <w:tab w:val="right" w:pos="3869"/>
                      </w:tabs>
                    </w:pPr>
                    <w:r>
                      <w:rPr>
                        <w:sz w:val="16"/>
                        <w:szCs w:val="16"/>
                      </w:rPr>
                      <w:t>250</w:t>
                    </w:r>
                    <w:r>
                      <w:rPr>
                        <w:sz w:val="16"/>
                        <w:szCs w:val="16"/>
                      </w:rPr>
                      <w:tab/>
                    </w:r>
                    <w:r>
                      <w:t>CHANCROIDE</w:t>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3BB70D9F" wp14:editId="78926972">
              <wp:simplePos x="0" y="0"/>
              <wp:positionH relativeFrom="page">
                <wp:posOffset>514350</wp:posOffset>
              </wp:positionH>
              <wp:positionV relativeFrom="page">
                <wp:posOffset>424180</wp:posOffset>
              </wp:positionV>
              <wp:extent cx="4358640" cy="0"/>
              <wp:effectExtent l="0" t="0" r="0" b="0"/>
              <wp:wrapNone/>
              <wp:docPr id="657" name="Shape 6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9061A1" id="_x0000_t32" coordsize="21600,21600" o:spt="32" o:oned="t" path="m,l21600,21600e" filled="f">
              <v:path arrowok="t" fillok="f" o:connecttype="none"/>
              <o:lock v:ext="edit" shapetype="t"/>
            </v:shapetype>
            <v:shape id="Shape 657" o:spid="_x0000_s1026" type="#_x0000_t32" style="position:absolute;margin-left:40.5pt;margin-top:33.4pt;width:343.2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4B6D" w14:textId="77777777" w:rsidR="00093A32" w:rsidRDefault="00093A32">
    <w:pPr>
      <w:spacing w:line="1" w:lineRule="exact"/>
    </w:pPr>
    <w:r>
      <w:rPr>
        <w:noProof/>
      </w:rPr>
      <mc:AlternateContent>
        <mc:Choice Requires="wps">
          <w:drawing>
            <wp:anchor distT="0" distB="0" distL="0" distR="0" simplePos="0" relativeHeight="251951104" behindDoc="1" locked="0" layoutInCell="1" allowOverlap="1" wp14:anchorId="23E42EB4" wp14:editId="03E085A3">
              <wp:simplePos x="0" y="0"/>
              <wp:positionH relativeFrom="page">
                <wp:posOffset>529590</wp:posOffset>
              </wp:positionH>
              <wp:positionV relativeFrom="page">
                <wp:posOffset>315595</wp:posOffset>
              </wp:positionV>
              <wp:extent cx="2456815" cy="69850"/>
              <wp:effectExtent l="0" t="0" r="0" b="0"/>
              <wp:wrapNone/>
              <wp:docPr id="652" name="Shape 652"/>
              <wp:cNvGraphicFramePr/>
              <a:graphic xmlns:a="http://schemas.openxmlformats.org/drawingml/2006/main">
                <a:graphicData uri="http://schemas.microsoft.com/office/word/2010/wordprocessingShape">
                  <wps:wsp>
                    <wps:cNvSpPr txBox="1"/>
                    <wps:spPr>
                      <a:xfrm>
                        <a:off x="0" y="0"/>
                        <a:ext cx="2456815" cy="69850"/>
                      </a:xfrm>
                      <a:prstGeom prst="rect">
                        <a:avLst/>
                      </a:prstGeom>
                      <a:noFill/>
                    </wps:spPr>
                    <wps:txbx>
                      <w:txbxContent>
                        <w:p w14:paraId="1D5DA39B" w14:textId="77777777" w:rsidR="00093A32" w:rsidRDefault="00093A32">
                          <w:pPr>
                            <w:pStyle w:val="Headerorfooter0"/>
                            <w:tabs>
                              <w:tab w:val="right" w:pos="3869"/>
                            </w:tabs>
                          </w:pPr>
                          <w:r>
                            <w:rPr>
                              <w:sz w:val="16"/>
                              <w:szCs w:val="16"/>
                            </w:rPr>
                            <w:t>250</w:t>
                          </w:r>
                          <w:r>
                            <w:rPr>
                              <w:sz w:val="16"/>
                              <w:szCs w:val="16"/>
                            </w:rPr>
                            <w:tab/>
                          </w:r>
                          <w:r>
                            <w:t>CHANCROIDE</w:t>
                          </w:r>
                        </w:p>
                      </w:txbxContent>
                    </wps:txbx>
                    <wps:bodyPr lIns="0" tIns="0" rIns="0" bIns="0">
                      <a:spAutoFit/>
                    </wps:bodyPr>
                  </wps:wsp>
                </a:graphicData>
              </a:graphic>
            </wp:anchor>
          </w:drawing>
        </mc:Choice>
        <mc:Fallback>
          <w:pict>
            <v:shapetype w14:anchorId="23E42EB4" id="_x0000_t202" coordsize="21600,21600" o:spt="202" path="m,l,21600r21600,l21600,xe">
              <v:stroke joinstyle="miter"/>
              <v:path gradientshapeok="t" o:connecttype="rect"/>
            </v:shapetype>
            <v:shape id="Shape 652" o:spid="_x0000_s1098" type="#_x0000_t202" style="position:absolute;margin-left:41.7pt;margin-top:24.85pt;width:193.45pt;height:5.5pt;z-index:-2513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" filled="f" stroked="f">
              <v:textbox style="mso-fit-shape-to-text:t" inset="0,0,0,0">
                <w:txbxContent>
                  <w:p w14:paraId="1D5DA39B" w14:textId="77777777" w:rsidR="00093A32" w:rsidRDefault="00093A32">
                    <w:pPr>
                      <w:pStyle w:val="Headerorfooter0"/>
                      <w:tabs>
                        <w:tab w:val="right" w:pos="3869"/>
                      </w:tabs>
                    </w:pPr>
                    <w:r>
                      <w:rPr>
                        <w:sz w:val="16"/>
                        <w:szCs w:val="16"/>
                      </w:rPr>
                      <w:t>250</w:t>
                    </w:r>
                    <w:r>
                      <w:rPr>
                        <w:sz w:val="16"/>
                        <w:szCs w:val="16"/>
                      </w:rPr>
                      <w:tab/>
                    </w:r>
                    <w:r>
                      <w:t>CHANCROIDE</w:t>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57737450" wp14:editId="03420073">
              <wp:simplePos x="0" y="0"/>
              <wp:positionH relativeFrom="page">
                <wp:posOffset>514350</wp:posOffset>
              </wp:positionH>
              <wp:positionV relativeFrom="page">
                <wp:posOffset>424180</wp:posOffset>
              </wp:positionV>
              <wp:extent cx="4358640" cy="0"/>
              <wp:effectExtent l="0" t="0" r="0" b="0"/>
              <wp:wrapNone/>
              <wp:docPr id="654" name="Shape 6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4F1F12" id="_x0000_t32" coordsize="21600,21600" o:spt="32" o:oned="t" path="m,l21600,21600e" filled="f">
              <v:path arrowok="t" fillok="f" o:connecttype="none"/>
              <o:lock v:ext="edit" shapetype="t"/>
            </v:shapetype>
            <v:shape id="Shape 654" o:spid="_x0000_s1026" type="#_x0000_t32" style="position:absolute;margin-left:40.5pt;margin-top:33.4pt;width:343.2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D03D" w14:textId="77777777" w:rsidR="00093A32" w:rsidRDefault="00093A32">
    <w:pPr>
      <w:spacing w:line="1" w:lineRule="exact"/>
    </w:pPr>
    <w:r>
      <w:rPr>
        <w:noProof/>
      </w:rPr>
      <mc:AlternateContent>
        <mc:Choice Requires="wps">
          <w:drawing>
            <wp:anchor distT="0" distB="0" distL="0" distR="0" simplePos="0" relativeHeight="251953152" behindDoc="1" locked="0" layoutInCell="1" allowOverlap="1" wp14:anchorId="1617F806" wp14:editId="3092B328">
              <wp:simplePos x="0" y="0"/>
              <wp:positionH relativeFrom="page">
                <wp:posOffset>2398395</wp:posOffset>
              </wp:positionH>
              <wp:positionV relativeFrom="page">
                <wp:posOffset>315595</wp:posOffset>
              </wp:positionV>
              <wp:extent cx="2453640" cy="69850"/>
              <wp:effectExtent l="0" t="0" r="0" b="0"/>
              <wp:wrapNone/>
              <wp:docPr id="658" name="Shape 658"/>
              <wp:cNvGraphicFramePr/>
              <a:graphic xmlns:a="http://schemas.openxmlformats.org/drawingml/2006/main">
                <a:graphicData uri="http://schemas.microsoft.com/office/word/2010/wordprocessingShape">
                  <wps:wsp>
                    <wps:cNvSpPr txBox="1"/>
                    <wps:spPr>
                      <a:xfrm>
                        <a:off x="0" y="0"/>
                        <a:ext cx="2453640" cy="69850"/>
                      </a:xfrm>
                      <a:prstGeom prst="rect">
                        <a:avLst/>
                      </a:prstGeom>
                      <a:noFill/>
                    </wps:spPr>
                    <wps:txbx>
                      <w:txbxContent>
                        <w:p w14:paraId="1ABD739F" w14:textId="77777777" w:rsidR="00093A32" w:rsidRDefault="00093A32">
                          <w:pPr>
                            <w:pStyle w:val="Headerorfooter0"/>
                            <w:tabs>
                              <w:tab w:val="right" w:pos="3864"/>
                            </w:tabs>
                            <w:rPr>
                              <w:sz w:val="16"/>
                              <w:szCs w:val="16"/>
                            </w:rPr>
                          </w:pPr>
                          <w:r>
                            <w:t>CHANCROIDE</w:t>
                          </w:r>
                          <w:r>
                            <w:tab/>
                          </w:r>
                          <w:r>
                            <w:rPr>
                              <w:sz w:val="16"/>
                              <w:szCs w:val="16"/>
                            </w:rPr>
                            <w:t>249</w:t>
                          </w:r>
                        </w:p>
                      </w:txbxContent>
                    </wps:txbx>
                    <wps:bodyPr lIns="0" tIns="0" rIns="0" bIns="0">
                      <a:spAutoFit/>
                    </wps:bodyPr>
                  </wps:wsp>
                </a:graphicData>
              </a:graphic>
            </wp:anchor>
          </w:drawing>
        </mc:Choice>
        <mc:Fallback>
          <w:pict>
            <v:shapetype w14:anchorId="1617F806" id="_x0000_t202" coordsize="21600,21600" o:spt="202" path="m,l,21600r21600,l21600,xe">
              <v:stroke joinstyle="miter"/>
              <v:path gradientshapeok="t" o:connecttype="rect"/>
            </v:shapetype>
            <v:shape id="Shape 658" o:spid="_x0000_s1099" type="#_x0000_t202" style="position:absolute;margin-left:188.85pt;margin-top:24.85pt;width:193.2pt;height:5.5pt;z-index:-2513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" filled="f" stroked="f">
              <v:textbox style="mso-fit-shape-to-text:t" inset="0,0,0,0">
                <w:txbxContent>
                  <w:p w14:paraId="1ABD739F" w14:textId="77777777" w:rsidR="00093A32" w:rsidRDefault="00093A32">
                    <w:pPr>
                      <w:pStyle w:val="Headerorfooter0"/>
                      <w:tabs>
                        <w:tab w:val="right" w:pos="3864"/>
                      </w:tabs>
                      <w:rPr>
                        <w:sz w:val="16"/>
                        <w:szCs w:val="16"/>
                      </w:rPr>
                    </w:pPr>
                    <w:r>
                      <w:t>CHANCROIDE</w:t>
                    </w:r>
                    <w:r>
                      <w:tab/>
                    </w:r>
                    <w:r>
                      <w:rPr>
                        <w:sz w:val="16"/>
                        <w:szCs w:val="16"/>
                      </w:rPr>
                      <w:t>249</w:t>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06EFE020" wp14:editId="3B75CFE4">
              <wp:simplePos x="0" y="0"/>
              <wp:positionH relativeFrom="page">
                <wp:posOffset>514350</wp:posOffset>
              </wp:positionH>
              <wp:positionV relativeFrom="page">
                <wp:posOffset>424180</wp:posOffset>
              </wp:positionV>
              <wp:extent cx="4358640" cy="0"/>
              <wp:effectExtent l="0" t="0" r="0" b="0"/>
              <wp:wrapNone/>
              <wp:docPr id="660" name="Shape 6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E6E9ED9" id="_x0000_t32" coordsize="21600,21600" o:spt="32" o:oned="t" path="m,l21600,21600e" filled="f">
              <v:path arrowok="t" fillok="f" o:connecttype="none"/>
              <o:lock v:ext="edit" shapetype="t"/>
            </v:shapetype>
            <v:shape id="Shape 660" o:spid="_x0000_s1026" type="#_x0000_t32" style="position:absolute;margin-left:40.5pt;margin-top:33.4pt;width:343.2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7425" w14:textId="77777777" w:rsidR="00093A32" w:rsidRDefault="00093A32">
    <w:pPr>
      <w:spacing w:line="1" w:lineRule="exact"/>
    </w:pPr>
    <w:r>
      <w:rPr>
        <w:noProof/>
      </w:rPr>
      <mc:AlternateContent>
        <mc:Choice Requires="wps">
          <w:drawing>
            <wp:anchor distT="0" distB="0" distL="0" distR="0" simplePos="0" relativeHeight="251955200" behindDoc="1" locked="0" layoutInCell="1" allowOverlap="1" wp14:anchorId="31B5345F" wp14:editId="0FA6F27D">
              <wp:simplePos x="0" y="0"/>
              <wp:positionH relativeFrom="page">
                <wp:posOffset>2407285</wp:posOffset>
              </wp:positionH>
              <wp:positionV relativeFrom="page">
                <wp:posOffset>315595</wp:posOffset>
              </wp:positionV>
              <wp:extent cx="2423160" cy="69850"/>
              <wp:effectExtent l="0" t="0" r="0" b="0"/>
              <wp:wrapNone/>
              <wp:docPr id="664" name="Shape 664"/>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11B1564B" w14:textId="77777777" w:rsidR="00093A32" w:rsidRDefault="00093A32">
                          <w:pPr>
                            <w:pStyle w:val="Headerorfooter0"/>
                            <w:tabs>
                              <w:tab w:val="right" w:pos="3816"/>
                            </w:tabs>
                            <w:rPr>
                              <w:sz w:val="16"/>
                              <w:szCs w:val="16"/>
                            </w:rPr>
                          </w:pPr>
                          <w:r>
                            <w:t>CLAMIDIASIS</w:t>
                          </w:r>
                          <w:r>
                            <w:tab/>
                          </w:r>
                          <w:r>
                            <w:rPr>
                              <w:sz w:val="16"/>
                              <w:szCs w:val="16"/>
                            </w:rPr>
                            <w:t>261</w:t>
                          </w:r>
                        </w:p>
                      </w:txbxContent>
                    </wps:txbx>
                    <wps:bodyPr lIns="0" tIns="0" rIns="0" bIns="0">
                      <a:spAutoFit/>
                    </wps:bodyPr>
                  </wps:wsp>
                </a:graphicData>
              </a:graphic>
            </wp:anchor>
          </w:drawing>
        </mc:Choice>
        <mc:Fallback>
          <w:pict>
            <v:shapetype w14:anchorId="31B5345F" id="_x0000_t202" coordsize="21600,21600" o:spt="202" path="m,l,21600r21600,l21600,xe">
              <v:stroke joinstyle="miter"/>
              <v:path gradientshapeok="t" o:connecttype="rect"/>
            </v:shapetype>
            <v:shape id="Shape 664" o:spid="_x0000_s1100" type="#_x0000_t202" style="position:absolute;margin-left:189.55pt;margin-top:24.85pt;width:190.8pt;height:5.5pt;z-index:-2513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ugAEAAPsCAAAOAAAAZHJzL2Uyb0RvYy54bWysUttOwzAMfUfiH6K8s24Dpl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" filled="f" stroked="f">
              <v:textbox style="mso-fit-shape-to-text:t" inset="0,0,0,0">
                <w:txbxContent>
                  <w:p w14:paraId="11B1564B" w14:textId="77777777" w:rsidR="00093A32" w:rsidRDefault="00093A32">
                    <w:pPr>
                      <w:pStyle w:val="Headerorfooter0"/>
                      <w:tabs>
                        <w:tab w:val="right" w:pos="3816"/>
                      </w:tabs>
                      <w:rPr>
                        <w:sz w:val="16"/>
                        <w:szCs w:val="16"/>
                      </w:rPr>
                    </w:pPr>
                    <w:r>
                      <w:t>CLAMIDIASIS</w:t>
                    </w:r>
                    <w:r>
                      <w:tab/>
                    </w:r>
                    <w:r>
                      <w:rPr>
                        <w:sz w:val="16"/>
                        <w:szCs w:val="16"/>
                      </w:rPr>
                      <w:t>261</w:t>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12B14DF3" wp14:editId="37082105">
              <wp:simplePos x="0" y="0"/>
              <wp:positionH relativeFrom="page">
                <wp:posOffset>508635</wp:posOffset>
              </wp:positionH>
              <wp:positionV relativeFrom="page">
                <wp:posOffset>424180</wp:posOffset>
              </wp:positionV>
              <wp:extent cx="4358640" cy="0"/>
              <wp:effectExtent l="0" t="0" r="0" b="0"/>
              <wp:wrapNone/>
              <wp:docPr id="666" name="Shape 6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96D5CFC" id="_x0000_t32" coordsize="21600,21600" o:spt="32" o:oned="t" path="m,l21600,21600e" filled="f">
              <v:path arrowok="t" fillok="f" o:connecttype="none"/>
              <o:lock v:ext="edit" shapetype="t"/>
            </v:shapetype>
            <v:shape id="Shape 666" o:spid="_x0000_s1026" type="#_x0000_t32" style="position:absolute;margin-left:40.05pt;margin-top:33.4pt;width:343.2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Pj/4&#10;r9kAAAAIAQAADwAAAAAAAAAAAAAAAADCAwAAZHJzL2Rvd25yZXYueG1sUEsFBgAAAAAEAAQA8wAA&#10;AMgEA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6C35" w14:textId="77777777" w:rsidR="00093A32" w:rsidRDefault="00093A32">
    <w:pPr>
      <w:spacing w:line="1" w:lineRule="exact"/>
    </w:pPr>
    <w:r>
      <w:rPr>
        <w:noProof/>
      </w:rPr>
      <mc:AlternateContent>
        <mc:Choice Requires="wps">
          <w:drawing>
            <wp:anchor distT="0" distB="0" distL="0" distR="0" simplePos="0" relativeHeight="251954176" behindDoc="1" locked="0" layoutInCell="1" allowOverlap="1" wp14:anchorId="4DE78A11" wp14:editId="46A8926E">
              <wp:simplePos x="0" y="0"/>
              <wp:positionH relativeFrom="page">
                <wp:posOffset>2407285</wp:posOffset>
              </wp:positionH>
              <wp:positionV relativeFrom="page">
                <wp:posOffset>315595</wp:posOffset>
              </wp:positionV>
              <wp:extent cx="2423160" cy="69850"/>
              <wp:effectExtent l="0" t="0" r="0" b="0"/>
              <wp:wrapNone/>
              <wp:docPr id="661" name="Shape 661"/>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7E2C1EBC" w14:textId="77777777" w:rsidR="00093A32" w:rsidRDefault="00093A32">
                          <w:pPr>
                            <w:pStyle w:val="Headerorfooter0"/>
                            <w:tabs>
                              <w:tab w:val="right" w:pos="3816"/>
                            </w:tabs>
                            <w:rPr>
                              <w:sz w:val="16"/>
                              <w:szCs w:val="16"/>
                            </w:rPr>
                          </w:pPr>
                          <w:r>
                            <w:t>CLAMIDIASIS</w:t>
                          </w:r>
                          <w:r>
                            <w:tab/>
                          </w:r>
                          <w:r>
                            <w:rPr>
                              <w:sz w:val="16"/>
                              <w:szCs w:val="16"/>
                            </w:rPr>
                            <w:t>261</w:t>
                          </w:r>
                        </w:p>
                      </w:txbxContent>
                    </wps:txbx>
                    <wps:bodyPr lIns="0" tIns="0" rIns="0" bIns="0">
                      <a:spAutoFit/>
                    </wps:bodyPr>
                  </wps:wsp>
                </a:graphicData>
              </a:graphic>
            </wp:anchor>
          </w:drawing>
        </mc:Choice>
        <mc:Fallback>
          <w:pict>
            <v:shapetype w14:anchorId="4DE78A11" id="_x0000_t202" coordsize="21600,21600" o:spt="202" path="m,l,21600r21600,l21600,xe">
              <v:stroke joinstyle="miter"/>
              <v:path gradientshapeok="t" o:connecttype="rect"/>
            </v:shapetype>
            <v:shape id="Shape 661" o:spid="_x0000_s1101" type="#_x0000_t202" style="position:absolute;margin-left:189.55pt;margin-top:24.85pt;width:190.8pt;height:5.5pt;z-index:-2513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" filled="f" stroked="f">
              <v:textbox style="mso-fit-shape-to-text:t" inset="0,0,0,0">
                <w:txbxContent>
                  <w:p w14:paraId="7E2C1EBC" w14:textId="77777777" w:rsidR="00093A32" w:rsidRDefault="00093A32">
                    <w:pPr>
                      <w:pStyle w:val="Headerorfooter0"/>
                      <w:tabs>
                        <w:tab w:val="right" w:pos="3816"/>
                      </w:tabs>
                      <w:rPr>
                        <w:sz w:val="16"/>
                        <w:szCs w:val="16"/>
                      </w:rPr>
                    </w:pPr>
                    <w:r>
                      <w:t>CLAMIDIASIS</w:t>
                    </w:r>
                    <w:r>
                      <w:tab/>
                    </w:r>
                    <w:r>
                      <w:rPr>
                        <w:sz w:val="16"/>
                        <w:szCs w:val="16"/>
                      </w:rPr>
                      <w:t>261</w:t>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4C066126" wp14:editId="2BC9CAD1">
              <wp:simplePos x="0" y="0"/>
              <wp:positionH relativeFrom="page">
                <wp:posOffset>508635</wp:posOffset>
              </wp:positionH>
              <wp:positionV relativeFrom="page">
                <wp:posOffset>424180</wp:posOffset>
              </wp:positionV>
              <wp:extent cx="4358640" cy="0"/>
              <wp:effectExtent l="0" t="0" r="0" b="0"/>
              <wp:wrapNone/>
              <wp:docPr id="663" name="Shape 6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83314F7" id="_x0000_t32" coordsize="21600,21600" o:spt="32" o:oned="t" path="m,l21600,21600e" filled="f">
              <v:path arrowok="t" fillok="f" o:connecttype="none"/>
              <o:lock v:ext="edit" shapetype="t"/>
            </v:shapetype>
            <v:shape id="Shape 663" o:spid="_x0000_s1026" type="#_x0000_t32" style="position:absolute;margin-left:40.05pt;margin-top:33.4pt;width:343.2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Pj/4&#10;r9kAAAAIAQAADwAAAAAAAAAAAAAAAADCAwAAZHJzL2Rvd25yZXYueG1sUEsFBgAAAAAEAAQA8wAA&#10;AMgEAAAAAA==&#10;" strokeweight="1pt">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EE52" w14:textId="77777777" w:rsidR="00093A32" w:rsidRDefault="00093A32">
    <w:pPr>
      <w:spacing w:line="1" w:lineRule="exact"/>
    </w:pPr>
    <w:r>
      <w:rPr>
        <w:noProof/>
      </w:rPr>
      <mc:AlternateContent>
        <mc:Choice Requires="wps">
          <w:drawing>
            <wp:anchor distT="0" distB="0" distL="0" distR="0" simplePos="0" relativeHeight="251956224" behindDoc="1" locked="0" layoutInCell="1" allowOverlap="1" wp14:anchorId="77768FDC" wp14:editId="1A79E642">
              <wp:simplePos x="0" y="0"/>
              <wp:positionH relativeFrom="page">
                <wp:posOffset>2052320</wp:posOffset>
              </wp:positionH>
              <wp:positionV relativeFrom="page">
                <wp:posOffset>291465</wp:posOffset>
              </wp:positionV>
              <wp:extent cx="2780030" cy="94615"/>
              <wp:effectExtent l="0" t="0" r="0" b="0"/>
              <wp:wrapNone/>
              <wp:docPr id="667" name="Shape 667"/>
              <wp:cNvGraphicFramePr/>
              <a:graphic xmlns:a="http://schemas.openxmlformats.org/drawingml/2006/main">
                <a:graphicData uri="http://schemas.microsoft.com/office/word/2010/wordprocessingShape">
                  <wps:wsp>
                    <wps:cNvSpPr txBox="1"/>
                    <wps:spPr>
                      <a:xfrm>
                        <a:off x="0" y="0"/>
                        <a:ext cx="2780030" cy="94615"/>
                      </a:xfrm>
                      <a:prstGeom prst="rect">
                        <a:avLst/>
                      </a:prstGeom>
                      <a:noFill/>
                    </wps:spPr>
                    <wps:txbx>
                      <w:txbxContent>
                        <w:p w14:paraId="184462D2" w14:textId="77777777" w:rsidR="00093A32" w:rsidRDefault="00093A32">
                          <w:pPr>
                            <w:pStyle w:val="Headerorfooter0"/>
                            <w:tabs>
                              <w:tab w:val="right" w:pos="4378"/>
                            </w:tabs>
                            <w:rPr>
                              <w:sz w:val="16"/>
                              <w:szCs w:val="16"/>
                            </w:rPr>
                          </w:pPr>
                          <w:r>
                            <w:t>CHOQUE TÓXICO, SÍNDROME</w:t>
                          </w:r>
                          <w:r>
                            <w:tab/>
                          </w:r>
                          <w:r>
                            <w:rPr>
                              <w:sz w:val="16"/>
                              <w:szCs w:val="16"/>
                            </w:rPr>
                            <w:t>251</w:t>
                          </w:r>
                        </w:p>
                      </w:txbxContent>
                    </wps:txbx>
                    <wps:bodyPr lIns="0" tIns="0" rIns="0" bIns="0">
                      <a:spAutoFit/>
                    </wps:bodyPr>
                  </wps:wsp>
                </a:graphicData>
              </a:graphic>
            </wp:anchor>
          </w:drawing>
        </mc:Choice>
        <mc:Fallback>
          <w:pict>
            <v:shapetype w14:anchorId="77768FDC" id="_x0000_t202" coordsize="21600,21600" o:spt="202" path="m,l,21600r21600,l21600,xe">
              <v:stroke joinstyle="miter"/>
              <v:path gradientshapeok="t" o:connecttype="rect"/>
            </v:shapetype>
            <v:shape id="Shape 667" o:spid="_x0000_s1102" type="#_x0000_t202" style="position:absolute;margin-left:161.6pt;margin-top:22.95pt;width:218.9pt;height:7.45pt;z-index:-2513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" filled="f" stroked="f">
              <v:textbox style="mso-fit-shape-to-text:t" inset="0,0,0,0">
                <w:txbxContent>
                  <w:p w14:paraId="184462D2" w14:textId="77777777" w:rsidR="00093A32" w:rsidRDefault="00093A32">
                    <w:pPr>
                      <w:pStyle w:val="Headerorfooter0"/>
                      <w:tabs>
                        <w:tab w:val="right" w:pos="4378"/>
                      </w:tabs>
                      <w:rPr>
                        <w:sz w:val="16"/>
                        <w:szCs w:val="16"/>
                      </w:rPr>
                    </w:pPr>
                    <w:r>
                      <w:t>CHOQUE TÓXICO, SÍNDROME</w:t>
                    </w:r>
                    <w:r>
                      <w:tab/>
                    </w:r>
                    <w:r>
                      <w:rPr>
                        <w:sz w:val="16"/>
                        <w:szCs w:val="16"/>
                      </w:rPr>
                      <w:t>251</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518324DA" wp14:editId="2F29A5D9">
              <wp:simplePos x="0" y="0"/>
              <wp:positionH relativeFrom="page">
                <wp:posOffset>509905</wp:posOffset>
              </wp:positionH>
              <wp:positionV relativeFrom="page">
                <wp:posOffset>414655</wp:posOffset>
              </wp:positionV>
              <wp:extent cx="4358640" cy="0"/>
              <wp:effectExtent l="0" t="0" r="0" b="0"/>
              <wp:wrapNone/>
              <wp:docPr id="669" name="Shape 6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BC3B3A" id="_x0000_t32" coordsize="21600,21600" o:spt="32" o:oned="t" path="m,l21600,21600e" filled="f">
              <v:path arrowok="t" fillok="f" o:connecttype="none"/>
              <o:lock v:ext="edit" shapetype="t"/>
            </v:shapetype>
            <v:shape id="Shape 669" o:spid="_x0000_s1026" type="#_x0000_t32" style="position:absolute;margin-left:40.15pt;margin-top:32.65pt;width:343.2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" strokeweight="1pt">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5806" w14:textId="77777777" w:rsidR="00093A32" w:rsidRDefault="00093A32">
    <w:pPr>
      <w:spacing w:line="1" w:lineRule="exact"/>
    </w:pPr>
    <w:r>
      <w:rPr>
        <w:noProof/>
      </w:rPr>
      <mc:AlternateContent>
        <mc:Choice Requires="wps">
          <w:drawing>
            <wp:anchor distT="0" distB="0" distL="0" distR="0" simplePos="0" relativeHeight="251958272" behindDoc="1" locked="0" layoutInCell="1" allowOverlap="1" wp14:anchorId="6BCC49D3" wp14:editId="1739153F">
              <wp:simplePos x="0" y="0"/>
              <wp:positionH relativeFrom="page">
                <wp:posOffset>1816100</wp:posOffset>
              </wp:positionH>
              <wp:positionV relativeFrom="page">
                <wp:posOffset>300355</wp:posOffset>
              </wp:positionV>
              <wp:extent cx="3048000" cy="85090"/>
              <wp:effectExtent l="0" t="0" r="0" b="0"/>
              <wp:wrapNone/>
              <wp:docPr id="673" name="Shape 673"/>
              <wp:cNvGraphicFramePr/>
              <a:graphic xmlns:a="http://schemas.openxmlformats.org/drawingml/2006/main">
                <a:graphicData uri="http://schemas.microsoft.com/office/word/2010/wordprocessingShape">
                  <wps:wsp>
                    <wps:cNvSpPr txBox="1"/>
                    <wps:spPr>
                      <a:xfrm>
                        <a:off x="0" y="0"/>
                        <a:ext cx="3048000" cy="85090"/>
                      </a:xfrm>
                      <a:prstGeom prst="rect">
                        <a:avLst/>
                      </a:prstGeom>
                      <a:noFill/>
                    </wps:spPr>
                    <wps:txbx>
                      <w:txbxContent>
                        <w:p w14:paraId="33FB5B56" w14:textId="77777777" w:rsidR="00093A32" w:rsidRDefault="00093A32">
                          <w:pPr>
                            <w:pStyle w:val="Headerorfooter0"/>
                            <w:tabs>
                              <w:tab w:val="right" w:pos="4800"/>
                            </w:tabs>
                            <w:rPr>
                              <w:sz w:val="16"/>
                              <w:szCs w:val="16"/>
                            </w:rPr>
                          </w:pPr>
                          <w:r>
                            <w:rPr>
                              <w:i/>
                              <w:iCs/>
                            </w:rPr>
                            <w:t>CHLAMYDIA (CHLAMYDOPHILA) PSITTACI</w:t>
                          </w:r>
                          <w:r>
                            <w:rPr>
                              <w:i/>
                              <w:iCs/>
                            </w:rPr>
                            <w:tab/>
                          </w:r>
                          <w:r>
                            <w:rPr>
                              <w:sz w:val="16"/>
                              <w:szCs w:val="16"/>
                            </w:rPr>
                            <w:t>263</w:t>
                          </w:r>
                        </w:p>
                      </w:txbxContent>
                    </wps:txbx>
                    <wps:bodyPr lIns="0" tIns="0" rIns="0" bIns="0">
                      <a:spAutoFit/>
                    </wps:bodyPr>
                  </wps:wsp>
                </a:graphicData>
              </a:graphic>
            </wp:anchor>
          </w:drawing>
        </mc:Choice>
        <mc:Fallback>
          <w:pict>
            <v:shapetype w14:anchorId="6BCC49D3" id="_x0000_t202" coordsize="21600,21600" o:spt="202" path="m,l,21600r21600,l21600,xe">
              <v:stroke joinstyle="miter"/>
              <v:path gradientshapeok="t" o:connecttype="rect"/>
            </v:shapetype>
            <v:shape id="Shape 673" o:spid="_x0000_s1103" type="#_x0000_t202" style="position:absolute;margin-left:143pt;margin-top:23.65pt;width:240pt;height:6.7pt;z-index:-2513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" filled="f" stroked="f">
              <v:textbox style="mso-fit-shape-to-text:t" inset="0,0,0,0">
                <w:txbxContent>
                  <w:p w14:paraId="33FB5B56" w14:textId="77777777" w:rsidR="00093A32" w:rsidRDefault="00093A32">
                    <w:pPr>
                      <w:pStyle w:val="Headerorfooter0"/>
                      <w:tabs>
                        <w:tab w:val="right" w:pos="4800"/>
                      </w:tabs>
                      <w:rPr>
                        <w:sz w:val="16"/>
                        <w:szCs w:val="16"/>
                      </w:rPr>
                    </w:pPr>
                    <w:r>
                      <w:rPr>
                        <w:i/>
                        <w:iCs/>
                      </w:rPr>
                      <w:t>CHLAMYDIA (CHLAMYDOPHILA) PSITTACI</w:t>
                    </w:r>
                    <w:r>
                      <w:rPr>
                        <w:i/>
                        <w:iCs/>
                      </w:rPr>
                      <w:tab/>
                    </w:r>
                    <w:r>
                      <w:rPr>
                        <w:sz w:val="16"/>
                        <w:szCs w:val="16"/>
                      </w:rPr>
                      <w:t>263</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03F0D374" wp14:editId="48ECBA25">
              <wp:simplePos x="0" y="0"/>
              <wp:positionH relativeFrom="page">
                <wp:posOffset>527050</wp:posOffset>
              </wp:positionH>
              <wp:positionV relativeFrom="page">
                <wp:posOffset>408940</wp:posOffset>
              </wp:positionV>
              <wp:extent cx="4358640" cy="0"/>
              <wp:effectExtent l="0" t="0" r="0" b="0"/>
              <wp:wrapNone/>
              <wp:docPr id="675" name="Shape 6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AC5B87" id="_x0000_t32" coordsize="21600,21600" o:spt="32" o:oned="t" path="m,l21600,21600e" filled="f">
              <v:path arrowok="t" fillok="f" o:connecttype="none"/>
              <o:lock v:ext="edit" shapetype="t"/>
            </v:shapetype>
            <v:shape id="Shape 675" o:spid="_x0000_s1026" type="#_x0000_t32" style="position:absolute;margin-left:41.5pt;margin-top:32.2pt;width:343.2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" strokeweight="1pt">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4106" w14:textId="77777777" w:rsidR="00093A32" w:rsidRDefault="00093A32">
    <w:pPr>
      <w:spacing w:line="1" w:lineRule="exact"/>
    </w:pPr>
    <w:r>
      <w:rPr>
        <w:noProof/>
      </w:rPr>
      <mc:AlternateContent>
        <mc:Choice Requires="wps">
          <w:drawing>
            <wp:anchor distT="0" distB="0" distL="0" distR="0" simplePos="0" relativeHeight="251957248" behindDoc="1" locked="0" layoutInCell="1" allowOverlap="1" wp14:anchorId="3CADEF57" wp14:editId="77C3A489">
              <wp:simplePos x="0" y="0"/>
              <wp:positionH relativeFrom="page">
                <wp:posOffset>1816100</wp:posOffset>
              </wp:positionH>
              <wp:positionV relativeFrom="page">
                <wp:posOffset>300355</wp:posOffset>
              </wp:positionV>
              <wp:extent cx="3048000" cy="85090"/>
              <wp:effectExtent l="0" t="0" r="0" b="0"/>
              <wp:wrapNone/>
              <wp:docPr id="670" name="Shape 670"/>
              <wp:cNvGraphicFramePr/>
              <a:graphic xmlns:a="http://schemas.openxmlformats.org/drawingml/2006/main">
                <a:graphicData uri="http://schemas.microsoft.com/office/word/2010/wordprocessingShape">
                  <wps:wsp>
                    <wps:cNvSpPr txBox="1"/>
                    <wps:spPr>
                      <a:xfrm>
                        <a:off x="0" y="0"/>
                        <a:ext cx="3048000" cy="85090"/>
                      </a:xfrm>
                      <a:prstGeom prst="rect">
                        <a:avLst/>
                      </a:prstGeom>
                      <a:noFill/>
                    </wps:spPr>
                    <wps:txbx>
                      <w:txbxContent>
                        <w:p w14:paraId="0CDE94DB" w14:textId="77777777" w:rsidR="00093A32" w:rsidRDefault="00093A32">
                          <w:pPr>
                            <w:pStyle w:val="Headerorfooter0"/>
                            <w:tabs>
                              <w:tab w:val="right" w:pos="4800"/>
                            </w:tabs>
                            <w:rPr>
                              <w:sz w:val="16"/>
                              <w:szCs w:val="16"/>
                            </w:rPr>
                          </w:pPr>
                          <w:r>
                            <w:rPr>
                              <w:i/>
                              <w:iCs/>
                            </w:rPr>
                            <w:t>CHLAMYDIA (CHLAMYDOPHILA) PSITTACI</w:t>
                          </w:r>
                          <w:r>
                            <w:rPr>
                              <w:i/>
                              <w:iCs/>
                            </w:rPr>
                            <w:tab/>
                          </w:r>
                          <w:r>
                            <w:rPr>
                              <w:sz w:val="16"/>
                              <w:szCs w:val="16"/>
                            </w:rPr>
                            <w:t>263</w:t>
                          </w:r>
                        </w:p>
                      </w:txbxContent>
                    </wps:txbx>
                    <wps:bodyPr lIns="0" tIns="0" rIns="0" bIns="0">
                      <a:spAutoFit/>
                    </wps:bodyPr>
                  </wps:wsp>
                </a:graphicData>
              </a:graphic>
            </wp:anchor>
          </w:drawing>
        </mc:Choice>
        <mc:Fallback>
          <w:pict>
            <v:shapetype w14:anchorId="3CADEF57" id="_x0000_t202" coordsize="21600,21600" o:spt="202" path="m,l,21600r21600,l21600,xe">
              <v:stroke joinstyle="miter"/>
              <v:path gradientshapeok="t" o:connecttype="rect"/>
            </v:shapetype>
            <v:shape id="Shape 670" o:spid="_x0000_s1104" type="#_x0000_t202" style="position:absolute;margin-left:143pt;margin-top:23.65pt;width:240pt;height:6.7pt;z-index:-2513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" filled="f" stroked="f">
              <v:textbox style="mso-fit-shape-to-text:t" inset="0,0,0,0">
                <w:txbxContent>
                  <w:p w14:paraId="0CDE94DB" w14:textId="77777777" w:rsidR="00093A32" w:rsidRDefault="00093A32">
                    <w:pPr>
                      <w:pStyle w:val="Headerorfooter0"/>
                      <w:tabs>
                        <w:tab w:val="right" w:pos="4800"/>
                      </w:tabs>
                      <w:rPr>
                        <w:sz w:val="16"/>
                        <w:szCs w:val="16"/>
                      </w:rPr>
                    </w:pPr>
                    <w:r>
                      <w:rPr>
                        <w:i/>
                        <w:iCs/>
                      </w:rPr>
                      <w:t>CHLAMYDIA (CHLAMYDOPHILA) PSITTACI</w:t>
                    </w:r>
                    <w:r>
                      <w:rPr>
                        <w:i/>
                        <w:iCs/>
                      </w:rPr>
                      <w:tab/>
                    </w:r>
                    <w:r>
                      <w:rPr>
                        <w:sz w:val="16"/>
                        <w:szCs w:val="16"/>
                      </w:rPr>
                      <w:t>263</w:t>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278C03FF" wp14:editId="41821A97">
              <wp:simplePos x="0" y="0"/>
              <wp:positionH relativeFrom="page">
                <wp:posOffset>527050</wp:posOffset>
              </wp:positionH>
              <wp:positionV relativeFrom="page">
                <wp:posOffset>408940</wp:posOffset>
              </wp:positionV>
              <wp:extent cx="4358640" cy="0"/>
              <wp:effectExtent l="0" t="0" r="0" b="0"/>
              <wp:wrapNone/>
              <wp:docPr id="672" name="Shape 6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CE2DE17" id="_x0000_t32" coordsize="21600,21600" o:spt="32" o:oned="t" path="m,l21600,21600e" filled="f">
              <v:path arrowok="t" fillok="f" o:connecttype="none"/>
              <o:lock v:ext="edit" shapetype="t"/>
            </v:shapetype>
            <v:shape id="Shape 672" o:spid="_x0000_s1026" type="#_x0000_t32" style="position:absolute;margin-left:41.5pt;margin-top:32.2pt;width:343.2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" strokeweight="1pt">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E0E2" w14:textId="77777777" w:rsidR="00093A32" w:rsidRDefault="00093A32">
    <w:pPr>
      <w:spacing w:line="1" w:lineRule="exact"/>
    </w:pPr>
    <w:r>
      <w:rPr>
        <w:noProof/>
      </w:rPr>
      <mc:AlternateContent>
        <mc:Choice Requires="wps">
          <w:drawing>
            <wp:anchor distT="0" distB="0" distL="0" distR="0" simplePos="0" relativeHeight="251959296" behindDoc="1" locked="0" layoutInCell="1" allowOverlap="1" wp14:anchorId="3742DB3D" wp14:editId="1AE17879">
              <wp:simplePos x="0" y="0"/>
              <wp:positionH relativeFrom="page">
                <wp:posOffset>528320</wp:posOffset>
              </wp:positionH>
              <wp:positionV relativeFrom="page">
                <wp:posOffset>315595</wp:posOffset>
              </wp:positionV>
              <wp:extent cx="2441575" cy="69850"/>
              <wp:effectExtent l="0" t="0" r="0" b="0"/>
              <wp:wrapNone/>
              <wp:docPr id="676" name="Shape 676"/>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17F3DD94" w14:textId="77777777" w:rsidR="00093A32" w:rsidRDefault="00093A32">
                          <w:pPr>
                            <w:pStyle w:val="Headerorfooter0"/>
                            <w:tabs>
                              <w:tab w:val="right" w:pos="3845"/>
                            </w:tabs>
                          </w:pPr>
                          <w:r>
                            <w:rPr>
                              <w:sz w:val="16"/>
                              <w:szCs w:val="16"/>
                            </w:rPr>
                            <w:t>262</w:t>
                          </w:r>
                          <w:r>
                            <w:rPr>
                              <w:sz w:val="16"/>
                              <w:szCs w:val="16"/>
                            </w:rPr>
                            <w:tab/>
                          </w:r>
                          <w:r>
                            <w:t>CLAMIDIASIS</w:t>
                          </w:r>
                        </w:p>
                      </w:txbxContent>
                    </wps:txbx>
                    <wps:bodyPr lIns="0" tIns="0" rIns="0" bIns="0">
                      <a:spAutoFit/>
                    </wps:bodyPr>
                  </wps:wsp>
                </a:graphicData>
              </a:graphic>
            </wp:anchor>
          </w:drawing>
        </mc:Choice>
        <mc:Fallback>
          <w:pict>
            <v:shapetype w14:anchorId="3742DB3D" id="_x0000_t202" coordsize="21600,21600" o:spt="202" path="m,l,21600r21600,l21600,xe">
              <v:stroke joinstyle="miter"/>
              <v:path gradientshapeok="t" o:connecttype="rect"/>
            </v:shapetype>
            <v:shape id="Shape 676" o:spid="_x0000_s1105" type="#_x0000_t202" style="position:absolute;margin-left:41.6pt;margin-top:24.85pt;width:192.25pt;height:5.5pt;z-index:-2513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" filled="f" stroked="f">
              <v:textbox style="mso-fit-shape-to-text:t" inset="0,0,0,0">
                <w:txbxContent>
                  <w:p w14:paraId="17F3DD94" w14:textId="77777777" w:rsidR="00093A32" w:rsidRDefault="00093A32">
                    <w:pPr>
                      <w:pStyle w:val="Headerorfooter0"/>
                      <w:tabs>
                        <w:tab w:val="right" w:pos="3845"/>
                      </w:tabs>
                    </w:pPr>
                    <w:r>
                      <w:rPr>
                        <w:sz w:val="16"/>
                        <w:szCs w:val="16"/>
                      </w:rPr>
                      <w:t>262</w:t>
                    </w:r>
                    <w:r>
                      <w:rPr>
                        <w:sz w:val="16"/>
                        <w:szCs w:val="16"/>
                      </w:rPr>
                      <w:tab/>
                    </w:r>
                    <w:r>
                      <w:t>CLAMIDIASIS</w:t>
                    </w:r>
                  </w:p>
                </w:txbxContent>
              </v:textbox>
              <w10:wrap anchorx="page" anchory="page"/>
            </v:shape>
          </w:pict>
        </mc:Fallback>
      </mc:AlternateContent>
    </w:r>
    <w:r>
      <w:rPr>
        <w:noProof/>
      </w:rPr>
      <mc:AlternateContent>
        <mc:Choice Requires="wps">
          <w:drawing>
            <wp:anchor distT="0" distB="0" distL="114300" distR="114300" simplePos="0" relativeHeight="251722752" behindDoc="1" locked="0" layoutInCell="1" allowOverlap="1" wp14:anchorId="56D76E1B" wp14:editId="21A7EBD6">
              <wp:simplePos x="0" y="0"/>
              <wp:positionH relativeFrom="page">
                <wp:posOffset>513080</wp:posOffset>
              </wp:positionH>
              <wp:positionV relativeFrom="page">
                <wp:posOffset>424180</wp:posOffset>
              </wp:positionV>
              <wp:extent cx="4358640" cy="0"/>
              <wp:effectExtent l="0" t="0" r="0" b="0"/>
              <wp:wrapNone/>
              <wp:docPr id="678" name="Shape 6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522F874" id="_x0000_t32" coordsize="21600,21600" o:spt="32" o:oned="t" path="m,l21600,21600e" filled="f">
              <v:path arrowok="t" fillok="f" o:connecttype="none"/>
              <o:lock v:ext="edit" shapetype="t"/>
            </v:shapetype>
            <v:shape id="Shape 678" o:spid="_x0000_s1026" type="#_x0000_t32" style="position:absolute;margin-left:40.4pt;margin-top:33.4pt;width:343.2pt;height:0;z-index:-251593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" strokeweight="1pt">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D67C" w14:textId="77777777" w:rsidR="00093A32" w:rsidRDefault="00093A32">
    <w:pPr>
      <w:spacing w:line="1" w:lineRule="exact"/>
    </w:pPr>
    <w:r>
      <w:rPr>
        <w:noProof/>
      </w:rPr>
      <mc:AlternateContent>
        <mc:Choice Requires="wps">
          <w:drawing>
            <wp:anchor distT="0" distB="0" distL="0" distR="0" simplePos="0" relativeHeight="251961344" behindDoc="1" locked="0" layoutInCell="1" allowOverlap="1" wp14:anchorId="420F250B" wp14:editId="5A0CE897">
              <wp:simplePos x="0" y="0"/>
              <wp:positionH relativeFrom="page">
                <wp:posOffset>527050</wp:posOffset>
              </wp:positionH>
              <wp:positionV relativeFrom="page">
                <wp:posOffset>315595</wp:posOffset>
              </wp:positionV>
              <wp:extent cx="2752090" cy="69850"/>
              <wp:effectExtent l="0" t="0" r="0" b="0"/>
              <wp:wrapNone/>
              <wp:docPr id="682" name="Shape 682"/>
              <wp:cNvGraphicFramePr/>
              <a:graphic xmlns:a="http://schemas.openxmlformats.org/drawingml/2006/main">
                <a:graphicData uri="http://schemas.microsoft.com/office/word/2010/wordprocessingShape">
                  <wps:wsp>
                    <wps:cNvSpPr txBox="1"/>
                    <wps:spPr>
                      <a:xfrm>
                        <a:off x="0" y="0"/>
                        <a:ext cx="2752090" cy="69850"/>
                      </a:xfrm>
                      <a:prstGeom prst="rect">
                        <a:avLst/>
                      </a:prstGeom>
                      <a:noFill/>
                    </wps:spPr>
                    <wps:txbx>
                      <w:txbxContent>
                        <w:p w14:paraId="64022D91" w14:textId="77777777" w:rsidR="00093A32" w:rsidRDefault="00093A32">
                          <w:pPr>
                            <w:pStyle w:val="Headerorfooter0"/>
                            <w:tabs>
                              <w:tab w:val="right" w:pos="43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rPr>
                            <w:t>CHLAMYDIA TRACHOMATIS</w:t>
                          </w:r>
                        </w:p>
                      </w:txbxContent>
                    </wps:txbx>
                    <wps:bodyPr lIns="0" tIns="0" rIns="0" bIns="0">
                      <a:spAutoFit/>
                    </wps:bodyPr>
                  </wps:wsp>
                </a:graphicData>
              </a:graphic>
            </wp:anchor>
          </w:drawing>
        </mc:Choice>
        <mc:Fallback>
          <w:pict>
            <v:shapetype w14:anchorId="420F250B" id="_x0000_t202" coordsize="21600,21600" o:spt="202" path="m,l,21600r21600,l21600,xe">
              <v:stroke joinstyle="miter"/>
              <v:path gradientshapeok="t" o:connecttype="rect"/>
            </v:shapetype>
            <v:shape id="Shape 682" o:spid="_x0000_s1106" type="#_x0000_t202" style="position:absolute;margin-left:41.5pt;margin-top:24.85pt;width:216.7pt;height:5.5pt;z-index:-2513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" filled="f" stroked="f">
              <v:textbox style="mso-fit-shape-to-text:t" inset="0,0,0,0">
                <w:txbxContent>
                  <w:p w14:paraId="64022D91" w14:textId="77777777" w:rsidR="00093A32" w:rsidRDefault="00093A32">
                    <w:pPr>
                      <w:pStyle w:val="Headerorfooter0"/>
                      <w:tabs>
                        <w:tab w:val="right" w:pos="43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rPr>
                      <w:t>CHLAMYDIA TRACHOMATIS</w:t>
                    </w:r>
                  </w:p>
                </w:txbxContent>
              </v:textbox>
              <w10:wrap anchorx="page" anchory="page"/>
            </v:shape>
          </w:pict>
        </mc:Fallback>
      </mc:AlternateContent>
    </w:r>
    <w:r>
      <w:rPr>
        <w:noProof/>
      </w:rPr>
      <mc:AlternateContent>
        <mc:Choice Requires="wps">
          <w:drawing>
            <wp:anchor distT="0" distB="0" distL="114300" distR="114300" simplePos="0" relativeHeight="251724800" behindDoc="1" locked="0" layoutInCell="1" allowOverlap="1" wp14:anchorId="3C43E1A4" wp14:editId="133422ED">
              <wp:simplePos x="0" y="0"/>
              <wp:positionH relativeFrom="page">
                <wp:posOffset>511810</wp:posOffset>
              </wp:positionH>
              <wp:positionV relativeFrom="page">
                <wp:posOffset>424180</wp:posOffset>
              </wp:positionV>
              <wp:extent cx="4358640" cy="0"/>
              <wp:effectExtent l="0" t="0" r="0" b="0"/>
              <wp:wrapNone/>
              <wp:docPr id="684" name="Shape 6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ED4D07" id="_x0000_t32" coordsize="21600,21600" o:spt="32" o:oned="t" path="m,l21600,21600e" filled="f">
              <v:path arrowok="t" fillok="f" o:connecttype="none"/>
              <o:lock v:ext="edit" shapetype="t"/>
            </v:shapetype>
            <v:shape id="Shape 684" o:spid="_x0000_s1026" type="#_x0000_t32" style="position:absolute;margin-left:40.3pt;margin-top:33.4pt;width:343.2pt;height:0;z-index:-251591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6E89" w14:textId="77777777" w:rsidR="00093A32" w:rsidRDefault="00093A32">
    <w:pPr>
      <w:spacing w:line="1" w:lineRule="exact"/>
    </w:pPr>
    <w:r>
      <w:rPr>
        <w:noProof/>
      </w:rPr>
      <mc:AlternateContent>
        <mc:Choice Requires="wps">
          <w:drawing>
            <wp:anchor distT="0" distB="0" distL="0" distR="0" simplePos="0" relativeHeight="251960320" behindDoc="1" locked="0" layoutInCell="1" allowOverlap="1" wp14:anchorId="522CA97A" wp14:editId="166E7CD2">
              <wp:simplePos x="0" y="0"/>
              <wp:positionH relativeFrom="page">
                <wp:posOffset>527050</wp:posOffset>
              </wp:positionH>
              <wp:positionV relativeFrom="page">
                <wp:posOffset>315595</wp:posOffset>
              </wp:positionV>
              <wp:extent cx="2752090" cy="69850"/>
              <wp:effectExtent l="0" t="0" r="0" b="0"/>
              <wp:wrapNone/>
              <wp:docPr id="679" name="Shape 679"/>
              <wp:cNvGraphicFramePr/>
              <a:graphic xmlns:a="http://schemas.openxmlformats.org/drawingml/2006/main">
                <a:graphicData uri="http://schemas.microsoft.com/office/word/2010/wordprocessingShape">
                  <wps:wsp>
                    <wps:cNvSpPr txBox="1"/>
                    <wps:spPr>
                      <a:xfrm>
                        <a:off x="0" y="0"/>
                        <a:ext cx="2752090" cy="69850"/>
                      </a:xfrm>
                      <a:prstGeom prst="rect">
                        <a:avLst/>
                      </a:prstGeom>
                      <a:noFill/>
                    </wps:spPr>
                    <wps:txbx>
                      <w:txbxContent>
                        <w:p w14:paraId="50065684" w14:textId="77777777" w:rsidR="00093A32" w:rsidRDefault="00093A32">
                          <w:pPr>
                            <w:pStyle w:val="Headerorfooter0"/>
                            <w:tabs>
                              <w:tab w:val="right" w:pos="43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rPr>
                            <w:t>CHLAMYDIA TRACHOMATIS</w:t>
                          </w:r>
                        </w:p>
                      </w:txbxContent>
                    </wps:txbx>
                    <wps:bodyPr lIns="0" tIns="0" rIns="0" bIns="0">
                      <a:spAutoFit/>
                    </wps:bodyPr>
                  </wps:wsp>
                </a:graphicData>
              </a:graphic>
            </wp:anchor>
          </w:drawing>
        </mc:Choice>
        <mc:Fallback>
          <w:pict>
            <v:shapetype w14:anchorId="522CA97A" id="_x0000_t202" coordsize="21600,21600" o:spt="202" path="m,l,21600r21600,l21600,xe">
              <v:stroke joinstyle="miter"/>
              <v:path gradientshapeok="t" o:connecttype="rect"/>
            </v:shapetype>
            <v:shape id="Shape 679" o:spid="_x0000_s1107" type="#_x0000_t202" style="position:absolute;margin-left:41.5pt;margin-top:24.85pt;width:216.7pt;height:5.5pt;z-index:-2513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" filled="f" stroked="f">
              <v:textbox style="mso-fit-shape-to-text:t" inset="0,0,0,0">
                <w:txbxContent>
                  <w:p w14:paraId="50065684" w14:textId="77777777" w:rsidR="00093A32" w:rsidRDefault="00093A32">
                    <w:pPr>
                      <w:pStyle w:val="Headerorfooter0"/>
                      <w:tabs>
                        <w:tab w:val="right" w:pos="43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rPr>
                      <w:t>CHLAMYDIA TRACHOMATIS</w:t>
                    </w:r>
                  </w:p>
                </w:txbxContent>
              </v:textbox>
              <w10:wrap anchorx="page" anchory="page"/>
            </v:shape>
          </w:pict>
        </mc:Fallback>
      </mc:AlternateContent>
    </w:r>
    <w:r>
      <w:rPr>
        <w:noProof/>
      </w:rPr>
      <mc:AlternateContent>
        <mc:Choice Requires="wps">
          <w:drawing>
            <wp:anchor distT="0" distB="0" distL="114300" distR="114300" simplePos="0" relativeHeight="251723776" behindDoc="1" locked="0" layoutInCell="1" allowOverlap="1" wp14:anchorId="27B7536A" wp14:editId="3F07DC27">
              <wp:simplePos x="0" y="0"/>
              <wp:positionH relativeFrom="page">
                <wp:posOffset>511810</wp:posOffset>
              </wp:positionH>
              <wp:positionV relativeFrom="page">
                <wp:posOffset>424180</wp:posOffset>
              </wp:positionV>
              <wp:extent cx="4358640" cy="0"/>
              <wp:effectExtent l="0" t="0" r="0" b="0"/>
              <wp:wrapNone/>
              <wp:docPr id="681" name="Shape 6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78BD7EE" id="_x0000_t32" coordsize="21600,21600" o:spt="32" o:oned="t" path="m,l21600,21600e" filled="f">
              <v:path arrowok="t" fillok="f" o:connecttype="none"/>
              <o:lock v:ext="edit" shapetype="t"/>
            </v:shapetype>
            <v:shape id="Shape 681" o:spid="_x0000_s1026" type="#_x0000_t32" style="position:absolute;margin-left:40.3pt;margin-top:33.4pt;width:343.2pt;height:0;z-index:-251592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75F0" w14:textId="77777777" w:rsidR="00093A32" w:rsidRDefault="00093A32">
    <w:pPr>
      <w:spacing w:line="1" w:lineRule="exact"/>
    </w:pPr>
    <w:r>
      <w:rPr>
        <w:noProof/>
      </w:rPr>
      <mc:AlternateContent>
        <mc:Choice Requires="wps">
          <w:drawing>
            <wp:anchor distT="0" distB="0" distL="0" distR="0" simplePos="0" relativeHeight="251962368" behindDoc="1" locked="0" layoutInCell="1" allowOverlap="1" wp14:anchorId="2B95AB6C" wp14:editId="27DE0D40">
              <wp:simplePos x="0" y="0"/>
              <wp:positionH relativeFrom="page">
                <wp:posOffset>1816100</wp:posOffset>
              </wp:positionH>
              <wp:positionV relativeFrom="page">
                <wp:posOffset>300355</wp:posOffset>
              </wp:positionV>
              <wp:extent cx="3048000" cy="85090"/>
              <wp:effectExtent l="0" t="0" r="0" b="0"/>
              <wp:wrapNone/>
              <wp:docPr id="685" name="Shape 685"/>
              <wp:cNvGraphicFramePr/>
              <a:graphic xmlns:a="http://schemas.openxmlformats.org/drawingml/2006/main">
                <a:graphicData uri="http://schemas.microsoft.com/office/word/2010/wordprocessingShape">
                  <wps:wsp>
                    <wps:cNvSpPr txBox="1"/>
                    <wps:spPr>
                      <a:xfrm>
                        <a:off x="0" y="0"/>
                        <a:ext cx="3048000" cy="85090"/>
                      </a:xfrm>
                      <a:prstGeom prst="rect">
                        <a:avLst/>
                      </a:prstGeom>
                      <a:noFill/>
                    </wps:spPr>
                    <wps:txbx>
                      <w:txbxContent>
                        <w:p w14:paraId="79DC267E" w14:textId="77777777" w:rsidR="00093A32" w:rsidRDefault="00093A32">
                          <w:pPr>
                            <w:pStyle w:val="Headerorfooter0"/>
                            <w:tabs>
                              <w:tab w:val="right" w:pos="4800"/>
                            </w:tabs>
                            <w:rPr>
                              <w:sz w:val="16"/>
                              <w:szCs w:val="16"/>
                            </w:rPr>
                          </w:pPr>
                          <w:r>
                            <w:rPr>
                              <w:i/>
                              <w:iCs/>
                            </w:rPr>
                            <w:t>CHLAMYDIA (CHLAMYDOPHILA) PSITTACI</w:t>
                          </w:r>
                          <w:r>
                            <w:rPr>
                              <w:i/>
                              <w:iCs/>
                            </w:rPr>
                            <w:tab/>
                          </w:r>
                          <w:r>
                            <w:rPr>
                              <w:sz w:val="16"/>
                              <w:szCs w:val="16"/>
                            </w:rPr>
                            <w:t>263</w:t>
                          </w:r>
                        </w:p>
                      </w:txbxContent>
                    </wps:txbx>
                    <wps:bodyPr lIns="0" tIns="0" rIns="0" bIns="0">
                      <a:spAutoFit/>
                    </wps:bodyPr>
                  </wps:wsp>
                </a:graphicData>
              </a:graphic>
            </wp:anchor>
          </w:drawing>
        </mc:Choice>
        <mc:Fallback>
          <w:pict>
            <v:shapetype w14:anchorId="2B95AB6C" id="_x0000_t202" coordsize="21600,21600" o:spt="202" path="m,l,21600r21600,l21600,xe">
              <v:stroke joinstyle="miter"/>
              <v:path gradientshapeok="t" o:connecttype="rect"/>
            </v:shapetype>
            <v:shape id="Shape 685" o:spid="_x0000_s1108" type="#_x0000_t202" style="position:absolute;margin-left:143pt;margin-top:23.65pt;width:240pt;height:6.7pt;z-index:-2513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" filled="f" stroked="f">
              <v:textbox style="mso-fit-shape-to-text:t" inset="0,0,0,0">
                <w:txbxContent>
                  <w:p w14:paraId="79DC267E" w14:textId="77777777" w:rsidR="00093A32" w:rsidRDefault="00093A32">
                    <w:pPr>
                      <w:pStyle w:val="Headerorfooter0"/>
                      <w:tabs>
                        <w:tab w:val="right" w:pos="4800"/>
                      </w:tabs>
                      <w:rPr>
                        <w:sz w:val="16"/>
                        <w:szCs w:val="16"/>
                      </w:rPr>
                    </w:pPr>
                    <w:r>
                      <w:rPr>
                        <w:i/>
                        <w:iCs/>
                      </w:rPr>
                      <w:t>CHLAMYDIA (CHLAMYDOPHILA) PSITTACI</w:t>
                    </w:r>
                    <w:r>
                      <w:rPr>
                        <w:i/>
                        <w:iCs/>
                      </w:rPr>
                      <w:tab/>
                    </w:r>
                    <w:r>
                      <w:rPr>
                        <w:sz w:val="16"/>
                        <w:szCs w:val="16"/>
                      </w:rPr>
                      <w:t>263</w:t>
                    </w:r>
                  </w:p>
                </w:txbxContent>
              </v:textbox>
              <w10:wrap anchorx="page" anchory="page"/>
            </v:shape>
          </w:pict>
        </mc:Fallback>
      </mc:AlternateContent>
    </w:r>
    <w:r>
      <w:rPr>
        <w:noProof/>
      </w:rPr>
      <mc:AlternateContent>
        <mc:Choice Requires="wps">
          <w:drawing>
            <wp:anchor distT="0" distB="0" distL="114300" distR="114300" simplePos="0" relativeHeight="251725824" behindDoc="1" locked="0" layoutInCell="1" allowOverlap="1" wp14:anchorId="0CAF20E0" wp14:editId="358CF5EF">
              <wp:simplePos x="0" y="0"/>
              <wp:positionH relativeFrom="page">
                <wp:posOffset>527050</wp:posOffset>
              </wp:positionH>
              <wp:positionV relativeFrom="page">
                <wp:posOffset>408940</wp:posOffset>
              </wp:positionV>
              <wp:extent cx="4358640" cy="0"/>
              <wp:effectExtent l="0" t="0" r="0" b="0"/>
              <wp:wrapNone/>
              <wp:docPr id="687" name="Shape 6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4A881C0" id="_x0000_t32" coordsize="21600,21600" o:spt="32" o:oned="t" path="m,l21600,21600e" filled="f">
              <v:path arrowok="t" fillok="f" o:connecttype="none"/>
              <o:lock v:ext="edit" shapetype="t"/>
            </v:shapetype>
            <v:shape id="Shape 687" o:spid="_x0000_s1026" type="#_x0000_t32" style="position:absolute;margin-left:41.5pt;margin-top:32.2pt;width:343.2pt;height:0;z-index:-251590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" strokeweight="1pt">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E1FF" w14:textId="77777777" w:rsidR="00093A32" w:rsidRDefault="00093A32">
    <w:pPr>
      <w:spacing w:line="1" w:lineRule="exact"/>
    </w:pPr>
    <w:r>
      <w:rPr>
        <w:noProof/>
      </w:rPr>
      <mc:AlternateContent>
        <mc:Choice Requires="wps">
          <w:drawing>
            <wp:anchor distT="0" distB="0" distL="0" distR="0" simplePos="0" relativeHeight="251964416" behindDoc="1" locked="0" layoutInCell="1" allowOverlap="1" wp14:anchorId="7BC3B361" wp14:editId="1DC57D1D">
              <wp:simplePos x="0" y="0"/>
              <wp:positionH relativeFrom="page">
                <wp:posOffset>2117725</wp:posOffset>
              </wp:positionH>
              <wp:positionV relativeFrom="page">
                <wp:posOffset>315595</wp:posOffset>
              </wp:positionV>
              <wp:extent cx="2743200" cy="69850"/>
              <wp:effectExtent l="0" t="0" r="0" b="0"/>
              <wp:wrapNone/>
              <wp:docPr id="691" name="Shape 691"/>
              <wp:cNvGraphicFramePr/>
              <a:graphic xmlns:a="http://schemas.openxmlformats.org/drawingml/2006/main">
                <a:graphicData uri="http://schemas.microsoft.com/office/word/2010/wordprocessingShape">
                  <wps:wsp>
                    <wps:cNvSpPr txBox="1"/>
                    <wps:spPr>
                      <a:xfrm>
                        <a:off x="0" y="0"/>
                        <a:ext cx="2743200" cy="69850"/>
                      </a:xfrm>
                      <a:prstGeom prst="rect">
                        <a:avLst/>
                      </a:prstGeom>
                      <a:noFill/>
                    </wps:spPr>
                    <wps:txbx>
                      <w:txbxContent>
                        <w:p w14:paraId="414B792F" w14:textId="77777777" w:rsidR="00093A32" w:rsidRDefault="00093A32">
                          <w:pPr>
                            <w:pStyle w:val="Headerorfooter0"/>
                            <w:tabs>
                              <w:tab w:val="right" w:pos="4320"/>
                            </w:tabs>
                            <w:rPr>
                              <w:sz w:val="16"/>
                              <w:szCs w:val="16"/>
                            </w:rPr>
                          </w:pPr>
                          <w:r>
                            <w:rPr>
                              <w:i/>
                              <w:iCs/>
                            </w:rPr>
                            <w:t>CHLAMYDIA TRACHOMATIS</w:t>
                          </w:r>
                          <w:r>
                            <w:rPr>
                              <w:i/>
                              <w:iCs/>
                            </w:rPr>
                            <w:tab/>
                          </w:r>
                          <w:r>
                            <w:rPr>
                              <w:sz w:val="16"/>
                              <w:szCs w:val="16"/>
                            </w:rPr>
                            <w:t>265</w:t>
                          </w:r>
                        </w:p>
                      </w:txbxContent>
                    </wps:txbx>
                    <wps:bodyPr lIns="0" tIns="0" rIns="0" bIns="0">
                      <a:spAutoFit/>
                    </wps:bodyPr>
                  </wps:wsp>
                </a:graphicData>
              </a:graphic>
            </wp:anchor>
          </w:drawing>
        </mc:Choice>
        <mc:Fallback>
          <w:pict>
            <v:shapetype w14:anchorId="7BC3B361" id="_x0000_t202" coordsize="21600,21600" o:spt="202" path="m,l,21600r21600,l21600,xe">
              <v:stroke joinstyle="miter"/>
              <v:path gradientshapeok="t" o:connecttype="rect"/>
            </v:shapetype>
            <v:shape id="Shape 691" o:spid="_x0000_s1109" type="#_x0000_t202" style="position:absolute;margin-left:166.75pt;margin-top:24.85pt;width:3in;height:5.5pt;z-index:-2513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" filled="f" stroked="f">
              <v:textbox style="mso-fit-shape-to-text:t" inset="0,0,0,0">
                <w:txbxContent>
                  <w:p w14:paraId="414B792F" w14:textId="77777777" w:rsidR="00093A32" w:rsidRDefault="00093A32">
                    <w:pPr>
                      <w:pStyle w:val="Headerorfooter0"/>
                      <w:tabs>
                        <w:tab w:val="right" w:pos="4320"/>
                      </w:tabs>
                      <w:rPr>
                        <w:sz w:val="16"/>
                        <w:szCs w:val="16"/>
                      </w:rPr>
                    </w:pPr>
                    <w:r>
                      <w:rPr>
                        <w:i/>
                        <w:iCs/>
                      </w:rPr>
                      <w:t>CHLAMYDIA TRACHOMATIS</w:t>
                    </w:r>
                    <w:r>
                      <w:rPr>
                        <w:i/>
                        <w:iCs/>
                      </w:rPr>
                      <w:tab/>
                    </w:r>
                    <w:r>
                      <w:rPr>
                        <w:sz w:val="16"/>
                        <w:szCs w:val="16"/>
                      </w:rPr>
                      <w:t>265</w:t>
                    </w:r>
                  </w:p>
                </w:txbxContent>
              </v:textbox>
              <w10:wrap anchorx="page" anchory="page"/>
            </v:shape>
          </w:pict>
        </mc:Fallback>
      </mc:AlternateContent>
    </w:r>
    <w:r>
      <w:rPr>
        <w:noProof/>
      </w:rPr>
      <mc:AlternateContent>
        <mc:Choice Requires="wps">
          <w:drawing>
            <wp:anchor distT="0" distB="0" distL="114300" distR="114300" simplePos="0" relativeHeight="251727872" behindDoc="1" locked="0" layoutInCell="1" allowOverlap="1" wp14:anchorId="3C5D722A" wp14:editId="67F18AAD">
              <wp:simplePos x="0" y="0"/>
              <wp:positionH relativeFrom="page">
                <wp:posOffset>523875</wp:posOffset>
              </wp:positionH>
              <wp:positionV relativeFrom="page">
                <wp:posOffset>424180</wp:posOffset>
              </wp:positionV>
              <wp:extent cx="4358640" cy="0"/>
              <wp:effectExtent l="0" t="0" r="0" b="0"/>
              <wp:wrapNone/>
              <wp:docPr id="693" name="Shape 6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9A0B2A" id="_x0000_t32" coordsize="21600,21600" o:spt="32" o:oned="t" path="m,l21600,21600e" filled="f">
              <v:path arrowok="t" fillok="f" o:connecttype="none"/>
              <o:lock v:ext="edit" shapetype="t"/>
            </v:shapetype>
            <v:shape id="Shape 693" o:spid="_x0000_s1026" type="#_x0000_t32" style="position:absolute;margin-left:41.25pt;margin-top:33.4pt;width:343.2pt;height:0;z-index:-251588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AbT&#10;1TDaAAAACAEAAA8AAAAAAAAAAAAAAAAAwgMAAGRycy9kb3ducmV2LnhtbFBLBQYAAAAABAAEAPMA&#10;AADJBAAAAAA=&#10;" strokeweight="1pt">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8686" w14:textId="77777777" w:rsidR="00093A32" w:rsidRDefault="00093A32">
    <w:pPr>
      <w:spacing w:line="1" w:lineRule="exact"/>
    </w:pPr>
    <w:r>
      <w:rPr>
        <w:noProof/>
      </w:rPr>
      <mc:AlternateContent>
        <mc:Choice Requires="wps">
          <w:drawing>
            <wp:anchor distT="0" distB="0" distL="0" distR="0" simplePos="0" relativeHeight="251963392" behindDoc="1" locked="0" layoutInCell="1" allowOverlap="1" wp14:anchorId="3861EB63" wp14:editId="1F8FF4F5">
              <wp:simplePos x="0" y="0"/>
              <wp:positionH relativeFrom="page">
                <wp:posOffset>527050</wp:posOffset>
              </wp:positionH>
              <wp:positionV relativeFrom="page">
                <wp:posOffset>315595</wp:posOffset>
              </wp:positionV>
              <wp:extent cx="2752090" cy="69850"/>
              <wp:effectExtent l="0" t="0" r="0" b="0"/>
              <wp:wrapNone/>
              <wp:docPr id="688" name="Shape 688"/>
              <wp:cNvGraphicFramePr/>
              <a:graphic xmlns:a="http://schemas.openxmlformats.org/drawingml/2006/main">
                <a:graphicData uri="http://schemas.microsoft.com/office/word/2010/wordprocessingShape">
                  <wps:wsp>
                    <wps:cNvSpPr txBox="1"/>
                    <wps:spPr>
                      <a:xfrm>
                        <a:off x="0" y="0"/>
                        <a:ext cx="2752090" cy="69850"/>
                      </a:xfrm>
                      <a:prstGeom prst="rect">
                        <a:avLst/>
                      </a:prstGeom>
                      <a:noFill/>
                    </wps:spPr>
                    <wps:txbx>
                      <w:txbxContent>
                        <w:p w14:paraId="2AA1C31E" w14:textId="77777777" w:rsidR="00093A32" w:rsidRDefault="00093A32">
                          <w:pPr>
                            <w:pStyle w:val="Headerorfooter0"/>
                            <w:tabs>
                              <w:tab w:val="right" w:pos="43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rPr>
                            <w:t>CHLAMYDIA TRACHOMATIS</w:t>
                          </w:r>
                        </w:p>
                      </w:txbxContent>
                    </wps:txbx>
                    <wps:bodyPr lIns="0" tIns="0" rIns="0" bIns="0">
                      <a:spAutoFit/>
                    </wps:bodyPr>
                  </wps:wsp>
                </a:graphicData>
              </a:graphic>
            </wp:anchor>
          </w:drawing>
        </mc:Choice>
        <mc:Fallback>
          <w:pict>
            <v:shapetype w14:anchorId="3861EB63" id="_x0000_t202" coordsize="21600,21600" o:spt="202" path="m,l,21600r21600,l21600,xe">
              <v:stroke joinstyle="miter"/>
              <v:path gradientshapeok="t" o:connecttype="rect"/>
            </v:shapetype>
            <v:shape id="Shape 688" o:spid="_x0000_s1110" type="#_x0000_t202" style="position:absolute;margin-left:41.5pt;margin-top:24.85pt;width:216.7pt;height:5.5pt;z-index:-2513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" filled="f" stroked="f">
              <v:textbox style="mso-fit-shape-to-text:t" inset="0,0,0,0">
                <w:txbxContent>
                  <w:p w14:paraId="2AA1C31E" w14:textId="77777777" w:rsidR="00093A32" w:rsidRDefault="00093A32">
                    <w:pPr>
                      <w:pStyle w:val="Headerorfooter0"/>
                      <w:tabs>
                        <w:tab w:val="right" w:pos="43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rPr>
                      <w:t>CHLAMYDIA TRACHOMATIS</w:t>
                    </w:r>
                  </w:p>
                </w:txbxContent>
              </v:textbox>
              <w10:wrap anchorx="page" anchory="page"/>
            </v:shape>
          </w:pict>
        </mc:Fallback>
      </mc:AlternateContent>
    </w:r>
    <w:r>
      <w:rPr>
        <w:noProof/>
      </w:rPr>
      <mc:AlternateContent>
        <mc:Choice Requires="wps">
          <w:drawing>
            <wp:anchor distT="0" distB="0" distL="114300" distR="114300" simplePos="0" relativeHeight="251726848" behindDoc="1" locked="0" layoutInCell="1" allowOverlap="1" wp14:anchorId="70B5131F" wp14:editId="6DAB8E56">
              <wp:simplePos x="0" y="0"/>
              <wp:positionH relativeFrom="page">
                <wp:posOffset>511810</wp:posOffset>
              </wp:positionH>
              <wp:positionV relativeFrom="page">
                <wp:posOffset>424180</wp:posOffset>
              </wp:positionV>
              <wp:extent cx="4358640" cy="0"/>
              <wp:effectExtent l="0" t="0" r="0" b="0"/>
              <wp:wrapNone/>
              <wp:docPr id="690" name="Shape 6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81441AC" id="_x0000_t32" coordsize="21600,21600" o:spt="32" o:oned="t" path="m,l21600,21600e" filled="f">
              <v:path arrowok="t" fillok="f" o:connecttype="none"/>
              <o:lock v:ext="edit" shapetype="t"/>
            </v:shapetype>
            <v:shape id="Shape 690" o:spid="_x0000_s1026" type="#_x0000_t32" style="position:absolute;margin-left:40.3pt;margin-top:33.4pt;width:343.2pt;height:0;z-index:-251589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8EE6" w14:textId="77777777" w:rsidR="00093A32" w:rsidRDefault="00093A32">
    <w:pPr>
      <w:spacing w:line="1" w:lineRule="exact"/>
    </w:pPr>
    <w:r>
      <w:rPr>
        <w:noProof/>
      </w:rPr>
      <mc:AlternateContent>
        <mc:Choice Requires="wps">
          <w:drawing>
            <wp:anchor distT="0" distB="0" distL="0" distR="0" simplePos="0" relativeHeight="251966464" behindDoc="1" locked="0" layoutInCell="1" allowOverlap="1" wp14:anchorId="69805FAB" wp14:editId="7CE308A5">
              <wp:simplePos x="0" y="0"/>
              <wp:positionH relativeFrom="page">
                <wp:posOffset>2122170</wp:posOffset>
              </wp:positionH>
              <wp:positionV relativeFrom="page">
                <wp:posOffset>291465</wp:posOffset>
              </wp:positionV>
              <wp:extent cx="2727960" cy="94615"/>
              <wp:effectExtent l="0" t="0" r="0" b="0"/>
              <wp:wrapNone/>
              <wp:docPr id="697" name="Shape 697"/>
              <wp:cNvGraphicFramePr/>
              <a:graphic xmlns:a="http://schemas.openxmlformats.org/drawingml/2006/main">
                <a:graphicData uri="http://schemas.microsoft.com/office/word/2010/wordprocessingShape">
                  <wps:wsp>
                    <wps:cNvSpPr txBox="1"/>
                    <wps:spPr>
                      <a:xfrm>
                        <a:off x="0" y="0"/>
                        <a:ext cx="2727960" cy="94615"/>
                      </a:xfrm>
                      <a:prstGeom prst="rect">
                        <a:avLst/>
                      </a:prstGeom>
                      <a:noFill/>
                    </wps:spPr>
                    <wps:txbx>
                      <w:txbxContent>
                        <w:p w14:paraId="65F81D69" w14:textId="77777777" w:rsidR="00093A32" w:rsidRDefault="00093A32">
                          <w:pPr>
                            <w:pStyle w:val="Headerorfooter0"/>
                            <w:tabs>
                              <w:tab w:val="right" w:pos="4296"/>
                            </w:tabs>
                            <w:rPr>
                              <w:sz w:val="16"/>
                              <w:szCs w:val="16"/>
                            </w:rPr>
                          </w:pPr>
                          <w:r>
                            <w:t>CLOSTRIDIOS, INFECCIÓN</w:t>
                          </w:r>
                          <w:r>
                            <w:tab/>
                          </w:r>
                          <w:r>
                            <w:rPr>
                              <w:sz w:val="16"/>
                              <w:szCs w:val="16"/>
                            </w:rPr>
                            <w:t>269</w:t>
                          </w:r>
                        </w:p>
                      </w:txbxContent>
                    </wps:txbx>
                    <wps:bodyPr lIns="0" tIns="0" rIns="0" bIns="0">
                      <a:spAutoFit/>
                    </wps:bodyPr>
                  </wps:wsp>
                </a:graphicData>
              </a:graphic>
            </wp:anchor>
          </w:drawing>
        </mc:Choice>
        <mc:Fallback>
          <w:pict>
            <v:shapetype w14:anchorId="69805FAB" id="_x0000_t202" coordsize="21600,21600" o:spt="202" path="m,l,21600r21600,l21600,xe">
              <v:stroke joinstyle="miter"/>
              <v:path gradientshapeok="t" o:connecttype="rect"/>
            </v:shapetype>
            <v:shape id="Shape 697" o:spid="_x0000_s1111" type="#_x0000_t202" style="position:absolute;margin-left:167.1pt;margin-top:22.95pt;width:214.8pt;height:7.45pt;z-index:-2513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" filled="f" stroked="f">
              <v:textbox style="mso-fit-shape-to-text:t" inset="0,0,0,0">
                <w:txbxContent>
                  <w:p w14:paraId="65F81D69" w14:textId="77777777" w:rsidR="00093A32" w:rsidRDefault="00093A32">
                    <w:pPr>
                      <w:pStyle w:val="Headerorfooter0"/>
                      <w:tabs>
                        <w:tab w:val="right" w:pos="4296"/>
                      </w:tabs>
                      <w:rPr>
                        <w:sz w:val="16"/>
                        <w:szCs w:val="16"/>
                      </w:rPr>
                    </w:pPr>
                    <w:r>
                      <w:t>CLOSTRIDIOS, INFECCIÓN</w:t>
                    </w:r>
                    <w:r>
                      <w:tab/>
                    </w:r>
                    <w:r>
                      <w:rPr>
                        <w:sz w:val="16"/>
                        <w:szCs w:val="16"/>
                      </w:rPr>
                      <w:t>269</w:t>
                    </w:r>
                  </w:p>
                </w:txbxContent>
              </v:textbox>
              <w10:wrap anchorx="page" anchory="page"/>
            </v:shape>
          </w:pict>
        </mc:Fallback>
      </mc:AlternateContent>
    </w:r>
    <w:r>
      <w:rPr>
        <w:noProof/>
      </w:rPr>
      <mc:AlternateContent>
        <mc:Choice Requires="wps">
          <w:drawing>
            <wp:anchor distT="0" distB="0" distL="114300" distR="114300" simplePos="0" relativeHeight="251729920" behindDoc="1" locked="0" layoutInCell="1" allowOverlap="1" wp14:anchorId="2CCFA6DE" wp14:editId="35414F1E">
              <wp:simplePos x="0" y="0"/>
              <wp:positionH relativeFrom="page">
                <wp:posOffset>513080</wp:posOffset>
              </wp:positionH>
              <wp:positionV relativeFrom="page">
                <wp:posOffset>414655</wp:posOffset>
              </wp:positionV>
              <wp:extent cx="4358640" cy="0"/>
              <wp:effectExtent l="0" t="0" r="0" b="0"/>
              <wp:wrapNone/>
              <wp:docPr id="699" name="Shape 6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2E5A09D" id="_x0000_t32" coordsize="21600,21600" o:spt="32" o:oned="t" path="m,l21600,21600e" filled="f">
              <v:path arrowok="t" fillok="f" o:connecttype="none"/>
              <o:lock v:ext="edit" shapetype="t"/>
            </v:shapetype>
            <v:shape id="Shape 699" o:spid="_x0000_s1026" type="#_x0000_t32" style="position:absolute;margin-left:40.4pt;margin-top:32.65pt;width:343.2pt;height:0;z-index:-251586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CDAA" w14:textId="77777777" w:rsidR="00093A32" w:rsidRDefault="00093A32">
    <w:pPr>
      <w:spacing w:line="1" w:lineRule="exact"/>
    </w:pPr>
    <w:r>
      <w:rPr>
        <w:noProof/>
      </w:rPr>
      <mc:AlternateContent>
        <mc:Choice Requires="wps">
          <w:drawing>
            <wp:anchor distT="0" distB="0" distL="0" distR="0" simplePos="0" relativeHeight="251965440" behindDoc="1" locked="0" layoutInCell="1" allowOverlap="1" wp14:anchorId="2584FBC8" wp14:editId="79BBDEE0">
              <wp:simplePos x="0" y="0"/>
              <wp:positionH relativeFrom="page">
                <wp:posOffset>2122170</wp:posOffset>
              </wp:positionH>
              <wp:positionV relativeFrom="page">
                <wp:posOffset>291465</wp:posOffset>
              </wp:positionV>
              <wp:extent cx="2727960" cy="94615"/>
              <wp:effectExtent l="0" t="0" r="0" b="0"/>
              <wp:wrapNone/>
              <wp:docPr id="694" name="Shape 694"/>
              <wp:cNvGraphicFramePr/>
              <a:graphic xmlns:a="http://schemas.openxmlformats.org/drawingml/2006/main">
                <a:graphicData uri="http://schemas.microsoft.com/office/word/2010/wordprocessingShape">
                  <wps:wsp>
                    <wps:cNvSpPr txBox="1"/>
                    <wps:spPr>
                      <a:xfrm>
                        <a:off x="0" y="0"/>
                        <a:ext cx="2727960" cy="94615"/>
                      </a:xfrm>
                      <a:prstGeom prst="rect">
                        <a:avLst/>
                      </a:prstGeom>
                      <a:noFill/>
                    </wps:spPr>
                    <wps:txbx>
                      <w:txbxContent>
                        <w:p w14:paraId="132118C4" w14:textId="77777777" w:rsidR="00093A32" w:rsidRDefault="00093A32">
                          <w:pPr>
                            <w:pStyle w:val="Headerorfooter0"/>
                            <w:tabs>
                              <w:tab w:val="right" w:pos="4296"/>
                            </w:tabs>
                            <w:rPr>
                              <w:sz w:val="16"/>
                              <w:szCs w:val="16"/>
                            </w:rPr>
                          </w:pPr>
                          <w:r>
                            <w:t>CLOSTRIDIOS, INFECCIÓN</w:t>
                          </w:r>
                          <w:r>
                            <w:tab/>
                          </w:r>
                          <w:r>
                            <w:rPr>
                              <w:sz w:val="16"/>
                              <w:szCs w:val="16"/>
                            </w:rPr>
                            <w:t>269</w:t>
                          </w:r>
                        </w:p>
                      </w:txbxContent>
                    </wps:txbx>
                    <wps:bodyPr lIns="0" tIns="0" rIns="0" bIns="0">
                      <a:spAutoFit/>
                    </wps:bodyPr>
                  </wps:wsp>
                </a:graphicData>
              </a:graphic>
            </wp:anchor>
          </w:drawing>
        </mc:Choice>
        <mc:Fallback>
          <w:pict>
            <v:shapetype w14:anchorId="2584FBC8" id="_x0000_t202" coordsize="21600,21600" o:spt="202" path="m,l,21600r21600,l21600,xe">
              <v:stroke joinstyle="miter"/>
              <v:path gradientshapeok="t" o:connecttype="rect"/>
            </v:shapetype>
            <v:shape id="Shape 694" o:spid="_x0000_s1112" type="#_x0000_t202" style="position:absolute;margin-left:167.1pt;margin-top:22.95pt;width:214.8pt;height:7.45pt;z-index:-2513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" filled="f" stroked="f">
              <v:textbox style="mso-fit-shape-to-text:t" inset="0,0,0,0">
                <w:txbxContent>
                  <w:p w14:paraId="132118C4" w14:textId="77777777" w:rsidR="00093A32" w:rsidRDefault="00093A32">
                    <w:pPr>
                      <w:pStyle w:val="Headerorfooter0"/>
                      <w:tabs>
                        <w:tab w:val="right" w:pos="4296"/>
                      </w:tabs>
                      <w:rPr>
                        <w:sz w:val="16"/>
                        <w:szCs w:val="16"/>
                      </w:rPr>
                    </w:pPr>
                    <w:r>
                      <w:t>CLOSTRIDIOS, INFECCIÓN</w:t>
                    </w:r>
                    <w:r>
                      <w:tab/>
                    </w:r>
                    <w:r>
                      <w:rPr>
                        <w:sz w:val="16"/>
                        <w:szCs w:val="16"/>
                      </w:rPr>
                      <w:t>269</w:t>
                    </w:r>
                  </w:p>
                </w:txbxContent>
              </v:textbox>
              <w10:wrap anchorx="page" anchory="page"/>
            </v:shape>
          </w:pict>
        </mc:Fallback>
      </mc:AlternateContent>
    </w:r>
    <w:r>
      <w:rPr>
        <w:noProof/>
      </w:rPr>
      <mc:AlternateContent>
        <mc:Choice Requires="wps">
          <w:drawing>
            <wp:anchor distT="0" distB="0" distL="114300" distR="114300" simplePos="0" relativeHeight="251728896" behindDoc="1" locked="0" layoutInCell="1" allowOverlap="1" wp14:anchorId="3762328F" wp14:editId="4D3A631A">
              <wp:simplePos x="0" y="0"/>
              <wp:positionH relativeFrom="page">
                <wp:posOffset>513080</wp:posOffset>
              </wp:positionH>
              <wp:positionV relativeFrom="page">
                <wp:posOffset>414655</wp:posOffset>
              </wp:positionV>
              <wp:extent cx="4358640" cy="0"/>
              <wp:effectExtent l="0" t="0" r="0" b="0"/>
              <wp:wrapNone/>
              <wp:docPr id="696" name="Shape 6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E5E306C" id="_x0000_t32" coordsize="21600,21600" o:spt="32" o:oned="t" path="m,l21600,21600e" filled="f">
              <v:path arrowok="t" fillok="f" o:connecttype="none"/>
              <o:lock v:ext="edit" shapetype="t"/>
            </v:shapetype>
            <v:shape id="Shape 696" o:spid="_x0000_s1026" type="#_x0000_t32" style="position:absolute;margin-left:40.4pt;margin-top:32.65pt;width:343.2pt;height:0;z-index:-251587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814C" w14:textId="77777777" w:rsidR="00093A32" w:rsidRDefault="00093A32">
    <w:pPr>
      <w:spacing w:line="1" w:lineRule="exact"/>
    </w:pPr>
    <w:r>
      <w:rPr>
        <w:noProof/>
      </w:rPr>
      <mc:AlternateContent>
        <mc:Choice Requires="wps">
          <w:drawing>
            <wp:anchor distT="0" distB="0" distL="0" distR="0" simplePos="0" relativeHeight="251968512" behindDoc="1" locked="0" layoutInCell="1" allowOverlap="1" wp14:anchorId="53F8BD67" wp14:editId="0886F3E9">
              <wp:simplePos x="0" y="0"/>
              <wp:positionH relativeFrom="page">
                <wp:posOffset>2122170</wp:posOffset>
              </wp:positionH>
              <wp:positionV relativeFrom="page">
                <wp:posOffset>291465</wp:posOffset>
              </wp:positionV>
              <wp:extent cx="2727960" cy="94615"/>
              <wp:effectExtent l="0" t="0" r="0" b="0"/>
              <wp:wrapNone/>
              <wp:docPr id="703" name="Shape 703"/>
              <wp:cNvGraphicFramePr/>
              <a:graphic xmlns:a="http://schemas.openxmlformats.org/drawingml/2006/main">
                <a:graphicData uri="http://schemas.microsoft.com/office/word/2010/wordprocessingShape">
                  <wps:wsp>
                    <wps:cNvSpPr txBox="1"/>
                    <wps:spPr>
                      <a:xfrm>
                        <a:off x="0" y="0"/>
                        <a:ext cx="2727960" cy="94615"/>
                      </a:xfrm>
                      <a:prstGeom prst="rect">
                        <a:avLst/>
                      </a:prstGeom>
                      <a:noFill/>
                    </wps:spPr>
                    <wps:txbx>
                      <w:txbxContent>
                        <w:p w14:paraId="13848A40" w14:textId="77777777" w:rsidR="00093A32" w:rsidRDefault="00093A32">
                          <w:pPr>
                            <w:pStyle w:val="Headerorfooter0"/>
                            <w:tabs>
                              <w:tab w:val="right" w:pos="4296"/>
                            </w:tabs>
                            <w:rPr>
                              <w:sz w:val="16"/>
                              <w:szCs w:val="16"/>
                            </w:rPr>
                          </w:pPr>
                          <w:r>
                            <w:t>CLOSTRIDIOS, INFECCIÓN</w:t>
                          </w:r>
                          <w:r>
                            <w:tab/>
                          </w:r>
                          <w:r>
                            <w:rPr>
                              <w:sz w:val="16"/>
                              <w:szCs w:val="16"/>
                            </w:rPr>
                            <w:t>269</w:t>
                          </w:r>
                        </w:p>
                      </w:txbxContent>
                    </wps:txbx>
                    <wps:bodyPr lIns="0" tIns="0" rIns="0" bIns="0">
                      <a:spAutoFit/>
                    </wps:bodyPr>
                  </wps:wsp>
                </a:graphicData>
              </a:graphic>
            </wp:anchor>
          </w:drawing>
        </mc:Choice>
        <mc:Fallback>
          <w:pict>
            <v:shapetype w14:anchorId="53F8BD67" id="_x0000_t202" coordsize="21600,21600" o:spt="202" path="m,l,21600r21600,l21600,xe">
              <v:stroke joinstyle="miter"/>
              <v:path gradientshapeok="t" o:connecttype="rect"/>
            </v:shapetype>
            <v:shape id="Shape 703" o:spid="_x0000_s1113" type="#_x0000_t202" style="position:absolute;margin-left:167.1pt;margin-top:22.95pt;width:214.8pt;height:7.45pt;z-index:-2513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" filled="f" stroked="f">
              <v:textbox style="mso-fit-shape-to-text:t" inset="0,0,0,0">
                <w:txbxContent>
                  <w:p w14:paraId="13848A40" w14:textId="77777777" w:rsidR="00093A32" w:rsidRDefault="00093A32">
                    <w:pPr>
                      <w:pStyle w:val="Headerorfooter0"/>
                      <w:tabs>
                        <w:tab w:val="right" w:pos="4296"/>
                      </w:tabs>
                      <w:rPr>
                        <w:sz w:val="16"/>
                        <w:szCs w:val="16"/>
                      </w:rPr>
                    </w:pPr>
                    <w:r>
                      <w:t>CLOSTRIDIOS, INFECCIÓN</w:t>
                    </w:r>
                    <w:r>
                      <w:tab/>
                    </w:r>
                    <w:r>
                      <w:rPr>
                        <w:sz w:val="16"/>
                        <w:szCs w:val="16"/>
                      </w:rPr>
                      <w:t>269</w:t>
                    </w:r>
                  </w:p>
                </w:txbxContent>
              </v:textbox>
              <w10:wrap anchorx="page" anchory="page"/>
            </v:shape>
          </w:pict>
        </mc:Fallback>
      </mc:AlternateContent>
    </w:r>
    <w:r>
      <w:rPr>
        <w:noProof/>
      </w:rPr>
      <mc:AlternateContent>
        <mc:Choice Requires="wps">
          <w:drawing>
            <wp:anchor distT="0" distB="0" distL="114300" distR="114300" simplePos="0" relativeHeight="251731968" behindDoc="1" locked="0" layoutInCell="1" allowOverlap="1" wp14:anchorId="3C47DCCE" wp14:editId="2BEE964A">
              <wp:simplePos x="0" y="0"/>
              <wp:positionH relativeFrom="page">
                <wp:posOffset>513080</wp:posOffset>
              </wp:positionH>
              <wp:positionV relativeFrom="page">
                <wp:posOffset>414655</wp:posOffset>
              </wp:positionV>
              <wp:extent cx="4358640" cy="0"/>
              <wp:effectExtent l="0" t="0" r="0" b="0"/>
              <wp:wrapNone/>
              <wp:docPr id="705" name="Shape 70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751339" id="_x0000_t32" coordsize="21600,21600" o:spt="32" o:oned="t" path="m,l21600,21600e" filled="f">
              <v:path arrowok="t" fillok="f" o:connecttype="none"/>
              <o:lock v:ext="edit" shapetype="t"/>
            </v:shapetype>
            <v:shape id="Shape 705" o:spid="_x0000_s1026" type="#_x0000_t32" style="position:absolute;margin-left:40.4pt;margin-top:32.65pt;width:343.2pt;height:0;z-index:-251584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C0B0" w14:textId="77777777" w:rsidR="00093A32" w:rsidRDefault="00093A32">
    <w:pPr>
      <w:spacing w:line="1" w:lineRule="exact"/>
    </w:pPr>
    <w:r>
      <w:rPr>
        <w:noProof/>
      </w:rPr>
      <mc:AlternateContent>
        <mc:Choice Requires="wps">
          <w:drawing>
            <wp:anchor distT="0" distB="0" distL="0" distR="0" simplePos="0" relativeHeight="251967488" behindDoc="1" locked="0" layoutInCell="1" allowOverlap="1" wp14:anchorId="7B086B59" wp14:editId="0D0B26B4">
              <wp:simplePos x="0" y="0"/>
              <wp:positionH relativeFrom="page">
                <wp:posOffset>2122170</wp:posOffset>
              </wp:positionH>
              <wp:positionV relativeFrom="page">
                <wp:posOffset>291465</wp:posOffset>
              </wp:positionV>
              <wp:extent cx="2727960" cy="94615"/>
              <wp:effectExtent l="0" t="0" r="0" b="0"/>
              <wp:wrapNone/>
              <wp:docPr id="700" name="Shape 700"/>
              <wp:cNvGraphicFramePr/>
              <a:graphic xmlns:a="http://schemas.openxmlformats.org/drawingml/2006/main">
                <a:graphicData uri="http://schemas.microsoft.com/office/word/2010/wordprocessingShape">
                  <wps:wsp>
                    <wps:cNvSpPr txBox="1"/>
                    <wps:spPr>
                      <a:xfrm>
                        <a:off x="0" y="0"/>
                        <a:ext cx="2727960" cy="94615"/>
                      </a:xfrm>
                      <a:prstGeom prst="rect">
                        <a:avLst/>
                      </a:prstGeom>
                      <a:noFill/>
                    </wps:spPr>
                    <wps:txbx>
                      <w:txbxContent>
                        <w:p w14:paraId="62EDFBBA" w14:textId="77777777" w:rsidR="00093A32" w:rsidRDefault="00093A32">
                          <w:pPr>
                            <w:pStyle w:val="Headerorfooter0"/>
                            <w:tabs>
                              <w:tab w:val="right" w:pos="4296"/>
                            </w:tabs>
                            <w:rPr>
                              <w:sz w:val="16"/>
                              <w:szCs w:val="16"/>
                            </w:rPr>
                          </w:pPr>
                          <w:r>
                            <w:t>CLOSTRIDIOS, INFECCIÓN</w:t>
                          </w:r>
                          <w:r>
                            <w:tab/>
                          </w:r>
                          <w:r>
                            <w:rPr>
                              <w:sz w:val="16"/>
                              <w:szCs w:val="16"/>
                            </w:rPr>
                            <w:t>269</w:t>
                          </w:r>
                        </w:p>
                      </w:txbxContent>
                    </wps:txbx>
                    <wps:bodyPr lIns="0" tIns="0" rIns="0" bIns="0">
                      <a:spAutoFit/>
                    </wps:bodyPr>
                  </wps:wsp>
                </a:graphicData>
              </a:graphic>
            </wp:anchor>
          </w:drawing>
        </mc:Choice>
        <mc:Fallback>
          <w:pict>
            <v:shapetype w14:anchorId="7B086B59" id="_x0000_t202" coordsize="21600,21600" o:spt="202" path="m,l,21600r21600,l21600,xe">
              <v:stroke joinstyle="miter"/>
              <v:path gradientshapeok="t" o:connecttype="rect"/>
            </v:shapetype>
            <v:shape id="Shape 700" o:spid="_x0000_s1114" type="#_x0000_t202" style="position:absolute;margin-left:167.1pt;margin-top:22.95pt;width:214.8pt;height:7.45pt;z-index:-2513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" filled="f" stroked="f">
              <v:textbox style="mso-fit-shape-to-text:t" inset="0,0,0,0">
                <w:txbxContent>
                  <w:p w14:paraId="62EDFBBA" w14:textId="77777777" w:rsidR="00093A32" w:rsidRDefault="00093A32">
                    <w:pPr>
                      <w:pStyle w:val="Headerorfooter0"/>
                      <w:tabs>
                        <w:tab w:val="right" w:pos="4296"/>
                      </w:tabs>
                      <w:rPr>
                        <w:sz w:val="16"/>
                        <w:szCs w:val="16"/>
                      </w:rPr>
                    </w:pPr>
                    <w:r>
                      <w:t>CLOSTRIDIOS, INFECCIÓN</w:t>
                    </w:r>
                    <w:r>
                      <w:tab/>
                    </w:r>
                    <w:r>
                      <w:rPr>
                        <w:sz w:val="16"/>
                        <w:szCs w:val="16"/>
                      </w:rPr>
                      <w:t>269</w:t>
                    </w:r>
                  </w:p>
                </w:txbxContent>
              </v:textbox>
              <w10:wrap anchorx="page" anchory="page"/>
            </v:shape>
          </w:pict>
        </mc:Fallback>
      </mc:AlternateContent>
    </w:r>
    <w:r>
      <w:rPr>
        <w:noProof/>
      </w:rPr>
      <mc:AlternateContent>
        <mc:Choice Requires="wps">
          <w:drawing>
            <wp:anchor distT="0" distB="0" distL="114300" distR="114300" simplePos="0" relativeHeight="251730944" behindDoc="1" locked="0" layoutInCell="1" allowOverlap="1" wp14:anchorId="7FD8741F" wp14:editId="2DEBB3F6">
              <wp:simplePos x="0" y="0"/>
              <wp:positionH relativeFrom="page">
                <wp:posOffset>513080</wp:posOffset>
              </wp:positionH>
              <wp:positionV relativeFrom="page">
                <wp:posOffset>414655</wp:posOffset>
              </wp:positionV>
              <wp:extent cx="4358640" cy="0"/>
              <wp:effectExtent l="0" t="0" r="0" b="0"/>
              <wp:wrapNone/>
              <wp:docPr id="702" name="Shape 70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CE5125" id="_x0000_t32" coordsize="21600,21600" o:spt="32" o:oned="t" path="m,l21600,21600e" filled="f">
              <v:path arrowok="t" fillok="f" o:connecttype="none"/>
              <o:lock v:ext="edit" shapetype="t"/>
            </v:shapetype>
            <v:shape id="Shape 702" o:spid="_x0000_s1026" type="#_x0000_t32" style="position:absolute;margin-left:40.4pt;margin-top:32.65pt;width:343.2pt;height:0;z-index:-251585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3C9B" w14:textId="77777777" w:rsidR="00093A32" w:rsidRDefault="00093A32">
    <w:pPr>
      <w:spacing w:line="1" w:lineRule="exact"/>
    </w:pPr>
    <w:r>
      <w:rPr>
        <w:noProof/>
      </w:rPr>
      <mc:AlternateContent>
        <mc:Choice Requires="wps">
          <w:drawing>
            <wp:anchor distT="0" distB="0" distL="0" distR="0" simplePos="0" relativeHeight="251969536" behindDoc="1" locked="0" layoutInCell="1" allowOverlap="1" wp14:anchorId="4663B105" wp14:editId="798ADFAF">
              <wp:simplePos x="0" y="0"/>
              <wp:positionH relativeFrom="page">
                <wp:posOffset>532765</wp:posOffset>
              </wp:positionH>
              <wp:positionV relativeFrom="page">
                <wp:posOffset>291465</wp:posOffset>
              </wp:positionV>
              <wp:extent cx="2727960" cy="94615"/>
              <wp:effectExtent l="0" t="0" r="0" b="0"/>
              <wp:wrapNone/>
              <wp:docPr id="706" name="Shape 706"/>
              <wp:cNvGraphicFramePr/>
              <a:graphic xmlns:a="http://schemas.openxmlformats.org/drawingml/2006/main">
                <a:graphicData uri="http://schemas.microsoft.com/office/word/2010/wordprocessingShape">
                  <wps:wsp>
                    <wps:cNvSpPr txBox="1"/>
                    <wps:spPr>
                      <a:xfrm>
                        <a:off x="0" y="0"/>
                        <a:ext cx="2727960" cy="94615"/>
                      </a:xfrm>
                      <a:prstGeom prst="rect">
                        <a:avLst/>
                      </a:prstGeom>
                      <a:noFill/>
                    </wps:spPr>
                    <wps:txbx>
                      <w:txbxContent>
                        <w:p w14:paraId="28A39486" w14:textId="77777777" w:rsidR="00093A32" w:rsidRDefault="00093A32">
                          <w:pPr>
                            <w:pStyle w:val="Headerorfooter0"/>
                            <w:tabs>
                              <w:tab w:val="right" w:pos="4296"/>
                            </w:tabs>
                          </w:pPr>
                          <w:r>
                            <w:rPr>
                              <w:sz w:val="16"/>
                              <w:szCs w:val="16"/>
                            </w:rPr>
                            <w:t>270</w:t>
                          </w:r>
                          <w:r>
                            <w:rPr>
                              <w:sz w:val="16"/>
                              <w:szCs w:val="16"/>
                            </w:rPr>
                            <w:tab/>
                          </w:r>
                          <w:r>
                            <w:t>CLOSTRIDIOS, INFECCIÓN</w:t>
                          </w:r>
                        </w:p>
                      </w:txbxContent>
                    </wps:txbx>
                    <wps:bodyPr lIns="0" tIns="0" rIns="0" bIns="0">
                      <a:spAutoFit/>
                    </wps:bodyPr>
                  </wps:wsp>
                </a:graphicData>
              </a:graphic>
            </wp:anchor>
          </w:drawing>
        </mc:Choice>
        <mc:Fallback>
          <w:pict>
            <v:shapetype w14:anchorId="4663B105" id="_x0000_t202" coordsize="21600,21600" o:spt="202" path="m,l,21600r21600,l21600,xe">
              <v:stroke joinstyle="miter"/>
              <v:path gradientshapeok="t" o:connecttype="rect"/>
            </v:shapetype>
            <v:shape id="Shape 706" o:spid="_x0000_s1115" type="#_x0000_t202" style="position:absolute;margin-left:41.95pt;margin-top:22.95pt;width:214.8pt;height:7.45pt;z-index:-2513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" filled="f" stroked="f">
              <v:textbox style="mso-fit-shape-to-text:t" inset="0,0,0,0">
                <w:txbxContent>
                  <w:p w14:paraId="28A39486" w14:textId="77777777" w:rsidR="00093A32" w:rsidRDefault="00093A32">
                    <w:pPr>
                      <w:pStyle w:val="Headerorfooter0"/>
                      <w:tabs>
                        <w:tab w:val="right" w:pos="4296"/>
                      </w:tabs>
                    </w:pPr>
                    <w:r>
                      <w:rPr>
                        <w:sz w:val="16"/>
                        <w:szCs w:val="16"/>
                      </w:rPr>
                      <w:t>270</w:t>
                    </w:r>
                    <w:r>
                      <w:rPr>
                        <w:sz w:val="16"/>
                        <w:szCs w:val="16"/>
                      </w:rPr>
                      <w:tab/>
                    </w:r>
                    <w:r>
                      <w:t>CLOSTRIDIOS, INFECCIÓN</w:t>
                    </w:r>
                  </w:p>
                </w:txbxContent>
              </v:textbox>
              <w10:wrap anchorx="page" anchory="page"/>
            </v:shape>
          </w:pict>
        </mc:Fallback>
      </mc:AlternateContent>
    </w:r>
    <w:r>
      <w:rPr>
        <w:noProof/>
      </w:rPr>
      <mc:AlternateContent>
        <mc:Choice Requires="wps">
          <w:drawing>
            <wp:anchor distT="0" distB="0" distL="114300" distR="114300" simplePos="0" relativeHeight="251732992" behindDoc="1" locked="0" layoutInCell="1" allowOverlap="1" wp14:anchorId="5FB438BB" wp14:editId="1FF13707">
              <wp:simplePos x="0" y="0"/>
              <wp:positionH relativeFrom="page">
                <wp:posOffset>517525</wp:posOffset>
              </wp:positionH>
              <wp:positionV relativeFrom="page">
                <wp:posOffset>414655</wp:posOffset>
              </wp:positionV>
              <wp:extent cx="4358640" cy="0"/>
              <wp:effectExtent l="0" t="0" r="0" b="0"/>
              <wp:wrapNone/>
              <wp:docPr id="708" name="Shape 70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F0BB31" id="_x0000_t32" coordsize="21600,21600" o:spt="32" o:oned="t" path="m,l21600,21600e" filled="f">
              <v:path arrowok="t" fillok="f" o:connecttype="none"/>
              <o:lock v:ext="edit" shapetype="t"/>
            </v:shapetype>
            <v:shape id="Shape 708" o:spid="_x0000_s1026" type="#_x0000_t32" style="position:absolute;margin-left:40.75pt;margin-top:32.65pt;width:343.2pt;height:0;z-index:-251583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6CB6" w14:textId="77777777" w:rsidR="00093A32" w:rsidRDefault="00093A32">
    <w:pPr>
      <w:spacing w:line="1" w:lineRule="exact"/>
    </w:pPr>
    <w:r>
      <w:rPr>
        <w:noProof/>
      </w:rPr>
      <mc:AlternateContent>
        <mc:Choice Requires="wps">
          <w:drawing>
            <wp:anchor distT="0" distB="0" distL="0" distR="0" simplePos="0" relativeHeight="251971584" behindDoc="1" locked="0" layoutInCell="1" allowOverlap="1" wp14:anchorId="03D8B9E6" wp14:editId="2C60626E">
              <wp:simplePos x="0" y="0"/>
              <wp:positionH relativeFrom="page">
                <wp:posOffset>529590</wp:posOffset>
              </wp:positionH>
              <wp:positionV relativeFrom="page">
                <wp:posOffset>315595</wp:posOffset>
              </wp:positionV>
              <wp:extent cx="2694305" cy="69850"/>
              <wp:effectExtent l="0" t="0" r="0" b="0"/>
              <wp:wrapNone/>
              <wp:docPr id="712" name="Shape 712"/>
              <wp:cNvGraphicFramePr/>
              <a:graphic xmlns:a="http://schemas.openxmlformats.org/drawingml/2006/main">
                <a:graphicData uri="http://schemas.microsoft.com/office/word/2010/wordprocessingShape">
                  <wps:wsp>
                    <wps:cNvSpPr txBox="1"/>
                    <wps:spPr>
                      <a:xfrm>
                        <a:off x="0" y="0"/>
                        <a:ext cx="2694305" cy="69850"/>
                      </a:xfrm>
                      <a:prstGeom prst="rect">
                        <a:avLst/>
                      </a:prstGeom>
                      <a:noFill/>
                    </wps:spPr>
                    <wps:txbx>
                      <w:txbxContent>
                        <w:p w14:paraId="719FEFAD" w14:textId="77777777" w:rsidR="00093A32" w:rsidRDefault="00093A32">
                          <w:pPr>
                            <w:pStyle w:val="Headerorfooter0"/>
                            <w:tabs>
                              <w:tab w:val="right" w:pos="4243"/>
                            </w:tabs>
                          </w:pPr>
                          <w:r>
                            <w:rPr>
                              <w:sz w:val="16"/>
                              <w:szCs w:val="16"/>
                            </w:rPr>
                            <w:t>272</w:t>
                          </w:r>
                          <w:r>
                            <w:rPr>
                              <w:sz w:val="16"/>
                              <w:szCs w:val="16"/>
                            </w:rPr>
                            <w:tab/>
                          </w:r>
                          <w:r>
                            <w:rPr>
                              <w:i/>
                              <w:iCs/>
                            </w:rPr>
                            <w:t>CLOSTRIDIUM DIFFICILE</w:t>
                          </w:r>
                        </w:p>
                      </w:txbxContent>
                    </wps:txbx>
                    <wps:bodyPr lIns="0" tIns="0" rIns="0" bIns="0">
                      <a:spAutoFit/>
                    </wps:bodyPr>
                  </wps:wsp>
                </a:graphicData>
              </a:graphic>
            </wp:anchor>
          </w:drawing>
        </mc:Choice>
        <mc:Fallback>
          <w:pict>
            <v:shapetype w14:anchorId="03D8B9E6" id="_x0000_t202" coordsize="21600,21600" o:spt="202" path="m,l,21600r21600,l21600,xe">
              <v:stroke joinstyle="miter"/>
              <v:path gradientshapeok="t" o:connecttype="rect"/>
            </v:shapetype>
            <v:shape id="Shape 712" o:spid="_x0000_s1116" type="#_x0000_t202" style="position:absolute;margin-left:41.7pt;margin-top:24.85pt;width:212.15pt;height:5.5pt;z-index:-2513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" filled="f" stroked="f">
              <v:textbox style="mso-fit-shape-to-text:t" inset="0,0,0,0">
                <w:txbxContent>
                  <w:p w14:paraId="719FEFAD" w14:textId="77777777" w:rsidR="00093A32" w:rsidRDefault="00093A32">
                    <w:pPr>
                      <w:pStyle w:val="Headerorfooter0"/>
                      <w:tabs>
                        <w:tab w:val="right" w:pos="4243"/>
                      </w:tabs>
                    </w:pPr>
                    <w:r>
                      <w:rPr>
                        <w:sz w:val="16"/>
                        <w:szCs w:val="16"/>
                      </w:rPr>
                      <w:t>272</w:t>
                    </w:r>
                    <w:r>
                      <w:rPr>
                        <w:sz w:val="16"/>
                        <w:szCs w:val="16"/>
                      </w:rPr>
                      <w:tab/>
                    </w:r>
                    <w:r>
                      <w:rPr>
                        <w:i/>
                        <w:iCs/>
                      </w:rPr>
                      <w:t>CLOSTRIDIUM DIFFICILE</w:t>
                    </w:r>
                  </w:p>
                </w:txbxContent>
              </v:textbox>
              <w10:wrap anchorx="page" anchory="page"/>
            </v:shape>
          </w:pict>
        </mc:Fallback>
      </mc:AlternateContent>
    </w:r>
    <w:r>
      <w:rPr>
        <w:noProof/>
      </w:rPr>
      <mc:AlternateContent>
        <mc:Choice Requires="wps">
          <w:drawing>
            <wp:anchor distT="0" distB="0" distL="114300" distR="114300" simplePos="0" relativeHeight="251735040" behindDoc="1" locked="0" layoutInCell="1" allowOverlap="1" wp14:anchorId="08ACE072" wp14:editId="6B2B17A7">
              <wp:simplePos x="0" y="0"/>
              <wp:positionH relativeFrom="page">
                <wp:posOffset>514350</wp:posOffset>
              </wp:positionH>
              <wp:positionV relativeFrom="page">
                <wp:posOffset>424180</wp:posOffset>
              </wp:positionV>
              <wp:extent cx="4358640" cy="0"/>
              <wp:effectExtent l="0" t="0" r="0" b="0"/>
              <wp:wrapNone/>
              <wp:docPr id="714" name="Shape 7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2697C4F" id="_x0000_t32" coordsize="21600,21600" o:spt="32" o:oned="t" path="m,l21600,21600e" filled="f">
              <v:path arrowok="t" fillok="f" o:connecttype="none"/>
              <o:lock v:ext="edit" shapetype="t"/>
            </v:shapetype>
            <v:shape id="Shape 714" o:spid="_x0000_s1026" type="#_x0000_t32" style="position:absolute;margin-left:40.5pt;margin-top:33.4pt;width:343.2pt;height:0;z-index:-251581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4E1C" w14:textId="77777777" w:rsidR="00093A32" w:rsidRDefault="00093A32">
    <w:pPr>
      <w:spacing w:line="1" w:lineRule="exact"/>
    </w:pPr>
    <w:r>
      <w:rPr>
        <w:noProof/>
      </w:rPr>
      <mc:AlternateContent>
        <mc:Choice Requires="wps">
          <w:drawing>
            <wp:anchor distT="0" distB="0" distL="0" distR="0" simplePos="0" relativeHeight="251970560" behindDoc="1" locked="0" layoutInCell="1" allowOverlap="1" wp14:anchorId="6F37623E" wp14:editId="3AC0D90A">
              <wp:simplePos x="0" y="0"/>
              <wp:positionH relativeFrom="page">
                <wp:posOffset>529590</wp:posOffset>
              </wp:positionH>
              <wp:positionV relativeFrom="page">
                <wp:posOffset>315595</wp:posOffset>
              </wp:positionV>
              <wp:extent cx="2694305" cy="69850"/>
              <wp:effectExtent l="0" t="0" r="0" b="0"/>
              <wp:wrapNone/>
              <wp:docPr id="709" name="Shape 709"/>
              <wp:cNvGraphicFramePr/>
              <a:graphic xmlns:a="http://schemas.openxmlformats.org/drawingml/2006/main">
                <a:graphicData uri="http://schemas.microsoft.com/office/word/2010/wordprocessingShape">
                  <wps:wsp>
                    <wps:cNvSpPr txBox="1"/>
                    <wps:spPr>
                      <a:xfrm>
                        <a:off x="0" y="0"/>
                        <a:ext cx="2694305" cy="69850"/>
                      </a:xfrm>
                      <a:prstGeom prst="rect">
                        <a:avLst/>
                      </a:prstGeom>
                      <a:noFill/>
                    </wps:spPr>
                    <wps:txbx>
                      <w:txbxContent>
                        <w:p w14:paraId="58C2D75A" w14:textId="77777777" w:rsidR="00093A32" w:rsidRDefault="00093A32">
                          <w:pPr>
                            <w:pStyle w:val="Headerorfooter0"/>
                            <w:tabs>
                              <w:tab w:val="right" w:pos="4243"/>
                            </w:tabs>
                          </w:pPr>
                          <w:r>
                            <w:rPr>
                              <w:sz w:val="16"/>
                              <w:szCs w:val="16"/>
                            </w:rPr>
                            <w:t>272</w:t>
                          </w:r>
                          <w:r>
                            <w:rPr>
                              <w:sz w:val="16"/>
                              <w:szCs w:val="16"/>
                            </w:rPr>
                            <w:tab/>
                          </w:r>
                          <w:r>
                            <w:rPr>
                              <w:i/>
                              <w:iCs/>
                            </w:rPr>
                            <w:t>CLOSTRIDIUM DIFFICILE</w:t>
                          </w:r>
                        </w:p>
                      </w:txbxContent>
                    </wps:txbx>
                    <wps:bodyPr lIns="0" tIns="0" rIns="0" bIns="0">
                      <a:spAutoFit/>
                    </wps:bodyPr>
                  </wps:wsp>
                </a:graphicData>
              </a:graphic>
            </wp:anchor>
          </w:drawing>
        </mc:Choice>
        <mc:Fallback>
          <w:pict>
            <v:shapetype w14:anchorId="6F37623E" id="_x0000_t202" coordsize="21600,21600" o:spt="202" path="m,l,21600r21600,l21600,xe">
              <v:stroke joinstyle="miter"/>
              <v:path gradientshapeok="t" o:connecttype="rect"/>
            </v:shapetype>
            <v:shape id="Shape 709" o:spid="_x0000_s1117" type="#_x0000_t202" style="position:absolute;margin-left:41.7pt;margin-top:24.85pt;width:212.15pt;height:5.5pt;z-index:-2513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" filled="f" stroked="f">
              <v:textbox style="mso-fit-shape-to-text:t" inset="0,0,0,0">
                <w:txbxContent>
                  <w:p w14:paraId="58C2D75A" w14:textId="77777777" w:rsidR="00093A32" w:rsidRDefault="00093A32">
                    <w:pPr>
                      <w:pStyle w:val="Headerorfooter0"/>
                      <w:tabs>
                        <w:tab w:val="right" w:pos="4243"/>
                      </w:tabs>
                    </w:pPr>
                    <w:r>
                      <w:rPr>
                        <w:sz w:val="16"/>
                        <w:szCs w:val="16"/>
                      </w:rPr>
                      <w:t>272</w:t>
                    </w:r>
                    <w:r>
                      <w:rPr>
                        <w:sz w:val="16"/>
                        <w:szCs w:val="16"/>
                      </w:rPr>
                      <w:tab/>
                    </w:r>
                    <w:r>
                      <w:rPr>
                        <w:i/>
                        <w:iCs/>
                      </w:rPr>
                      <w:t>CLOSTRIDIUM DIFFICILE</w:t>
                    </w:r>
                  </w:p>
                </w:txbxContent>
              </v:textbox>
              <w10:wrap anchorx="page" anchory="page"/>
            </v:shape>
          </w:pict>
        </mc:Fallback>
      </mc:AlternateContent>
    </w:r>
    <w:r>
      <w:rPr>
        <w:noProof/>
      </w:rPr>
      <mc:AlternateContent>
        <mc:Choice Requires="wps">
          <w:drawing>
            <wp:anchor distT="0" distB="0" distL="114300" distR="114300" simplePos="0" relativeHeight="251734016" behindDoc="1" locked="0" layoutInCell="1" allowOverlap="1" wp14:anchorId="1353197F" wp14:editId="7605CDD6">
              <wp:simplePos x="0" y="0"/>
              <wp:positionH relativeFrom="page">
                <wp:posOffset>514350</wp:posOffset>
              </wp:positionH>
              <wp:positionV relativeFrom="page">
                <wp:posOffset>424180</wp:posOffset>
              </wp:positionV>
              <wp:extent cx="4358640" cy="0"/>
              <wp:effectExtent l="0" t="0" r="0" b="0"/>
              <wp:wrapNone/>
              <wp:docPr id="711" name="Shape 71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80F0667" id="_x0000_t32" coordsize="21600,21600" o:spt="32" o:oned="t" path="m,l21600,21600e" filled="f">
              <v:path arrowok="t" fillok="f" o:connecttype="none"/>
              <o:lock v:ext="edit" shapetype="t"/>
            </v:shapetype>
            <v:shape id="Shape 711" o:spid="_x0000_s1026" type="#_x0000_t32" style="position:absolute;margin-left:40.5pt;margin-top:33.4pt;width:343.2pt;height:0;z-index:-251582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F037" w14:textId="77777777" w:rsidR="00093A32" w:rsidRDefault="00093A32">
    <w:pPr>
      <w:spacing w:line="1" w:lineRule="exact"/>
    </w:pPr>
    <w:r>
      <w:rPr>
        <w:noProof/>
      </w:rPr>
      <mc:AlternateContent>
        <mc:Choice Requires="wps">
          <w:drawing>
            <wp:anchor distT="0" distB="0" distL="0" distR="0" simplePos="0" relativeHeight="251973632" behindDoc="1" locked="0" layoutInCell="1" allowOverlap="1" wp14:anchorId="57B68D7E" wp14:editId="115EF344">
              <wp:simplePos x="0" y="0"/>
              <wp:positionH relativeFrom="page">
                <wp:posOffset>531495</wp:posOffset>
              </wp:positionH>
              <wp:positionV relativeFrom="page">
                <wp:posOffset>306705</wp:posOffset>
              </wp:positionV>
              <wp:extent cx="2800985" cy="79375"/>
              <wp:effectExtent l="0" t="0" r="0" b="0"/>
              <wp:wrapNone/>
              <wp:docPr id="718" name="Shape 718"/>
              <wp:cNvGraphicFramePr/>
              <a:graphic xmlns:a="http://schemas.openxmlformats.org/drawingml/2006/main">
                <a:graphicData uri="http://schemas.microsoft.com/office/word/2010/wordprocessingShape">
                  <wps:wsp>
                    <wps:cNvSpPr txBox="1"/>
                    <wps:spPr>
                      <a:xfrm>
                        <a:off x="0" y="0"/>
                        <a:ext cx="2800985" cy="79375"/>
                      </a:xfrm>
                      <a:prstGeom prst="rect">
                        <a:avLst/>
                      </a:prstGeom>
                      <a:noFill/>
                    </wps:spPr>
                    <wps:txbx>
                      <w:txbxContent>
                        <w:p w14:paraId="4E54D024" w14:textId="77777777" w:rsidR="00093A32" w:rsidRDefault="00093A32">
                          <w:pPr>
                            <w:pStyle w:val="Headerorfooter0"/>
                            <w:tabs>
                              <w:tab w:val="right" w:pos="4411"/>
                            </w:tabs>
                          </w:pPr>
                          <w:r>
                            <w:rPr>
                              <w:sz w:val="16"/>
                              <w:szCs w:val="16"/>
                            </w:rPr>
                            <w:t>274</w:t>
                          </w:r>
                          <w:r>
                            <w:rPr>
                              <w:sz w:val="16"/>
                              <w:szCs w:val="16"/>
                            </w:rPr>
                            <w:tab/>
                          </w:r>
                          <w:r>
                            <w:t>CLOSTRIDIOS, MIONECROSIS</w:t>
                          </w:r>
                        </w:p>
                      </w:txbxContent>
                    </wps:txbx>
                    <wps:bodyPr lIns="0" tIns="0" rIns="0" bIns="0">
                      <a:spAutoFit/>
                    </wps:bodyPr>
                  </wps:wsp>
                </a:graphicData>
              </a:graphic>
            </wp:anchor>
          </w:drawing>
        </mc:Choice>
        <mc:Fallback>
          <w:pict>
            <v:shapetype w14:anchorId="57B68D7E" id="_x0000_t202" coordsize="21600,21600" o:spt="202" path="m,l,21600r21600,l21600,xe">
              <v:stroke joinstyle="miter"/>
              <v:path gradientshapeok="t" o:connecttype="rect"/>
            </v:shapetype>
            <v:shape id="Shape 718" o:spid="_x0000_s1118" type="#_x0000_t202" style="position:absolute;margin-left:41.85pt;margin-top:24.15pt;width:220.55pt;height:6.25pt;z-index:-2513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" filled="f" stroked="f">
              <v:textbox style="mso-fit-shape-to-text:t" inset="0,0,0,0">
                <w:txbxContent>
                  <w:p w14:paraId="4E54D024" w14:textId="77777777" w:rsidR="00093A32" w:rsidRDefault="00093A32">
                    <w:pPr>
                      <w:pStyle w:val="Headerorfooter0"/>
                      <w:tabs>
                        <w:tab w:val="right" w:pos="4411"/>
                      </w:tabs>
                    </w:pPr>
                    <w:r>
                      <w:rPr>
                        <w:sz w:val="16"/>
                        <w:szCs w:val="16"/>
                      </w:rPr>
                      <w:t>274</w:t>
                    </w:r>
                    <w:r>
                      <w:rPr>
                        <w:sz w:val="16"/>
                        <w:szCs w:val="16"/>
                      </w:rPr>
                      <w:tab/>
                    </w:r>
                    <w:r>
                      <w:t>CLOSTRIDIOS, MIONECROSIS</w:t>
                    </w:r>
                  </w:p>
                </w:txbxContent>
              </v:textbox>
              <w10:wrap anchorx="page" anchory="page"/>
            </v:shape>
          </w:pict>
        </mc:Fallback>
      </mc:AlternateContent>
    </w:r>
    <w:r>
      <w:rPr>
        <w:noProof/>
      </w:rPr>
      <mc:AlternateContent>
        <mc:Choice Requires="wps">
          <w:drawing>
            <wp:anchor distT="0" distB="0" distL="114300" distR="114300" simplePos="0" relativeHeight="251737088" behindDoc="1" locked="0" layoutInCell="1" allowOverlap="1" wp14:anchorId="02A73F0A" wp14:editId="652A131C">
              <wp:simplePos x="0" y="0"/>
              <wp:positionH relativeFrom="page">
                <wp:posOffset>516255</wp:posOffset>
              </wp:positionH>
              <wp:positionV relativeFrom="page">
                <wp:posOffset>414655</wp:posOffset>
              </wp:positionV>
              <wp:extent cx="4358640" cy="0"/>
              <wp:effectExtent l="0" t="0" r="0" b="0"/>
              <wp:wrapNone/>
              <wp:docPr id="720" name="Shape 7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92449E" id="_x0000_t32" coordsize="21600,21600" o:spt="32" o:oned="t" path="m,l21600,21600e" filled="f">
              <v:path arrowok="t" fillok="f" o:connecttype="none"/>
              <o:lock v:ext="edit" shapetype="t"/>
            </v:shapetype>
            <v:shape id="Shape 720" o:spid="_x0000_s1026" type="#_x0000_t32" style="position:absolute;margin-left:40.65pt;margin-top:32.65pt;width:343.2pt;height:0;z-index:-251579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545F" w14:textId="77777777" w:rsidR="00093A32" w:rsidRDefault="00093A32">
    <w:pPr>
      <w:spacing w:line="1" w:lineRule="exact"/>
    </w:pPr>
    <w:r>
      <w:rPr>
        <w:noProof/>
      </w:rPr>
      <mc:AlternateContent>
        <mc:Choice Requires="wps">
          <w:drawing>
            <wp:anchor distT="0" distB="0" distL="0" distR="0" simplePos="0" relativeHeight="251972608" behindDoc="1" locked="0" layoutInCell="1" allowOverlap="1" wp14:anchorId="1A2C0706" wp14:editId="2616203D">
              <wp:simplePos x="0" y="0"/>
              <wp:positionH relativeFrom="page">
                <wp:posOffset>531495</wp:posOffset>
              </wp:positionH>
              <wp:positionV relativeFrom="page">
                <wp:posOffset>306705</wp:posOffset>
              </wp:positionV>
              <wp:extent cx="2800985" cy="79375"/>
              <wp:effectExtent l="0" t="0" r="0" b="0"/>
              <wp:wrapNone/>
              <wp:docPr id="715" name="Shape 715"/>
              <wp:cNvGraphicFramePr/>
              <a:graphic xmlns:a="http://schemas.openxmlformats.org/drawingml/2006/main">
                <a:graphicData uri="http://schemas.microsoft.com/office/word/2010/wordprocessingShape">
                  <wps:wsp>
                    <wps:cNvSpPr txBox="1"/>
                    <wps:spPr>
                      <a:xfrm>
                        <a:off x="0" y="0"/>
                        <a:ext cx="2800985" cy="79375"/>
                      </a:xfrm>
                      <a:prstGeom prst="rect">
                        <a:avLst/>
                      </a:prstGeom>
                      <a:noFill/>
                    </wps:spPr>
                    <wps:txbx>
                      <w:txbxContent>
                        <w:p w14:paraId="746DFC11" w14:textId="77777777" w:rsidR="00093A32" w:rsidRDefault="00093A32">
                          <w:pPr>
                            <w:pStyle w:val="Headerorfooter0"/>
                            <w:tabs>
                              <w:tab w:val="right" w:pos="4411"/>
                            </w:tabs>
                          </w:pPr>
                          <w:r>
                            <w:rPr>
                              <w:sz w:val="16"/>
                              <w:szCs w:val="16"/>
                            </w:rPr>
                            <w:t>274</w:t>
                          </w:r>
                          <w:r>
                            <w:rPr>
                              <w:sz w:val="16"/>
                              <w:szCs w:val="16"/>
                            </w:rPr>
                            <w:tab/>
                          </w:r>
                          <w:r>
                            <w:t>CLOSTRIDIOS, MIONECROSIS</w:t>
                          </w:r>
                        </w:p>
                      </w:txbxContent>
                    </wps:txbx>
                    <wps:bodyPr lIns="0" tIns="0" rIns="0" bIns="0">
                      <a:spAutoFit/>
                    </wps:bodyPr>
                  </wps:wsp>
                </a:graphicData>
              </a:graphic>
            </wp:anchor>
          </w:drawing>
        </mc:Choice>
        <mc:Fallback>
          <w:pict>
            <v:shapetype w14:anchorId="1A2C0706" id="_x0000_t202" coordsize="21600,21600" o:spt="202" path="m,l,21600r21600,l21600,xe">
              <v:stroke joinstyle="miter"/>
              <v:path gradientshapeok="t" o:connecttype="rect"/>
            </v:shapetype>
            <v:shape id="Shape 715" o:spid="_x0000_s1119" type="#_x0000_t202" style="position:absolute;margin-left:41.85pt;margin-top:24.15pt;width:220.55pt;height:6.25pt;z-index:-2513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" filled="f" stroked="f">
              <v:textbox style="mso-fit-shape-to-text:t" inset="0,0,0,0">
                <w:txbxContent>
                  <w:p w14:paraId="746DFC11" w14:textId="77777777" w:rsidR="00093A32" w:rsidRDefault="00093A32">
                    <w:pPr>
                      <w:pStyle w:val="Headerorfooter0"/>
                      <w:tabs>
                        <w:tab w:val="right" w:pos="4411"/>
                      </w:tabs>
                    </w:pPr>
                    <w:r>
                      <w:rPr>
                        <w:sz w:val="16"/>
                        <w:szCs w:val="16"/>
                      </w:rPr>
                      <w:t>274</w:t>
                    </w:r>
                    <w:r>
                      <w:rPr>
                        <w:sz w:val="16"/>
                        <w:szCs w:val="16"/>
                      </w:rPr>
                      <w:tab/>
                    </w:r>
                    <w:r>
                      <w:t>CLOSTRIDIOS, MIONECROSIS</w:t>
                    </w:r>
                  </w:p>
                </w:txbxContent>
              </v:textbox>
              <w10:wrap anchorx="page" anchory="page"/>
            </v:shape>
          </w:pict>
        </mc:Fallback>
      </mc:AlternateContent>
    </w:r>
    <w:r>
      <w:rPr>
        <w:noProof/>
      </w:rPr>
      <mc:AlternateContent>
        <mc:Choice Requires="wps">
          <w:drawing>
            <wp:anchor distT="0" distB="0" distL="114300" distR="114300" simplePos="0" relativeHeight="251736064" behindDoc="1" locked="0" layoutInCell="1" allowOverlap="1" wp14:anchorId="39DF7A56" wp14:editId="4D64F53B">
              <wp:simplePos x="0" y="0"/>
              <wp:positionH relativeFrom="page">
                <wp:posOffset>516255</wp:posOffset>
              </wp:positionH>
              <wp:positionV relativeFrom="page">
                <wp:posOffset>414655</wp:posOffset>
              </wp:positionV>
              <wp:extent cx="4358640" cy="0"/>
              <wp:effectExtent l="0" t="0" r="0" b="0"/>
              <wp:wrapNone/>
              <wp:docPr id="717" name="Shape 7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E24F561" id="_x0000_t32" coordsize="21600,21600" o:spt="32" o:oned="t" path="m,l21600,21600e" filled="f">
              <v:path arrowok="t" fillok="f" o:connecttype="none"/>
              <o:lock v:ext="edit" shapetype="t"/>
            </v:shapetype>
            <v:shape id="Shape 717" o:spid="_x0000_s1026" type="#_x0000_t32" style="position:absolute;margin-left:40.65pt;margin-top:32.65pt;width:343.2pt;height:0;z-index:-251580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5D58" w14:textId="77777777" w:rsidR="00093A32" w:rsidRDefault="00093A32">
    <w:pPr>
      <w:spacing w:line="1" w:lineRule="exact"/>
    </w:pPr>
    <w:r>
      <w:rPr>
        <w:noProof/>
      </w:rPr>
      <mc:AlternateContent>
        <mc:Choice Requires="wps">
          <w:drawing>
            <wp:anchor distT="0" distB="0" distL="0" distR="0" simplePos="0" relativeHeight="251974656" behindDoc="1" locked="0" layoutInCell="1" allowOverlap="1" wp14:anchorId="3520B6EB" wp14:editId="43163115">
              <wp:simplePos x="0" y="0"/>
              <wp:positionH relativeFrom="page">
                <wp:posOffset>2165350</wp:posOffset>
              </wp:positionH>
              <wp:positionV relativeFrom="page">
                <wp:posOffset>358140</wp:posOffset>
              </wp:positionV>
              <wp:extent cx="2685415" cy="69850"/>
              <wp:effectExtent l="0" t="0" r="0" b="0"/>
              <wp:wrapNone/>
              <wp:docPr id="721" name="Shape 721"/>
              <wp:cNvGraphicFramePr/>
              <a:graphic xmlns:a="http://schemas.openxmlformats.org/drawingml/2006/main">
                <a:graphicData uri="http://schemas.microsoft.com/office/word/2010/wordprocessingShape">
                  <wps:wsp>
                    <wps:cNvSpPr txBox="1"/>
                    <wps:spPr>
                      <a:xfrm>
                        <a:off x="0" y="0"/>
                        <a:ext cx="2685415" cy="69850"/>
                      </a:xfrm>
                      <a:prstGeom prst="rect">
                        <a:avLst/>
                      </a:prstGeom>
                      <a:noFill/>
                    </wps:spPr>
                    <wps:txbx>
                      <w:txbxContent>
                        <w:p w14:paraId="5D2A12DA" w14:textId="77777777" w:rsidR="00093A32" w:rsidRDefault="00093A32">
                          <w:pPr>
                            <w:pStyle w:val="Headerorfooter0"/>
                            <w:tabs>
                              <w:tab w:val="right" w:pos="4229"/>
                            </w:tabs>
                            <w:rPr>
                              <w:sz w:val="16"/>
                              <w:szCs w:val="16"/>
                            </w:rPr>
                          </w:pPr>
                          <w:r>
                            <w:rPr>
                              <w:i/>
                              <w:iCs/>
                            </w:rPr>
                            <w:t>CLOSTRIDIUM DIFFICILE</w:t>
                          </w:r>
                          <w:r>
                            <w:rPr>
                              <w:i/>
                              <w:iCs/>
                            </w:rPr>
                            <w:tab/>
                          </w:r>
                          <w:r>
                            <w:rPr>
                              <w:sz w:val="16"/>
                              <w:szCs w:val="16"/>
                            </w:rPr>
                            <w:t>273</w:t>
                          </w:r>
                        </w:p>
                      </w:txbxContent>
                    </wps:txbx>
                    <wps:bodyPr lIns="0" tIns="0" rIns="0" bIns="0">
                      <a:spAutoFit/>
                    </wps:bodyPr>
                  </wps:wsp>
                </a:graphicData>
              </a:graphic>
            </wp:anchor>
          </w:drawing>
        </mc:Choice>
        <mc:Fallback>
          <w:pict>
            <v:shapetype w14:anchorId="3520B6EB" id="_x0000_t202" coordsize="21600,21600" o:spt="202" path="m,l,21600r21600,l21600,xe">
              <v:stroke joinstyle="miter"/>
              <v:path gradientshapeok="t" o:connecttype="rect"/>
            </v:shapetype>
            <v:shape id="Shape 721" o:spid="_x0000_s1120" type="#_x0000_t202" style="position:absolute;margin-left:170.5pt;margin-top:28.2pt;width:211.45pt;height:5.5pt;z-index:-2513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" filled="f" stroked="f">
              <v:textbox style="mso-fit-shape-to-text:t" inset="0,0,0,0">
                <w:txbxContent>
                  <w:p w14:paraId="5D2A12DA" w14:textId="77777777" w:rsidR="00093A32" w:rsidRDefault="00093A32">
                    <w:pPr>
                      <w:pStyle w:val="Headerorfooter0"/>
                      <w:tabs>
                        <w:tab w:val="right" w:pos="4229"/>
                      </w:tabs>
                      <w:rPr>
                        <w:sz w:val="16"/>
                        <w:szCs w:val="16"/>
                      </w:rPr>
                    </w:pPr>
                    <w:r>
                      <w:rPr>
                        <w:i/>
                        <w:iCs/>
                      </w:rPr>
                      <w:t>CLOSTRIDIUM DIFFICILE</w:t>
                    </w:r>
                    <w:r>
                      <w:rPr>
                        <w:i/>
                        <w:iCs/>
                      </w:rPr>
                      <w:tab/>
                    </w:r>
                    <w:r>
                      <w:rPr>
                        <w:sz w:val="16"/>
                        <w:szCs w:val="16"/>
                      </w:rPr>
                      <w:t>273</w:t>
                    </w:r>
                  </w:p>
                </w:txbxContent>
              </v:textbox>
              <w10:wrap anchorx="page" anchory="page"/>
            </v:shape>
          </w:pict>
        </mc:Fallback>
      </mc:AlternateContent>
    </w:r>
    <w:r>
      <w:rPr>
        <w:noProof/>
      </w:rPr>
      <mc:AlternateContent>
        <mc:Choice Requires="wps">
          <w:drawing>
            <wp:anchor distT="0" distB="0" distL="114300" distR="114300" simplePos="0" relativeHeight="251738112" behindDoc="1" locked="0" layoutInCell="1" allowOverlap="1" wp14:anchorId="4565D90E" wp14:editId="6F44D389">
              <wp:simplePos x="0" y="0"/>
              <wp:positionH relativeFrom="page">
                <wp:posOffset>513080</wp:posOffset>
              </wp:positionH>
              <wp:positionV relativeFrom="page">
                <wp:posOffset>466090</wp:posOffset>
              </wp:positionV>
              <wp:extent cx="4358640" cy="0"/>
              <wp:effectExtent l="0" t="0" r="0" b="0"/>
              <wp:wrapNone/>
              <wp:docPr id="723" name="Shape 7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63EFDF4" id="_x0000_t32" coordsize="21600,21600" o:spt="32" o:oned="t" path="m,l21600,21600e" filled="f">
              <v:path arrowok="t" fillok="f" o:connecttype="none"/>
              <o:lock v:ext="edit" shapetype="t"/>
            </v:shapetype>
            <v:shape id="Shape 723" o:spid="_x0000_s1026" type="#_x0000_t32" style="position:absolute;margin-left:40.4pt;margin-top:36.7pt;width:343.2pt;height:0;z-index:-251578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Itv&#10;wqPaAAAACAEAAA8AAAAAAAAAAAAAAAAAwgMAAGRycy9kb3ducmV2LnhtbFBLBQYAAAAABAAEAPMA&#10;AADJBAAAAAA=&#10;" strokeweight="1pt">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BD84" w14:textId="77777777" w:rsidR="00093A32" w:rsidRDefault="00093A32">
    <w:pPr>
      <w:spacing w:line="1" w:lineRule="exact"/>
    </w:pPr>
    <w:r>
      <w:rPr>
        <w:noProof/>
      </w:rPr>
      <mc:AlternateContent>
        <mc:Choice Requires="wps">
          <w:drawing>
            <wp:anchor distT="0" distB="0" distL="0" distR="0" simplePos="0" relativeHeight="251976704" behindDoc="1" locked="0" layoutInCell="1" allowOverlap="1" wp14:anchorId="3E742CB9" wp14:editId="09E49C16">
              <wp:simplePos x="0" y="0"/>
              <wp:positionH relativeFrom="page">
                <wp:posOffset>1415415</wp:posOffset>
              </wp:positionH>
              <wp:positionV relativeFrom="page">
                <wp:posOffset>291465</wp:posOffset>
              </wp:positionV>
              <wp:extent cx="3435350" cy="94615"/>
              <wp:effectExtent l="0" t="0" r="0" b="0"/>
              <wp:wrapNone/>
              <wp:docPr id="727" name="Shape 727"/>
              <wp:cNvGraphicFramePr/>
              <a:graphic xmlns:a="http://schemas.openxmlformats.org/drawingml/2006/main">
                <a:graphicData uri="http://schemas.microsoft.com/office/word/2010/wordprocessingShape">
                  <wps:wsp>
                    <wps:cNvSpPr txBox="1"/>
                    <wps:spPr>
                      <a:xfrm>
                        <a:off x="0" y="0"/>
                        <a:ext cx="3435350" cy="94615"/>
                      </a:xfrm>
                      <a:prstGeom prst="rect">
                        <a:avLst/>
                      </a:prstGeom>
                      <a:noFill/>
                    </wps:spPr>
                    <wps:txbx>
                      <w:txbxContent>
                        <w:p w14:paraId="62A71B69" w14:textId="77777777" w:rsidR="00093A32" w:rsidRDefault="00093A32">
                          <w:pPr>
                            <w:pStyle w:val="Headerorfooter0"/>
                            <w:tabs>
                              <w:tab w:val="right" w:pos="5410"/>
                            </w:tabs>
                            <w:rPr>
                              <w:sz w:val="16"/>
                              <w:szCs w:val="16"/>
                            </w:rPr>
                          </w:pPr>
                          <w:r>
                            <w:rPr>
                              <w:i/>
                              <w:iCs/>
                            </w:rPr>
                            <w:t>CLOSTRIDIUM PERFRINGENS,</w:t>
                          </w:r>
                          <w:r>
                            <w:t xml:space="preserve"> INTOXICACIÓN ALIMENTARIA</w:t>
                          </w:r>
                          <w:r>
                            <w:tab/>
                          </w:r>
                          <w:r>
                            <w:rPr>
                              <w:sz w:val="16"/>
                              <w:szCs w:val="16"/>
                            </w:rPr>
                            <w:t>275</w:t>
                          </w:r>
                        </w:p>
                      </w:txbxContent>
                    </wps:txbx>
                    <wps:bodyPr lIns="0" tIns="0" rIns="0" bIns="0">
                      <a:spAutoFit/>
                    </wps:bodyPr>
                  </wps:wsp>
                </a:graphicData>
              </a:graphic>
            </wp:anchor>
          </w:drawing>
        </mc:Choice>
        <mc:Fallback>
          <w:pict>
            <v:shapetype w14:anchorId="3E742CB9" id="_x0000_t202" coordsize="21600,21600" o:spt="202" path="m,l,21600r21600,l21600,xe">
              <v:stroke joinstyle="miter"/>
              <v:path gradientshapeok="t" o:connecttype="rect"/>
            </v:shapetype>
            <v:shape id="Shape 727" o:spid="_x0000_s1121" type="#_x0000_t202" style="position:absolute;margin-left:111.45pt;margin-top:22.95pt;width:270.5pt;height:7.45pt;z-index:-2513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" filled="f" stroked="f">
              <v:textbox style="mso-fit-shape-to-text:t" inset="0,0,0,0">
                <w:txbxContent>
                  <w:p w14:paraId="62A71B69" w14:textId="77777777" w:rsidR="00093A32" w:rsidRDefault="00093A32">
                    <w:pPr>
                      <w:pStyle w:val="Headerorfooter0"/>
                      <w:tabs>
                        <w:tab w:val="right" w:pos="5410"/>
                      </w:tabs>
                      <w:rPr>
                        <w:sz w:val="16"/>
                        <w:szCs w:val="16"/>
                      </w:rPr>
                    </w:pPr>
                    <w:r>
                      <w:rPr>
                        <w:i/>
                        <w:iCs/>
                      </w:rPr>
                      <w:t>CLOSTRIDIUM PERFRINGENS,</w:t>
                    </w:r>
                    <w:r>
                      <w:t xml:space="preserve"> INTOXICACIÓN ALIMENTARIA</w:t>
                    </w:r>
                    <w:r>
                      <w:tab/>
                    </w:r>
                    <w:r>
                      <w:rPr>
                        <w:sz w:val="16"/>
                        <w:szCs w:val="16"/>
                      </w:rPr>
                      <w:t>275</w:t>
                    </w:r>
                  </w:p>
                </w:txbxContent>
              </v:textbox>
              <w10:wrap anchorx="page" anchory="page"/>
            </v:shape>
          </w:pict>
        </mc:Fallback>
      </mc:AlternateContent>
    </w:r>
    <w:r>
      <w:rPr>
        <w:noProof/>
      </w:rPr>
      <mc:AlternateContent>
        <mc:Choice Requires="wps">
          <w:drawing>
            <wp:anchor distT="0" distB="0" distL="114300" distR="114300" simplePos="0" relativeHeight="251740160" behindDoc="1" locked="0" layoutInCell="1" allowOverlap="1" wp14:anchorId="2244BA88" wp14:editId="41B4B245">
              <wp:simplePos x="0" y="0"/>
              <wp:positionH relativeFrom="page">
                <wp:posOffset>513080</wp:posOffset>
              </wp:positionH>
              <wp:positionV relativeFrom="page">
                <wp:posOffset>414655</wp:posOffset>
              </wp:positionV>
              <wp:extent cx="4358640" cy="0"/>
              <wp:effectExtent l="0" t="0" r="0" b="0"/>
              <wp:wrapNone/>
              <wp:docPr id="729" name="Shape 7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B694B9" id="_x0000_t32" coordsize="21600,21600" o:spt="32" o:oned="t" path="m,l21600,21600e" filled="f">
              <v:path arrowok="t" fillok="f" o:connecttype="none"/>
              <o:lock v:ext="edit" shapetype="t"/>
            </v:shapetype>
            <v:shape id="Shape 729" o:spid="_x0000_s1026" type="#_x0000_t32" style="position:absolute;margin-left:40.4pt;margin-top:32.65pt;width:343.2pt;height:0;z-index:-2515763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BCD8" w14:textId="77777777" w:rsidR="00093A32" w:rsidRDefault="00093A32">
    <w:pPr>
      <w:spacing w:line="1" w:lineRule="exact"/>
    </w:pPr>
    <w:r>
      <w:rPr>
        <w:noProof/>
      </w:rPr>
      <mc:AlternateContent>
        <mc:Choice Requires="wps">
          <w:drawing>
            <wp:anchor distT="0" distB="0" distL="0" distR="0" simplePos="0" relativeHeight="251975680" behindDoc="1" locked="0" layoutInCell="1" allowOverlap="1" wp14:anchorId="4C27EA1E" wp14:editId="324D4DB3">
              <wp:simplePos x="0" y="0"/>
              <wp:positionH relativeFrom="page">
                <wp:posOffset>1415415</wp:posOffset>
              </wp:positionH>
              <wp:positionV relativeFrom="page">
                <wp:posOffset>291465</wp:posOffset>
              </wp:positionV>
              <wp:extent cx="3435350" cy="94615"/>
              <wp:effectExtent l="0" t="0" r="0" b="0"/>
              <wp:wrapNone/>
              <wp:docPr id="724" name="Shape 724"/>
              <wp:cNvGraphicFramePr/>
              <a:graphic xmlns:a="http://schemas.openxmlformats.org/drawingml/2006/main">
                <a:graphicData uri="http://schemas.microsoft.com/office/word/2010/wordprocessingShape">
                  <wps:wsp>
                    <wps:cNvSpPr txBox="1"/>
                    <wps:spPr>
                      <a:xfrm>
                        <a:off x="0" y="0"/>
                        <a:ext cx="3435350" cy="94615"/>
                      </a:xfrm>
                      <a:prstGeom prst="rect">
                        <a:avLst/>
                      </a:prstGeom>
                      <a:noFill/>
                    </wps:spPr>
                    <wps:txbx>
                      <w:txbxContent>
                        <w:p w14:paraId="2D9934EA" w14:textId="77777777" w:rsidR="00093A32" w:rsidRDefault="00093A32">
                          <w:pPr>
                            <w:pStyle w:val="Headerorfooter0"/>
                            <w:tabs>
                              <w:tab w:val="right" w:pos="5410"/>
                            </w:tabs>
                            <w:rPr>
                              <w:sz w:val="16"/>
                              <w:szCs w:val="16"/>
                            </w:rPr>
                          </w:pPr>
                          <w:r>
                            <w:rPr>
                              <w:i/>
                              <w:iCs/>
                            </w:rPr>
                            <w:t>CLOSTRIDIUM PERFRINGENS,</w:t>
                          </w:r>
                          <w:r>
                            <w:t xml:space="preserve"> INTOXICACIÓN ALIMENTARIA</w:t>
                          </w:r>
                          <w:r>
                            <w:tab/>
                          </w:r>
                          <w:r>
                            <w:rPr>
                              <w:sz w:val="16"/>
                              <w:szCs w:val="16"/>
                            </w:rPr>
                            <w:t>275</w:t>
                          </w:r>
                        </w:p>
                      </w:txbxContent>
                    </wps:txbx>
                    <wps:bodyPr lIns="0" tIns="0" rIns="0" bIns="0">
                      <a:spAutoFit/>
                    </wps:bodyPr>
                  </wps:wsp>
                </a:graphicData>
              </a:graphic>
            </wp:anchor>
          </w:drawing>
        </mc:Choice>
        <mc:Fallback>
          <w:pict>
            <v:shapetype w14:anchorId="4C27EA1E" id="_x0000_t202" coordsize="21600,21600" o:spt="202" path="m,l,21600r21600,l21600,xe">
              <v:stroke joinstyle="miter"/>
              <v:path gradientshapeok="t" o:connecttype="rect"/>
            </v:shapetype>
            <v:shape id="Shape 724" o:spid="_x0000_s1122" type="#_x0000_t202" style="position:absolute;margin-left:111.45pt;margin-top:22.95pt;width:270.5pt;height:7.45pt;z-index:-2513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" filled="f" stroked="f">
              <v:textbox style="mso-fit-shape-to-text:t" inset="0,0,0,0">
                <w:txbxContent>
                  <w:p w14:paraId="2D9934EA" w14:textId="77777777" w:rsidR="00093A32" w:rsidRDefault="00093A32">
                    <w:pPr>
                      <w:pStyle w:val="Headerorfooter0"/>
                      <w:tabs>
                        <w:tab w:val="right" w:pos="5410"/>
                      </w:tabs>
                      <w:rPr>
                        <w:sz w:val="16"/>
                        <w:szCs w:val="16"/>
                      </w:rPr>
                    </w:pPr>
                    <w:r>
                      <w:rPr>
                        <w:i/>
                        <w:iCs/>
                      </w:rPr>
                      <w:t>CLOSTRIDIUM PERFRINGENS,</w:t>
                    </w:r>
                    <w:r>
                      <w:t xml:space="preserve"> INTOXICACIÓN ALIMENTARIA</w:t>
                    </w:r>
                    <w:r>
                      <w:tab/>
                    </w:r>
                    <w:r>
                      <w:rPr>
                        <w:sz w:val="16"/>
                        <w:szCs w:val="16"/>
                      </w:rPr>
                      <w:t>275</w:t>
                    </w:r>
                  </w:p>
                </w:txbxContent>
              </v:textbox>
              <w10:wrap anchorx="page" anchory="page"/>
            </v:shape>
          </w:pict>
        </mc:Fallback>
      </mc:AlternateContent>
    </w:r>
    <w:r>
      <w:rPr>
        <w:noProof/>
      </w:rPr>
      <mc:AlternateContent>
        <mc:Choice Requires="wps">
          <w:drawing>
            <wp:anchor distT="0" distB="0" distL="114300" distR="114300" simplePos="0" relativeHeight="251739136" behindDoc="1" locked="0" layoutInCell="1" allowOverlap="1" wp14:anchorId="5AAAACD5" wp14:editId="60B55B4B">
              <wp:simplePos x="0" y="0"/>
              <wp:positionH relativeFrom="page">
                <wp:posOffset>513080</wp:posOffset>
              </wp:positionH>
              <wp:positionV relativeFrom="page">
                <wp:posOffset>414655</wp:posOffset>
              </wp:positionV>
              <wp:extent cx="4358640" cy="0"/>
              <wp:effectExtent l="0" t="0" r="0" b="0"/>
              <wp:wrapNone/>
              <wp:docPr id="726" name="Shape 7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CF7929" id="_x0000_t32" coordsize="21600,21600" o:spt="32" o:oned="t" path="m,l21600,21600e" filled="f">
              <v:path arrowok="t" fillok="f" o:connecttype="none"/>
              <o:lock v:ext="edit" shapetype="t"/>
            </v:shapetype>
            <v:shape id="Shape 726" o:spid="_x0000_s1026" type="#_x0000_t32" style="position:absolute;margin-left:40.4pt;margin-top:32.65pt;width:343.2pt;height:0;z-index:-251577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C952" w14:textId="77777777" w:rsidR="00093A32" w:rsidRDefault="00093A32">
    <w:pPr>
      <w:spacing w:line="1" w:lineRule="exact"/>
    </w:pPr>
    <w:r>
      <w:rPr>
        <w:noProof/>
      </w:rPr>
      <mc:AlternateContent>
        <mc:Choice Requires="wps">
          <w:drawing>
            <wp:anchor distT="0" distB="0" distL="0" distR="0" simplePos="0" relativeHeight="251978752" behindDoc="1" locked="0" layoutInCell="1" allowOverlap="1" wp14:anchorId="287C2603" wp14:editId="3DCB0BCB">
              <wp:simplePos x="0" y="0"/>
              <wp:positionH relativeFrom="page">
                <wp:posOffset>537210</wp:posOffset>
              </wp:positionH>
              <wp:positionV relativeFrom="page">
                <wp:posOffset>315595</wp:posOffset>
              </wp:positionV>
              <wp:extent cx="2648585" cy="69850"/>
              <wp:effectExtent l="0" t="0" r="0" b="0"/>
              <wp:wrapNone/>
              <wp:docPr id="733" name="Shape 733"/>
              <wp:cNvGraphicFramePr/>
              <a:graphic xmlns:a="http://schemas.openxmlformats.org/drawingml/2006/main">
                <a:graphicData uri="http://schemas.microsoft.com/office/word/2010/wordprocessingShape">
                  <wps:wsp>
                    <wps:cNvSpPr txBox="1"/>
                    <wps:spPr>
                      <a:xfrm>
                        <a:off x="0" y="0"/>
                        <a:ext cx="2648585" cy="69850"/>
                      </a:xfrm>
                      <a:prstGeom prst="rect">
                        <a:avLst/>
                      </a:prstGeom>
                      <a:noFill/>
                    </wps:spPr>
                    <wps:txbx>
                      <w:txbxContent>
                        <w:p w14:paraId="4DB4445B" w14:textId="77777777" w:rsidR="00093A32" w:rsidRDefault="00093A32">
                          <w:pPr>
                            <w:pStyle w:val="Headerorfooter0"/>
                            <w:tabs>
                              <w:tab w:val="right" w:pos="4171"/>
                            </w:tabs>
                          </w:pPr>
                          <w:r>
                            <w:rPr>
                              <w:sz w:val="16"/>
                              <w:szCs w:val="16"/>
                            </w:rPr>
                            <w:t>276</w:t>
                          </w:r>
                          <w:r>
                            <w:rPr>
                              <w:sz w:val="16"/>
                              <w:szCs w:val="16"/>
                            </w:rPr>
                            <w:tab/>
                          </w:r>
                          <w:r>
                            <w:t>COCCIDIOIDOMICOSIS</w:t>
                          </w:r>
                        </w:p>
                      </w:txbxContent>
                    </wps:txbx>
                    <wps:bodyPr lIns="0" tIns="0" rIns="0" bIns="0">
                      <a:spAutoFit/>
                    </wps:bodyPr>
                  </wps:wsp>
                </a:graphicData>
              </a:graphic>
            </wp:anchor>
          </w:drawing>
        </mc:Choice>
        <mc:Fallback>
          <w:pict>
            <v:shapetype w14:anchorId="287C2603" id="_x0000_t202" coordsize="21600,21600" o:spt="202" path="m,l,21600r21600,l21600,xe">
              <v:stroke joinstyle="miter"/>
              <v:path gradientshapeok="t" o:connecttype="rect"/>
            </v:shapetype>
            <v:shape id="Shape 733" o:spid="_x0000_s1123" type="#_x0000_t202" style="position:absolute;margin-left:42.3pt;margin-top:24.85pt;width:208.55pt;height:5.5pt;z-index:-2513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" filled="f" stroked="f">
              <v:textbox style="mso-fit-shape-to-text:t" inset="0,0,0,0">
                <w:txbxContent>
                  <w:p w14:paraId="4DB4445B" w14:textId="77777777" w:rsidR="00093A32" w:rsidRDefault="00093A32">
                    <w:pPr>
                      <w:pStyle w:val="Headerorfooter0"/>
                      <w:tabs>
                        <w:tab w:val="right" w:pos="4171"/>
                      </w:tabs>
                    </w:pPr>
                    <w:r>
                      <w:rPr>
                        <w:sz w:val="16"/>
                        <w:szCs w:val="16"/>
                      </w:rPr>
                      <w:t>276</w:t>
                    </w:r>
                    <w:r>
                      <w:rPr>
                        <w:sz w:val="16"/>
                        <w:szCs w:val="16"/>
                      </w:rPr>
                      <w:tab/>
                    </w:r>
                    <w:r>
                      <w:t>COCCIDIOIDOMICOSIS</w:t>
                    </w:r>
                  </w:p>
                </w:txbxContent>
              </v:textbox>
              <w10:wrap anchorx="page" anchory="page"/>
            </v:shape>
          </w:pict>
        </mc:Fallback>
      </mc:AlternateContent>
    </w:r>
    <w:r>
      <w:rPr>
        <w:noProof/>
      </w:rPr>
      <mc:AlternateContent>
        <mc:Choice Requires="wps">
          <w:drawing>
            <wp:anchor distT="0" distB="0" distL="114300" distR="114300" simplePos="0" relativeHeight="251742208" behindDoc="1" locked="0" layoutInCell="1" allowOverlap="1" wp14:anchorId="31904842" wp14:editId="0730D9D5">
              <wp:simplePos x="0" y="0"/>
              <wp:positionH relativeFrom="page">
                <wp:posOffset>521970</wp:posOffset>
              </wp:positionH>
              <wp:positionV relativeFrom="page">
                <wp:posOffset>424180</wp:posOffset>
              </wp:positionV>
              <wp:extent cx="4358640" cy="0"/>
              <wp:effectExtent l="0" t="0" r="0" b="0"/>
              <wp:wrapNone/>
              <wp:docPr id="735" name="Shape 7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19304F" id="_x0000_t32" coordsize="21600,21600" o:spt="32" o:oned="t" path="m,l21600,21600e" filled="f">
              <v:path arrowok="t" fillok="f" o:connecttype="none"/>
              <o:lock v:ext="edit" shapetype="t"/>
            </v:shapetype>
            <v:shape id="Shape 735" o:spid="_x0000_s1026" type="#_x0000_t32" style="position:absolute;margin-left:41.1pt;margin-top:33.4pt;width:343.2pt;height:0;z-index:-2515742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JOpa&#10;9tkAAAAIAQAADwAAAAAAAAAAAAAAAADCAwAAZHJzL2Rvd25yZXYueG1sUEsFBgAAAAAEAAQA8wAA&#10;AMgEAAAAAA==&#10;" strokeweight="1pt">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5C3C" w14:textId="77777777" w:rsidR="00093A32" w:rsidRDefault="00093A32">
    <w:pPr>
      <w:spacing w:line="1" w:lineRule="exact"/>
    </w:pPr>
    <w:r>
      <w:rPr>
        <w:noProof/>
      </w:rPr>
      <mc:AlternateContent>
        <mc:Choice Requires="wps">
          <w:drawing>
            <wp:anchor distT="0" distB="0" distL="0" distR="0" simplePos="0" relativeHeight="251977728" behindDoc="1" locked="0" layoutInCell="1" allowOverlap="1" wp14:anchorId="78216949" wp14:editId="34D11C77">
              <wp:simplePos x="0" y="0"/>
              <wp:positionH relativeFrom="page">
                <wp:posOffset>537210</wp:posOffset>
              </wp:positionH>
              <wp:positionV relativeFrom="page">
                <wp:posOffset>315595</wp:posOffset>
              </wp:positionV>
              <wp:extent cx="2648585" cy="69850"/>
              <wp:effectExtent l="0" t="0" r="0" b="0"/>
              <wp:wrapNone/>
              <wp:docPr id="730" name="Shape 730"/>
              <wp:cNvGraphicFramePr/>
              <a:graphic xmlns:a="http://schemas.openxmlformats.org/drawingml/2006/main">
                <a:graphicData uri="http://schemas.microsoft.com/office/word/2010/wordprocessingShape">
                  <wps:wsp>
                    <wps:cNvSpPr txBox="1"/>
                    <wps:spPr>
                      <a:xfrm>
                        <a:off x="0" y="0"/>
                        <a:ext cx="2648585" cy="69850"/>
                      </a:xfrm>
                      <a:prstGeom prst="rect">
                        <a:avLst/>
                      </a:prstGeom>
                      <a:noFill/>
                    </wps:spPr>
                    <wps:txbx>
                      <w:txbxContent>
                        <w:p w14:paraId="38388A9D" w14:textId="77777777" w:rsidR="00093A32" w:rsidRDefault="00093A32">
                          <w:pPr>
                            <w:pStyle w:val="Headerorfooter0"/>
                            <w:tabs>
                              <w:tab w:val="right" w:pos="4171"/>
                            </w:tabs>
                          </w:pPr>
                          <w:r>
                            <w:rPr>
                              <w:sz w:val="16"/>
                              <w:szCs w:val="16"/>
                            </w:rPr>
                            <w:t>276</w:t>
                          </w:r>
                          <w:r>
                            <w:rPr>
                              <w:sz w:val="16"/>
                              <w:szCs w:val="16"/>
                            </w:rPr>
                            <w:tab/>
                          </w:r>
                          <w:r>
                            <w:t>COCCIDIOIDOMICOSIS</w:t>
                          </w:r>
                        </w:p>
                      </w:txbxContent>
                    </wps:txbx>
                    <wps:bodyPr lIns="0" tIns="0" rIns="0" bIns="0">
                      <a:spAutoFit/>
                    </wps:bodyPr>
                  </wps:wsp>
                </a:graphicData>
              </a:graphic>
            </wp:anchor>
          </w:drawing>
        </mc:Choice>
        <mc:Fallback>
          <w:pict>
            <v:shapetype w14:anchorId="78216949" id="_x0000_t202" coordsize="21600,21600" o:spt="202" path="m,l,21600r21600,l21600,xe">
              <v:stroke joinstyle="miter"/>
              <v:path gradientshapeok="t" o:connecttype="rect"/>
            </v:shapetype>
            <v:shape id="Shape 730" o:spid="_x0000_s1124" type="#_x0000_t202" style="position:absolute;margin-left:42.3pt;margin-top:24.85pt;width:208.55pt;height:5.5pt;z-index:-2513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" filled="f" stroked="f">
              <v:textbox style="mso-fit-shape-to-text:t" inset="0,0,0,0">
                <w:txbxContent>
                  <w:p w14:paraId="38388A9D" w14:textId="77777777" w:rsidR="00093A32" w:rsidRDefault="00093A32">
                    <w:pPr>
                      <w:pStyle w:val="Headerorfooter0"/>
                      <w:tabs>
                        <w:tab w:val="right" w:pos="4171"/>
                      </w:tabs>
                    </w:pPr>
                    <w:r>
                      <w:rPr>
                        <w:sz w:val="16"/>
                        <w:szCs w:val="16"/>
                      </w:rPr>
                      <w:t>276</w:t>
                    </w:r>
                    <w:r>
                      <w:rPr>
                        <w:sz w:val="16"/>
                        <w:szCs w:val="16"/>
                      </w:rPr>
                      <w:tab/>
                    </w:r>
                    <w:r>
                      <w:t>COCCIDIOIDOMICOSIS</w:t>
                    </w:r>
                  </w:p>
                </w:txbxContent>
              </v:textbox>
              <w10:wrap anchorx="page" anchory="page"/>
            </v:shape>
          </w:pict>
        </mc:Fallback>
      </mc:AlternateContent>
    </w:r>
    <w:r>
      <w:rPr>
        <w:noProof/>
      </w:rPr>
      <mc:AlternateContent>
        <mc:Choice Requires="wps">
          <w:drawing>
            <wp:anchor distT="0" distB="0" distL="114300" distR="114300" simplePos="0" relativeHeight="251741184" behindDoc="1" locked="0" layoutInCell="1" allowOverlap="1" wp14:anchorId="553DE050" wp14:editId="41D34A29">
              <wp:simplePos x="0" y="0"/>
              <wp:positionH relativeFrom="page">
                <wp:posOffset>521970</wp:posOffset>
              </wp:positionH>
              <wp:positionV relativeFrom="page">
                <wp:posOffset>424180</wp:posOffset>
              </wp:positionV>
              <wp:extent cx="4358640" cy="0"/>
              <wp:effectExtent l="0" t="0" r="0" b="0"/>
              <wp:wrapNone/>
              <wp:docPr id="732" name="Shape 7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CB9E6A" id="_x0000_t32" coordsize="21600,21600" o:spt="32" o:oned="t" path="m,l21600,21600e" filled="f">
              <v:path arrowok="t" fillok="f" o:connecttype="none"/>
              <o:lock v:ext="edit" shapetype="t"/>
            </v:shapetype>
            <v:shape id="Shape 732" o:spid="_x0000_s1026" type="#_x0000_t32" style="position:absolute;margin-left:41.1pt;margin-top:33.4pt;width:343.2pt;height:0;z-index:-251575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JOpa&#10;9tkAAAAIAQAADwAAAAAAAAAAAAAAAADCAwAAZHJzL2Rvd25yZXYueG1sUEsFBgAAAAAEAAQA8wAA&#10;AMgEAAAAAA==&#10;" strokeweight="1pt">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A7ED" w14:textId="77777777" w:rsidR="00093A32" w:rsidRDefault="00093A32">
    <w:pPr>
      <w:spacing w:line="1" w:lineRule="exact"/>
    </w:pPr>
    <w:r>
      <w:rPr>
        <w:noProof/>
      </w:rPr>
      <mc:AlternateContent>
        <mc:Choice Requires="wps">
          <w:drawing>
            <wp:anchor distT="0" distB="0" distL="0" distR="0" simplePos="0" relativeHeight="251980800" behindDoc="1" locked="0" layoutInCell="1" allowOverlap="1" wp14:anchorId="61D0CC5A" wp14:editId="223C8126">
              <wp:simplePos x="0" y="0"/>
              <wp:positionH relativeFrom="page">
                <wp:posOffset>537210</wp:posOffset>
              </wp:positionH>
              <wp:positionV relativeFrom="page">
                <wp:posOffset>315595</wp:posOffset>
              </wp:positionV>
              <wp:extent cx="2648585" cy="69850"/>
              <wp:effectExtent l="0" t="0" r="0" b="0"/>
              <wp:wrapNone/>
              <wp:docPr id="739" name="Shape 739"/>
              <wp:cNvGraphicFramePr/>
              <a:graphic xmlns:a="http://schemas.openxmlformats.org/drawingml/2006/main">
                <a:graphicData uri="http://schemas.microsoft.com/office/word/2010/wordprocessingShape">
                  <wps:wsp>
                    <wps:cNvSpPr txBox="1"/>
                    <wps:spPr>
                      <a:xfrm>
                        <a:off x="0" y="0"/>
                        <a:ext cx="2648585" cy="69850"/>
                      </a:xfrm>
                      <a:prstGeom prst="rect">
                        <a:avLst/>
                      </a:prstGeom>
                      <a:noFill/>
                    </wps:spPr>
                    <wps:txbx>
                      <w:txbxContent>
                        <w:p w14:paraId="350E4702" w14:textId="77777777" w:rsidR="00093A32" w:rsidRDefault="00093A32">
                          <w:pPr>
                            <w:pStyle w:val="Headerorfooter0"/>
                            <w:tabs>
                              <w:tab w:val="right" w:pos="4171"/>
                            </w:tabs>
                          </w:pPr>
                          <w:r>
                            <w:rPr>
                              <w:sz w:val="16"/>
                              <w:szCs w:val="16"/>
                            </w:rPr>
                            <w:t>276</w:t>
                          </w:r>
                          <w:r>
                            <w:rPr>
                              <w:sz w:val="16"/>
                              <w:szCs w:val="16"/>
                            </w:rPr>
                            <w:tab/>
                          </w:r>
                          <w:r>
                            <w:t>COCCIDIOIDOMICOSIS</w:t>
                          </w:r>
                        </w:p>
                      </w:txbxContent>
                    </wps:txbx>
                    <wps:bodyPr lIns="0" tIns="0" rIns="0" bIns="0">
                      <a:spAutoFit/>
                    </wps:bodyPr>
                  </wps:wsp>
                </a:graphicData>
              </a:graphic>
            </wp:anchor>
          </w:drawing>
        </mc:Choice>
        <mc:Fallback>
          <w:pict>
            <v:shapetype w14:anchorId="61D0CC5A" id="_x0000_t202" coordsize="21600,21600" o:spt="202" path="m,l,21600r21600,l21600,xe">
              <v:stroke joinstyle="miter"/>
              <v:path gradientshapeok="t" o:connecttype="rect"/>
            </v:shapetype>
            <v:shape id="Shape 739" o:spid="_x0000_s1125" type="#_x0000_t202" style="position:absolute;margin-left:42.3pt;margin-top:24.85pt;width:208.55pt;height:5.5pt;z-index:-251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" filled="f" stroked="f">
              <v:textbox style="mso-fit-shape-to-text:t" inset="0,0,0,0">
                <w:txbxContent>
                  <w:p w14:paraId="350E4702" w14:textId="77777777" w:rsidR="00093A32" w:rsidRDefault="00093A32">
                    <w:pPr>
                      <w:pStyle w:val="Headerorfooter0"/>
                      <w:tabs>
                        <w:tab w:val="right" w:pos="4171"/>
                      </w:tabs>
                    </w:pPr>
                    <w:r>
                      <w:rPr>
                        <w:sz w:val="16"/>
                        <w:szCs w:val="16"/>
                      </w:rPr>
                      <w:t>276</w:t>
                    </w:r>
                    <w:r>
                      <w:rPr>
                        <w:sz w:val="16"/>
                        <w:szCs w:val="16"/>
                      </w:rPr>
                      <w:tab/>
                    </w:r>
                    <w:r>
                      <w:t>COCCIDIOIDOMICOSIS</w:t>
                    </w:r>
                  </w:p>
                </w:txbxContent>
              </v:textbox>
              <w10:wrap anchorx="page" anchory="page"/>
            </v:shape>
          </w:pict>
        </mc:Fallback>
      </mc:AlternateContent>
    </w:r>
    <w:r>
      <w:rPr>
        <w:noProof/>
      </w:rPr>
      <mc:AlternateContent>
        <mc:Choice Requires="wps">
          <w:drawing>
            <wp:anchor distT="0" distB="0" distL="114300" distR="114300" simplePos="0" relativeHeight="251744256" behindDoc="1" locked="0" layoutInCell="1" allowOverlap="1" wp14:anchorId="06334A3A" wp14:editId="78B3481E">
              <wp:simplePos x="0" y="0"/>
              <wp:positionH relativeFrom="page">
                <wp:posOffset>521970</wp:posOffset>
              </wp:positionH>
              <wp:positionV relativeFrom="page">
                <wp:posOffset>424180</wp:posOffset>
              </wp:positionV>
              <wp:extent cx="4358640" cy="0"/>
              <wp:effectExtent l="0" t="0" r="0" b="0"/>
              <wp:wrapNone/>
              <wp:docPr id="741" name="Shape 7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F9C47E" id="_x0000_t32" coordsize="21600,21600" o:spt="32" o:oned="t" path="m,l21600,21600e" filled="f">
              <v:path arrowok="t" fillok="f" o:connecttype="none"/>
              <o:lock v:ext="edit" shapetype="t"/>
            </v:shapetype>
            <v:shape id="Shape 741" o:spid="_x0000_s1026" type="#_x0000_t32" style="position:absolute;margin-left:41.1pt;margin-top:33.4pt;width:343.2pt;height:0;z-index:-2515722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JOpa&#10;9tkAAAAIAQAADwAAAAAAAAAAAAAAAADCAwAAZHJzL2Rvd25yZXYueG1sUEsFBgAAAAAEAAQA8wAA&#10;AMgEAAAAAA==&#10;" strokeweight="1pt">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F763" w14:textId="77777777" w:rsidR="00093A32" w:rsidRDefault="00093A32">
    <w:pPr>
      <w:spacing w:line="1" w:lineRule="exact"/>
    </w:pPr>
    <w:r>
      <w:rPr>
        <w:noProof/>
      </w:rPr>
      <mc:AlternateContent>
        <mc:Choice Requires="wps">
          <w:drawing>
            <wp:anchor distT="0" distB="0" distL="0" distR="0" simplePos="0" relativeHeight="251979776" behindDoc="1" locked="0" layoutInCell="1" allowOverlap="1" wp14:anchorId="10E297D2" wp14:editId="5FE6FC93">
              <wp:simplePos x="0" y="0"/>
              <wp:positionH relativeFrom="page">
                <wp:posOffset>537210</wp:posOffset>
              </wp:positionH>
              <wp:positionV relativeFrom="page">
                <wp:posOffset>315595</wp:posOffset>
              </wp:positionV>
              <wp:extent cx="2648585" cy="69850"/>
              <wp:effectExtent l="0" t="0" r="0" b="0"/>
              <wp:wrapNone/>
              <wp:docPr id="736" name="Shape 736"/>
              <wp:cNvGraphicFramePr/>
              <a:graphic xmlns:a="http://schemas.openxmlformats.org/drawingml/2006/main">
                <a:graphicData uri="http://schemas.microsoft.com/office/word/2010/wordprocessingShape">
                  <wps:wsp>
                    <wps:cNvSpPr txBox="1"/>
                    <wps:spPr>
                      <a:xfrm>
                        <a:off x="0" y="0"/>
                        <a:ext cx="2648585" cy="69850"/>
                      </a:xfrm>
                      <a:prstGeom prst="rect">
                        <a:avLst/>
                      </a:prstGeom>
                      <a:noFill/>
                    </wps:spPr>
                    <wps:txbx>
                      <w:txbxContent>
                        <w:p w14:paraId="09EF8A3D" w14:textId="77777777" w:rsidR="00093A32" w:rsidRDefault="00093A32">
                          <w:pPr>
                            <w:pStyle w:val="Headerorfooter0"/>
                            <w:tabs>
                              <w:tab w:val="right" w:pos="4171"/>
                            </w:tabs>
                          </w:pPr>
                          <w:r>
                            <w:rPr>
                              <w:sz w:val="16"/>
                              <w:szCs w:val="16"/>
                            </w:rPr>
                            <w:t>276</w:t>
                          </w:r>
                          <w:r>
                            <w:rPr>
                              <w:sz w:val="16"/>
                              <w:szCs w:val="16"/>
                            </w:rPr>
                            <w:tab/>
                          </w:r>
                          <w:r>
                            <w:t>COCCIDIOIDOMICOSIS</w:t>
                          </w:r>
                        </w:p>
                      </w:txbxContent>
                    </wps:txbx>
                    <wps:bodyPr lIns="0" tIns="0" rIns="0" bIns="0">
                      <a:spAutoFit/>
                    </wps:bodyPr>
                  </wps:wsp>
                </a:graphicData>
              </a:graphic>
            </wp:anchor>
          </w:drawing>
        </mc:Choice>
        <mc:Fallback>
          <w:pict>
            <v:shapetype w14:anchorId="10E297D2" id="_x0000_t202" coordsize="21600,21600" o:spt="202" path="m,l,21600r21600,l21600,xe">
              <v:stroke joinstyle="miter"/>
              <v:path gradientshapeok="t" o:connecttype="rect"/>
            </v:shapetype>
            <v:shape id="Shape 736" o:spid="_x0000_s1126" type="#_x0000_t202" style="position:absolute;margin-left:42.3pt;margin-top:24.85pt;width:208.55pt;height:5.5pt;z-index:-251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" filled="f" stroked="f">
              <v:textbox style="mso-fit-shape-to-text:t" inset="0,0,0,0">
                <w:txbxContent>
                  <w:p w14:paraId="09EF8A3D" w14:textId="77777777" w:rsidR="00093A32" w:rsidRDefault="00093A32">
                    <w:pPr>
                      <w:pStyle w:val="Headerorfooter0"/>
                      <w:tabs>
                        <w:tab w:val="right" w:pos="4171"/>
                      </w:tabs>
                    </w:pPr>
                    <w:r>
                      <w:rPr>
                        <w:sz w:val="16"/>
                        <w:szCs w:val="16"/>
                      </w:rPr>
                      <w:t>276</w:t>
                    </w:r>
                    <w:r>
                      <w:rPr>
                        <w:sz w:val="16"/>
                        <w:szCs w:val="16"/>
                      </w:rPr>
                      <w:tab/>
                    </w:r>
                    <w:r>
                      <w:t>COCCIDIOIDOMICOSIS</w:t>
                    </w:r>
                  </w:p>
                </w:txbxContent>
              </v:textbox>
              <w10:wrap anchorx="page" anchory="page"/>
            </v:shape>
          </w:pict>
        </mc:Fallback>
      </mc:AlternateContent>
    </w:r>
    <w:r>
      <w:rPr>
        <w:noProof/>
      </w:rPr>
      <mc:AlternateContent>
        <mc:Choice Requires="wps">
          <w:drawing>
            <wp:anchor distT="0" distB="0" distL="114300" distR="114300" simplePos="0" relativeHeight="251743232" behindDoc="1" locked="0" layoutInCell="1" allowOverlap="1" wp14:anchorId="3B747077" wp14:editId="7D0B4FA2">
              <wp:simplePos x="0" y="0"/>
              <wp:positionH relativeFrom="page">
                <wp:posOffset>521970</wp:posOffset>
              </wp:positionH>
              <wp:positionV relativeFrom="page">
                <wp:posOffset>424180</wp:posOffset>
              </wp:positionV>
              <wp:extent cx="4358640" cy="0"/>
              <wp:effectExtent l="0" t="0" r="0" b="0"/>
              <wp:wrapNone/>
              <wp:docPr id="738" name="Shape 7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5CBDFD" id="_x0000_t32" coordsize="21600,21600" o:spt="32" o:oned="t" path="m,l21600,21600e" filled="f">
              <v:path arrowok="t" fillok="f" o:connecttype="none"/>
              <o:lock v:ext="edit" shapetype="t"/>
            </v:shapetype>
            <v:shape id="Shape 738" o:spid="_x0000_s1026" type="#_x0000_t32" style="position:absolute;margin-left:41.1pt;margin-top:33.4pt;width:343.2pt;height:0;z-index:-2515732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JOpa&#10;9tkAAAAIAQAADwAAAAAAAAAAAAAAAADCAwAAZHJzL2Rvd25yZXYueG1sUEsFBgAAAAAEAAQA8wAA&#10;AMgEAAAAAA==&#10;" strokeweight="1pt">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B7BE" w14:textId="77777777" w:rsidR="00093A32" w:rsidRDefault="00093A32">
    <w:pPr>
      <w:spacing w:line="1" w:lineRule="exact"/>
    </w:pPr>
    <w:r>
      <w:rPr>
        <w:noProof/>
      </w:rPr>
      <mc:AlternateContent>
        <mc:Choice Requires="wps">
          <w:drawing>
            <wp:anchor distT="0" distB="0" distL="0" distR="0" simplePos="0" relativeHeight="251981824" behindDoc="1" locked="0" layoutInCell="1" allowOverlap="1" wp14:anchorId="35FAE1DA" wp14:editId="74B74687">
              <wp:simplePos x="0" y="0"/>
              <wp:positionH relativeFrom="page">
                <wp:posOffset>2209165</wp:posOffset>
              </wp:positionH>
              <wp:positionV relativeFrom="page">
                <wp:posOffset>315595</wp:posOffset>
              </wp:positionV>
              <wp:extent cx="2645410" cy="69850"/>
              <wp:effectExtent l="0" t="0" r="0" b="0"/>
              <wp:wrapNone/>
              <wp:docPr id="742" name="Shape 742"/>
              <wp:cNvGraphicFramePr/>
              <a:graphic xmlns:a="http://schemas.openxmlformats.org/drawingml/2006/main">
                <a:graphicData uri="http://schemas.microsoft.com/office/word/2010/wordprocessingShape">
                  <wps:wsp>
                    <wps:cNvSpPr txBox="1"/>
                    <wps:spPr>
                      <a:xfrm>
                        <a:off x="0" y="0"/>
                        <a:ext cx="2645410" cy="69850"/>
                      </a:xfrm>
                      <a:prstGeom prst="rect">
                        <a:avLst/>
                      </a:prstGeom>
                      <a:noFill/>
                    </wps:spPr>
                    <wps:txbx>
                      <w:txbxContent>
                        <w:p w14:paraId="499DCEC9" w14:textId="77777777" w:rsidR="00093A32" w:rsidRDefault="00093A32">
                          <w:pPr>
                            <w:pStyle w:val="Headerorfooter0"/>
                            <w:tabs>
                              <w:tab w:val="right" w:pos="4166"/>
                            </w:tabs>
                            <w:rPr>
                              <w:sz w:val="16"/>
                              <w:szCs w:val="16"/>
                            </w:rPr>
                          </w:pPr>
                          <w:r>
                            <w:t>COCCIDIOIDOMICOSIS</w:t>
                          </w:r>
                          <w:r>
                            <w:tab/>
                          </w:r>
                          <w:r>
                            <w:rPr>
                              <w:sz w:val="16"/>
                              <w:szCs w:val="16"/>
                            </w:rPr>
                            <w:t>277</w:t>
                          </w:r>
                        </w:p>
                      </w:txbxContent>
                    </wps:txbx>
                    <wps:bodyPr lIns="0" tIns="0" rIns="0" bIns="0">
                      <a:spAutoFit/>
                    </wps:bodyPr>
                  </wps:wsp>
                </a:graphicData>
              </a:graphic>
            </wp:anchor>
          </w:drawing>
        </mc:Choice>
        <mc:Fallback>
          <w:pict>
            <v:shapetype w14:anchorId="35FAE1DA" id="_x0000_t202" coordsize="21600,21600" o:spt="202" path="m,l,21600r21600,l21600,xe">
              <v:stroke joinstyle="miter"/>
              <v:path gradientshapeok="t" o:connecttype="rect"/>
            </v:shapetype>
            <v:shape id="Shape 742" o:spid="_x0000_s1127" type="#_x0000_t202" style="position:absolute;margin-left:173.95pt;margin-top:24.85pt;width:208.3pt;height:5.5pt;z-index:-2513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" filled="f" stroked="f">
              <v:textbox style="mso-fit-shape-to-text:t" inset="0,0,0,0">
                <w:txbxContent>
                  <w:p w14:paraId="499DCEC9" w14:textId="77777777" w:rsidR="00093A32" w:rsidRDefault="00093A32">
                    <w:pPr>
                      <w:pStyle w:val="Headerorfooter0"/>
                      <w:tabs>
                        <w:tab w:val="right" w:pos="4166"/>
                      </w:tabs>
                      <w:rPr>
                        <w:sz w:val="16"/>
                        <w:szCs w:val="16"/>
                      </w:rPr>
                    </w:pPr>
                    <w:r>
                      <w:t>COCCIDIOIDOMICOSIS</w:t>
                    </w:r>
                    <w:r>
                      <w:tab/>
                    </w:r>
                    <w:r>
                      <w:rPr>
                        <w:sz w:val="16"/>
                        <w:szCs w:val="16"/>
                      </w:rPr>
                      <w:t>277</w:t>
                    </w:r>
                  </w:p>
                </w:txbxContent>
              </v:textbox>
              <w10:wrap anchorx="page" anchory="page"/>
            </v:shape>
          </w:pict>
        </mc:Fallback>
      </mc:AlternateContent>
    </w:r>
    <w:r>
      <w:rPr>
        <w:noProof/>
      </w:rPr>
      <mc:AlternateContent>
        <mc:Choice Requires="wps">
          <w:drawing>
            <wp:anchor distT="0" distB="0" distL="114300" distR="114300" simplePos="0" relativeHeight="251745280" behindDoc="1" locked="0" layoutInCell="1" allowOverlap="1" wp14:anchorId="36199D2F" wp14:editId="0FAFDC88">
              <wp:simplePos x="0" y="0"/>
              <wp:positionH relativeFrom="page">
                <wp:posOffset>517525</wp:posOffset>
              </wp:positionH>
              <wp:positionV relativeFrom="page">
                <wp:posOffset>424180</wp:posOffset>
              </wp:positionV>
              <wp:extent cx="4358640" cy="0"/>
              <wp:effectExtent l="0" t="0" r="0" b="0"/>
              <wp:wrapNone/>
              <wp:docPr id="744" name="Shape 74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2937FB" id="_x0000_t32" coordsize="21600,21600" o:spt="32" o:oned="t" path="m,l21600,21600e" filled="f">
              <v:path arrowok="t" fillok="f" o:connecttype="none"/>
              <o:lock v:ext="edit" shapetype="t"/>
            </v:shapetype>
            <v:shape id="Shape 744" o:spid="_x0000_s1026" type="#_x0000_t32" style="position:absolute;margin-left:40.75pt;margin-top:33.4pt;width:343.2pt;height:0;z-index:-2515712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4E2B" w14:textId="77777777" w:rsidR="00093A32" w:rsidRDefault="00093A32">
    <w:pPr>
      <w:spacing w:line="1" w:lineRule="exact"/>
    </w:pPr>
    <w:r>
      <w:rPr>
        <w:noProof/>
      </w:rPr>
      <mc:AlternateContent>
        <mc:Choice Requires="wps">
          <w:drawing>
            <wp:anchor distT="0" distB="0" distL="0" distR="0" simplePos="0" relativeHeight="251983872" behindDoc="1" locked="0" layoutInCell="1" allowOverlap="1" wp14:anchorId="68AC19AE" wp14:editId="2D6224F8">
              <wp:simplePos x="0" y="0"/>
              <wp:positionH relativeFrom="page">
                <wp:posOffset>1670050</wp:posOffset>
              </wp:positionH>
              <wp:positionV relativeFrom="page">
                <wp:posOffset>306705</wp:posOffset>
              </wp:positionV>
              <wp:extent cx="3169920" cy="79375"/>
              <wp:effectExtent l="0" t="0" r="0" b="0"/>
              <wp:wrapNone/>
              <wp:docPr id="748" name="Shape 748"/>
              <wp:cNvGraphicFramePr/>
              <a:graphic xmlns:a="http://schemas.openxmlformats.org/drawingml/2006/main">
                <a:graphicData uri="http://schemas.microsoft.com/office/word/2010/wordprocessingShape">
                  <wps:wsp>
                    <wps:cNvSpPr txBox="1"/>
                    <wps:spPr>
                      <a:xfrm>
                        <a:off x="0" y="0"/>
                        <a:ext cx="3169920" cy="79375"/>
                      </a:xfrm>
                      <a:prstGeom prst="rect">
                        <a:avLst/>
                      </a:prstGeom>
                      <a:noFill/>
                    </wps:spPr>
                    <wps:txbx>
                      <w:txbxContent>
                        <w:p w14:paraId="5C7F499B"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wps:txbx>
                    <wps:bodyPr lIns="0" tIns="0" rIns="0" bIns="0">
                      <a:spAutoFit/>
                    </wps:bodyPr>
                  </wps:wsp>
                </a:graphicData>
              </a:graphic>
            </wp:anchor>
          </w:drawing>
        </mc:Choice>
        <mc:Fallback>
          <w:pict>
            <v:shapetype w14:anchorId="68AC19AE" id="_x0000_t202" coordsize="21600,21600" o:spt="202" path="m,l,21600r21600,l21600,xe">
              <v:stroke joinstyle="miter"/>
              <v:path gradientshapeok="t" o:connecttype="rect"/>
            </v:shapetype>
            <v:shape id="Shape 748" o:spid="_x0000_s1128" type="#_x0000_t202" style="position:absolute;margin-left:131.5pt;margin-top:24.15pt;width:249.6pt;height:6.25pt;z-index:-2513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" filled="f" stroked="f">
              <v:textbox style="mso-fit-shape-to-text:t" inset="0,0,0,0">
                <w:txbxContent>
                  <w:p w14:paraId="5C7F499B"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v:textbox>
              <w10:wrap anchorx="page" anchory="page"/>
            </v:shape>
          </w:pict>
        </mc:Fallback>
      </mc:AlternateContent>
    </w:r>
    <w:r>
      <w:rPr>
        <w:noProof/>
      </w:rPr>
      <mc:AlternateContent>
        <mc:Choice Requires="wps">
          <w:drawing>
            <wp:anchor distT="0" distB="0" distL="114300" distR="114300" simplePos="0" relativeHeight="251747328" behindDoc="1" locked="0" layoutInCell="1" allowOverlap="1" wp14:anchorId="29310221" wp14:editId="582B8321">
              <wp:simplePos x="0" y="0"/>
              <wp:positionH relativeFrom="page">
                <wp:posOffset>517525</wp:posOffset>
              </wp:positionH>
              <wp:positionV relativeFrom="page">
                <wp:posOffset>414655</wp:posOffset>
              </wp:positionV>
              <wp:extent cx="4358640" cy="0"/>
              <wp:effectExtent l="0" t="0" r="0" b="0"/>
              <wp:wrapNone/>
              <wp:docPr id="750" name="Shape 75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D42F06" id="_x0000_t32" coordsize="21600,21600" o:spt="32" o:oned="t" path="m,l21600,21600e" filled="f">
              <v:path arrowok="t" fillok="f" o:connecttype="none"/>
              <o:lock v:ext="edit" shapetype="t"/>
            </v:shapetype>
            <v:shape id="Shape 750" o:spid="_x0000_s1026" type="#_x0000_t32" style="position:absolute;margin-left:40.75pt;margin-top:32.65pt;width:343.2pt;height:0;z-index:-2515691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FC90" w14:textId="77777777" w:rsidR="00093A32" w:rsidRDefault="00093A32">
    <w:pPr>
      <w:spacing w:line="1" w:lineRule="exact"/>
    </w:pPr>
    <w:r>
      <w:rPr>
        <w:noProof/>
      </w:rPr>
      <mc:AlternateContent>
        <mc:Choice Requires="wps">
          <w:drawing>
            <wp:anchor distT="0" distB="0" distL="0" distR="0" simplePos="0" relativeHeight="251982848" behindDoc="1" locked="0" layoutInCell="1" allowOverlap="1" wp14:anchorId="18526C59" wp14:editId="2D134044">
              <wp:simplePos x="0" y="0"/>
              <wp:positionH relativeFrom="page">
                <wp:posOffset>1670050</wp:posOffset>
              </wp:positionH>
              <wp:positionV relativeFrom="page">
                <wp:posOffset>306705</wp:posOffset>
              </wp:positionV>
              <wp:extent cx="3169920" cy="79375"/>
              <wp:effectExtent l="0" t="0" r="0" b="0"/>
              <wp:wrapNone/>
              <wp:docPr id="745" name="Shape 745"/>
              <wp:cNvGraphicFramePr/>
              <a:graphic xmlns:a="http://schemas.openxmlformats.org/drawingml/2006/main">
                <a:graphicData uri="http://schemas.microsoft.com/office/word/2010/wordprocessingShape">
                  <wps:wsp>
                    <wps:cNvSpPr txBox="1"/>
                    <wps:spPr>
                      <a:xfrm>
                        <a:off x="0" y="0"/>
                        <a:ext cx="3169920" cy="79375"/>
                      </a:xfrm>
                      <a:prstGeom prst="rect">
                        <a:avLst/>
                      </a:prstGeom>
                      <a:noFill/>
                    </wps:spPr>
                    <wps:txbx>
                      <w:txbxContent>
                        <w:p w14:paraId="6628685E"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wps:txbx>
                    <wps:bodyPr lIns="0" tIns="0" rIns="0" bIns="0">
                      <a:spAutoFit/>
                    </wps:bodyPr>
                  </wps:wsp>
                </a:graphicData>
              </a:graphic>
            </wp:anchor>
          </w:drawing>
        </mc:Choice>
        <mc:Fallback>
          <w:pict>
            <v:shapetype w14:anchorId="18526C59" id="_x0000_t202" coordsize="21600,21600" o:spt="202" path="m,l,21600r21600,l21600,xe">
              <v:stroke joinstyle="miter"/>
              <v:path gradientshapeok="t" o:connecttype="rect"/>
            </v:shapetype>
            <v:shape id="Shape 745" o:spid="_x0000_s1129" type="#_x0000_t202" style="position:absolute;margin-left:131.5pt;margin-top:24.15pt;width:249.6pt;height:6.25pt;z-index:-2513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" filled="f" stroked="f">
              <v:textbox style="mso-fit-shape-to-text:t" inset="0,0,0,0">
                <w:txbxContent>
                  <w:p w14:paraId="6628685E"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v:textbox>
              <w10:wrap anchorx="page" anchory="page"/>
            </v:shape>
          </w:pict>
        </mc:Fallback>
      </mc:AlternateContent>
    </w:r>
    <w:r>
      <w:rPr>
        <w:noProof/>
      </w:rPr>
      <mc:AlternateContent>
        <mc:Choice Requires="wps">
          <w:drawing>
            <wp:anchor distT="0" distB="0" distL="114300" distR="114300" simplePos="0" relativeHeight="251746304" behindDoc="1" locked="0" layoutInCell="1" allowOverlap="1" wp14:anchorId="56953171" wp14:editId="3496937E">
              <wp:simplePos x="0" y="0"/>
              <wp:positionH relativeFrom="page">
                <wp:posOffset>517525</wp:posOffset>
              </wp:positionH>
              <wp:positionV relativeFrom="page">
                <wp:posOffset>414655</wp:posOffset>
              </wp:positionV>
              <wp:extent cx="4358640" cy="0"/>
              <wp:effectExtent l="0" t="0" r="0" b="0"/>
              <wp:wrapNone/>
              <wp:docPr id="747" name="Shape 74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3577EEE" id="_x0000_t32" coordsize="21600,21600" o:spt="32" o:oned="t" path="m,l21600,21600e" filled="f">
              <v:path arrowok="t" fillok="f" o:connecttype="none"/>
              <o:lock v:ext="edit" shapetype="t"/>
            </v:shapetype>
            <v:shape id="Shape 747" o:spid="_x0000_s1026" type="#_x0000_t32" style="position:absolute;margin-left:40.75pt;margin-top:32.65pt;width:343.2pt;height:0;z-index:-2515701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D0AE" w14:textId="77777777" w:rsidR="00093A32" w:rsidRDefault="00093A32">
    <w:pPr>
      <w:spacing w:line="1" w:lineRule="exact"/>
    </w:pPr>
    <w:r>
      <w:rPr>
        <w:noProof/>
      </w:rPr>
      <mc:AlternateContent>
        <mc:Choice Requires="wps">
          <w:drawing>
            <wp:anchor distT="0" distB="0" distL="0" distR="0" simplePos="0" relativeHeight="251984896" behindDoc="1" locked="0" layoutInCell="1" allowOverlap="1" wp14:anchorId="0FA521A4" wp14:editId="4D085463">
              <wp:simplePos x="0" y="0"/>
              <wp:positionH relativeFrom="page">
                <wp:posOffset>2373630</wp:posOffset>
              </wp:positionH>
              <wp:positionV relativeFrom="page">
                <wp:posOffset>315595</wp:posOffset>
              </wp:positionV>
              <wp:extent cx="2480945" cy="69850"/>
              <wp:effectExtent l="0" t="0" r="0" b="0"/>
              <wp:wrapNone/>
              <wp:docPr id="751" name="Shape 751"/>
              <wp:cNvGraphicFramePr/>
              <a:graphic xmlns:a="http://schemas.openxmlformats.org/drawingml/2006/main">
                <a:graphicData uri="http://schemas.microsoft.com/office/word/2010/wordprocessingShape">
                  <wps:wsp>
                    <wps:cNvSpPr txBox="1"/>
                    <wps:spPr>
                      <a:xfrm>
                        <a:off x="0" y="0"/>
                        <a:ext cx="2480945" cy="69850"/>
                      </a:xfrm>
                      <a:prstGeom prst="rect">
                        <a:avLst/>
                      </a:prstGeom>
                      <a:noFill/>
                    </wps:spPr>
                    <wps:txbx>
                      <w:txbxContent>
                        <w:p w14:paraId="161F74C6" w14:textId="77777777" w:rsidR="00093A32" w:rsidRDefault="00093A32">
                          <w:pPr>
                            <w:pStyle w:val="Headerorfooter0"/>
                            <w:tabs>
                              <w:tab w:val="right" w:pos="3907"/>
                            </w:tabs>
                            <w:rPr>
                              <w:sz w:val="16"/>
                              <w:szCs w:val="16"/>
                            </w:rPr>
                          </w:pPr>
                          <w:r>
                            <w:t>CORONAVIRUS</w:t>
                          </w:r>
                          <w:r>
                            <w:tab/>
                          </w:r>
                          <w:r>
                            <w:rPr>
                              <w:sz w:val="16"/>
                              <w:szCs w:val="16"/>
                            </w:rPr>
                            <w:t>279</w:t>
                          </w:r>
                        </w:p>
                      </w:txbxContent>
                    </wps:txbx>
                    <wps:bodyPr lIns="0" tIns="0" rIns="0" bIns="0">
                      <a:spAutoFit/>
                    </wps:bodyPr>
                  </wps:wsp>
                </a:graphicData>
              </a:graphic>
            </wp:anchor>
          </w:drawing>
        </mc:Choice>
        <mc:Fallback>
          <w:pict>
            <v:shapetype w14:anchorId="0FA521A4" id="_x0000_t202" coordsize="21600,21600" o:spt="202" path="m,l,21600r21600,l21600,xe">
              <v:stroke joinstyle="miter"/>
              <v:path gradientshapeok="t" o:connecttype="rect"/>
            </v:shapetype>
            <v:shape id="Shape 751" o:spid="_x0000_s1130" type="#_x0000_t202" style="position:absolute;margin-left:186.9pt;margin-top:24.85pt;width:195.35pt;height:5.5pt;z-index:-2513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" filled="f" stroked="f">
              <v:textbox style="mso-fit-shape-to-text:t" inset="0,0,0,0">
                <w:txbxContent>
                  <w:p w14:paraId="161F74C6" w14:textId="77777777" w:rsidR="00093A32" w:rsidRDefault="00093A32">
                    <w:pPr>
                      <w:pStyle w:val="Headerorfooter0"/>
                      <w:tabs>
                        <w:tab w:val="right" w:pos="3907"/>
                      </w:tabs>
                      <w:rPr>
                        <w:sz w:val="16"/>
                        <w:szCs w:val="16"/>
                      </w:rPr>
                    </w:pPr>
                    <w:r>
                      <w:t>CORONAVIRUS</w:t>
                    </w:r>
                    <w:r>
                      <w:tab/>
                    </w:r>
                    <w:r>
                      <w:rPr>
                        <w:sz w:val="16"/>
                        <w:szCs w:val="16"/>
                      </w:rPr>
                      <w:t>279</w:t>
                    </w:r>
                  </w:p>
                </w:txbxContent>
              </v:textbox>
              <w10:wrap anchorx="page" anchory="page"/>
            </v:shape>
          </w:pict>
        </mc:Fallback>
      </mc:AlternateContent>
    </w:r>
    <w:r>
      <w:rPr>
        <w:noProof/>
      </w:rPr>
      <mc:AlternateContent>
        <mc:Choice Requires="wps">
          <w:drawing>
            <wp:anchor distT="0" distB="0" distL="114300" distR="114300" simplePos="0" relativeHeight="251748352" behindDoc="1" locked="0" layoutInCell="1" allowOverlap="1" wp14:anchorId="539A4290" wp14:editId="5FF87E07">
              <wp:simplePos x="0" y="0"/>
              <wp:positionH relativeFrom="page">
                <wp:posOffset>517525</wp:posOffset>
              </wp:positionH>
              <wp:positionV relativeFrom="page">
                <wp:posOffset>424180</wp:posOffset>
              </wp:positionV>
              <wp:extent cx="4358640" cy="0"/>
              <wp:effectExtent l="0" t="0" r="0" b="0"/>
              <wp:wrapNone/>
              <wp:docPr id="753" name="Shape 75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F979F27" id="_x0000_t32" coordsize="21600,21600" o:spt="32" o:oned="t" path="m,l21600,21600e" filled="f">
              <v:path arrowok="t" fillok="f" o:connecttype="none"/>
              <o:lock v:ext="edit" shapetype="t"/>
            </v:shapetype>
            <v:shape id="Shape 753" o:spid="_x0000_s1026" type="#_x0000_t32" style="position:absolute;margin-left:40.75pt;margin-top:33.4pt;width:343.2pt;height:0;z-index:-251568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27D8" w14:textId="77777777" w:rsidR="00093A32" w:rsidRDefault="00093A32">
    <w:pPr>
      <w:spacing w:line="1" w:lineRule="exact"/>
    </w:pPr>
    <w:r>
      <w:rPr>
        <w:noProof/>
      </w:rPr>
      <mc:AlternateContent>
        <mc:Choice Requires="wps">
          <w:drawing>
            <wp:anchor distT="0" distB="0" distL="0" distR="0" simplePos="0" relativeHeight="251986944" behindDoc="1" locked="0" layoutInCell="1" allowOverlap="1" wp14:anchorId="5B07CC13" wp14:editId="552CE691">
              <wp:simplePos x="0" y="0"/>
              <wp:positionH relativeFrom="page">
                <wp:posOffset>2373630</wp:posOffset>
              </wp:positionH>
              <wp:positionV relativeFrom="page">
                <wp:posOffset>315595</wp:posOffset>
              </wp:positionV>
              <wp:extent cx="2480945" cy="69850"/>
              <wp:effectExtent l="0" t="0" r="0" b="0"/>
              <wp:wrapNone/>
              <wp:docPr id="757" name="Shape 757"/>
              <wp:cNvGraphicFramePr/>
              <a:graphic xmlns:a="http://schemas.openxmlformats.org/drawingml/2006/main">
                <a:graphicData uri="http://schemas.microsoft.com/office/word/2010/wordprocessingShape">
                  <wps:wsp>
                    <wps:cNvSpPr txBox="1"/>
                    <wps:spPr>
                      <a:xfrm>
                        <a:off x="0" y="0"/>
                        <a:ext cx="2480945" cy="69850"/>
                      </a:xfrm>
                      <a:prstGeom prst="rect">
                        <a:avLst/>
                      </a:prstGeom>
                      <a:noFill/>
                    </wps:spPr>
                    <wps:txbx>
                      <w:txbxContent>
                        <w:p w14:paraId="69B9DE61" w14:textId="77777777" w:rsidR="00093A32" w:rsidRDefault="00093A32">
                          <w:pPr>
                            <w:pStyle w:val="Headerorfooter0"/>
                            <w:tabs>
                              <w:tab w:val="right" w:pos="3907"/>
                            </w:tabs>
                            <w:rPr>
                              <w:sz w:val="16"/>
                              <w:szCs w:val="16"/>
                            </w:rPr>
                          </w:pPr>
                          <w:r>
                            <w:t>CORONAVIRUS</w:t>
                          </w:r>
                          <w:r>
                            <w:tab/>
                          </w:r>
                          <w:r>
                            <w:rPr>
                              <w:sz w:val="16"/>
                              <w:szCs w:val="16"/>
                            </w:rPr>
                            <w:t>279</w:t>
                          </w:r>
                        </w:p>
                      </w:txbxContent>
                    </wps:txbx>
                    <wps:bodyPr lIns="0" tIns="0" rIns="0" bIns="0">
                      <a:spAutoFit/>
                    </wps:bodyPr>
                  </wps:wsp>
                </a:graphicData>
              </a:graphic>
            </wp:anchor>
          </w:drawing>
        </mc:Choice>
        <mc:Fallback>
          <w:pict>
            <v:shapetype w14:anchorId="5B07CC13" id="_x0000_t202" coordsize="21600,21600" o:spt="202" path="m,l,21600r21600,l21600,xe">
              <v:stroke joinstyle="miter"/>
              <v:path gradientshapeok="t" o:connecttype="rect"/>
            </v:shapetype>
            <v:shape id="Shape 757" o:spid="_x0000_s1131" type="#_x0000_t202" style="position:absolute;margin-left:186.9pt;margin-top:24.85pt;width:195.35pt;height:5.5pt;z-index:-2513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" filled="f" stroked="f">
              <v:textbox style="mso-fit-shape-to-text:t" inset="0,0,0,0">
                <w:txbxContent>
                  <w:p w14:paraId="69B9DE61" w14:textId="77777777" w:rsidR="00093A32" w:rsidRDefault="00093A32">
                    <w:pPr>
                      <w:pStyle w:val="Headerorfooter0"/>
                      <w:tabs>
                        <w:tab w:val="right" w:pos="3907"/>
                      </w:tabs>
                      <w:rPr>
                        <w:sz w:val="16"/>
                        <w:szCs w:val="16"/>
                      </w:rPr>
                    </w:pPr>
                    <w:r>
                      <w:t>CORONAVIRUS</w:t>
                    </w:r>
                    <w:r>
                      <w:tab/>
                    </w:r>
                    <w:r>
                      <w:rPr>
                        <w:sz w:val="16"/>
                        <w:szCs w:val="16"/>
                      </w:rPr>
                      <w:t>279</w:t>
                    </w:r>
                  </w:p>
                </w:txbxContent>
              </v:textbox>
              <w10:wrap anchorx="page" anchory="page"/>
            </v:shape>
          </w:pict>
        </mc:Fallback>
      </mc:AlternateContent>
    </w:r>
    <w:r>
      <w:rPr>
        <w:noProof/>
      </w:rPr>
      <mc:AlternateContent>
        <mc:Choice Requires="wps">
          <w:drawing>
            <wp:anchor distT="0" distB="0" distL="114300" distR="114300" simplePos="0" relativeHeight="251750400" behindDoc="1" locked="0" layoutInCell="1" allowOverlap="1" wp14:anchorId="36963792" wp14:editId="3BDEAF49">
              <wp:simplePos x="0" y="0"/>
              <wp:positionH relativeFrom="page">
                <wp:posOffset>517525</wp:posOffset>
              </wp:positionH>
              <wp:positionV relativeFrom="page">
                <wp:posOffset>424180</wp:posOffset>
              </wp:positionV>
              <wp:extent cx="4358640" cy="0"/>
              <wp:effectExtent l="0" t="0" r="0" b="0"/>
              <wp:wrapNone/>
              <wp:docPr id="759" name="Shape 75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F54C1F" id="_x0000_t32" coordsize="21600,21600" o:spt="32" o:oned="t" path="m,l21600,21600e" filled="f">
              <v:path arrowok="t" fillok="f" o:connecttype="none"/>
              <o:lock v:ext="edit" shapetype="t"/>
            </v:shapetype>
            <v:shape id="Shape 759" o:spid="_x0000_s1026" type="#_x0000_t32" style="position:absolute;margin-left:40.75pt;margin-top:33.4pt;width:343.2pt;height:0;z-index:-251566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8EC4" w14:textId="77777777" w:rsidR="00093A32" w:rsidRDefault="00093A32">
    <w:pPr>
      <w:spacing w:line="1" w:lineRule="exact"/>
    </w:pPr>
    <w:r>
      <w:rPr>
        <w:noProof/>
      </w:rPr>
      <mc:AlternateContent>
        <mc:Choice Requires="wps">
          <w:drawing>
            <wp:anchor distT="0" distB="0" distL="0" distR="0" simplePos="0" relativeHeight="251985920" behindDoc="1" locked="0" layoutInCell="1" allowOverlap="1" wp14:anchorId="68F755CA" wp14:editId="73A31127">
              <wp:simplePos x="0" y="0"/>
              <wp:positionH relativeFrom="page">
                <wp:posOffset>2373630</wp:posOffset>
              </wp:positionH>
              <wp:positionV relativeFrom="page">
                <wp:posOffset>315595</wp:posOffset>
              </wp:positionV>
              <wp:extent cx="2480945" cy="69850"/>
              <wp:effectExtent l="0" t="0" r="0" b="0"/>
              <wp:wrapNone/>
              <wp:docPr id="754" name="Shape 754"/>
              <wp:cNvGraphicFramePr/>
              <a:graphic xmlns:a="http://schemas.openxmlformats.org/drawingml/2006/main">
                <a:graphicData uri="http://schemas.microsoft.com/office/word/2010/wordprocessingShape">
                  <wps:wsp>
                    <wps:cNvSpPr txBox="1"/>
                    <wps:spPr>
                      <a:xfrm>
                        <a:off x="0" y="0"/>
                        <a:ext cx="2480945" cy="69850"/>
                      </a:xfrm>
                      <a:prstGeom prst="rect">
                        <a:avLst/>
                      </a:prstGeom>
                      <a:noFill/>
                    </wps:spPr>
                    <wps:txbx>
                      <w:txbxContent>
                        <w:p w14:paraId="6489BEEA" w14:textId="77777777" w:rsidR="00093A32" w:rsidRDefault="00093A32">
                          <w:pPr>
                            <w:pStyle w:val="Headerorfooter0"/>
                            <w:tabs>
                              <w:tab w:val="right" w:pos="3907"/>
                            </w:tabs>
                            <w:rPr>
                              <w:sz w:val="16"/>
                              <w:szCs w:val="16"/>
                            </w:rPr>
                          </w:pPr>
                          <w:r>
                            <w:t>CORONAVIRUS</w:t>
                          </w:r>
                          <w:r>
                            <w:tab/>
                          </w:r>
                          <w:r>
                            <w:rPr>
                              <w:sz w:val="16"/>
                              <w:szCs w:val="16"/>
                            </w:rPr>
                            <w:t>279</w:t>
                          </w:r>
                        </w:p>
                      </w:txbxContent>
                    </wps:txbx>
                    <wps:bodyPr lIns="0" tIns="0" rIns="0" bIns="0">
                      <a:spAutoFit/>
                    </wps:bodyPr>
                  </wps:wsp>
                </a:graphicData>
              </a:graphic>
            </wp:anchor>
          </w:drawing>
        </mc:Choice>
        <mc:Fallback>
          <w:pict>
            <v:shapetype w14:anchorId="68F755CA" id="_x0000_t202" coordsize="21600,21600" o:spt="202" path="m,l,21600r21600,l21600,xe">
              <v:stroke joinstyle="miter"/>
              <v:path gradientshapeok="t" o:connecttype="rect"/>
            </v:shapetype>
            <v:shape id="Shape 754" o:spid="_x0000_s1132" type="#_x0000_t202" style="position:absolute;margin-left:186.9pt;margin-top:24.85pt;width:195.35pt;height:5.5pt;z-index:-2513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" filled="f" stroked="f">
              <v:textbox style="mso-fit-shape-to-text:t" inset="0,0,0,0">
                <w:txbxContent>
                  <w:p w14:paraId="6489BEEA" w14:textId="77777777" w:rsidR="00093A32" w:rsidRDefault="00093A32">
                    <w:pPr>
                      <w:pStyle w:val="Headerorfooter0"/>
                      <w:tabs>
                        <w:tab w:val="right" w:pos="3907"/>
                      </w:tabs>
                      <w:rPr>
                        <w:sz w:val="16"/>
                        <w:szCs w:val="16"/>
                      </w:rPr>
                    </w:pPr>
                    <w:r>
                      <w:t>CORONAVIRUS</w:t>
                    </w:r>
                    <w:r>
                      <w:tab/>
                    </w:r>
                    <w:r>
                      <w:rPr>
                        <w:sz w:val="16"/>
                        <w:szCs w:val="16"/>
                      </w:rPr>
                      <w:t>279</w:t>
                    </w:r>
                  </w:p>
                </w:txbxContent>
              </v:textbox>
              <w10:wrap anchorx="page" anchory="page"/>
            </v:shape>
          </w:pict>
        </mc:Fallback>
      </mc:AlternateContent>
    </w:r>
    <w:r>
      <w:rPr>
        <w:noProof/>
      </w:rPr>
      <mc:AlternateContent>
        <mc:Choice Requires="wps">
          <w:drawing>
            <wp:anchor distT="0" distB="0" distL="114300" distR="114300" simplePos="0" relativeHeight="251749376" behindDoc="1" locked="0" layoutInCell="1" allowOverlap="1" wp14:anchorId="51D5FF27" wp14:editId="19AA49EC">
              <wp:simplePos x="0" y="0"/>
              <wp:positionH relativeFrom="page">
                <wp:posOffset>517525</wp:posOffset>
              </wp:positionH>
              <wp:positionV relativeFrom="page">
                <wp:posOffset>424180</wp:posOffset>
              </wp:positionV>
              <wp:extent cx="4358640" cy="0"/>
              <wp:effectExtent l="0" t="0" r="0" b="0"/>
              <wp:wrapNone/>
              <wp:docPr id="756" name="Shape 75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483855E" id="_x0000_t32" coordsize="21600,21600" o:spt="32" o:oned="t" path="m,l21600,21600e" filled="f">
              <v:path arrowok="t" fillok="f" o:connecttype="none"/>
              <o:lock v:ext="edit" shapetype="t"/>
            </v:shapetype>
            <v:shape id="Shape 756" o:spid="_x0000_s1026" type="#_x0000_t32" style="position:absolute;margin-left:40.75pt;margin-top:33.4pt;width:343.2pt;height:0;z-index:-2515671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FED5" w14:textId="77777777" w:rsidR="00093A32" w:rsidRDefault="00093A32">
    <w:pPr>
      <w:spacing w:line="1" w:lineRule="exact"/>
    </w:pPr>
    <w:r>
      <w:rPr>
        <w:noProof/>
      </w:rPr>
      <mc:AlternateContent>
        <mc:Choice Requires="wps">
          <w:drawing>
            <wp:anchor distT="0" distB="0" distL="0" distR="0" simplePos="0" relativeHeight="251987968" behindDoc="1" locked="0" layoutInCell="1" allowOverlap="1" wp14:anchorId="34E2928A" wp14:editId="731C8DA0">
              <wp:simplePos x="0" y="0"/>
              <wp:positionH relativeFrom="page">
                <wp:posOffset>532765</wp:posOffset>
              </wp:positionH>
              <wp:positionV relativeFrom="page">
                <wp:posOffset>291465</wp:posOffset>
              </wp:positionV>
              <wp:extent cx="2764790" cy="94615"/>
              <wp:effectExtent l="0" t="0" r="0" b="0"/>
              <wp:wrapNone/>
              <wp:docPr id="760" name="Shape 760"/>
              <wp:cNvGraphicFramePr/>
              <a:graphic xmlns:a="http://schemas.openxmlformats.org/drawingml/2006/main">
                <a:graphicData uri="http://schemas.microsoft.com/office/word/2010/wordprocessingShape">
                  <wps:wsp>
                    <wps:cNvSpPr txBox="1"/>
                    <wps:spPr>
                      <a:xfrm>
                        <a:off x="0" y="0"/>
                        <a:ext cx="2764790" cy="94615"/>
                      </a:xfrm>
                      <a:prstGeom prst="rect">
                        <a:avLst/>
                      </a:prstGeom>
                      <a:noFill/>
                    </wps:spPr>
                    <wps:txbx>
                      <w:txbxContent>
                        <w:p w14:paraId="00B9CD16" w14:textId="77777777" w:rsidR="00093A32" w:rsidRDefault="00093A32">
                          <w:pPr>
                            <w:pStyle w:val="Headerorfooter0"/>
                            <w:tabs>
                              <w:tab w:val="right" w:pos="4354"/>
                            </w:tabs>
                          </w:pPr>
                          <w:r>
                            <w:rPr>
                              <w:sz w:val="16"/>
                              <w:szCs w:val="16"/>
                            </w:rPr>
                            <w:t>282</w:t>
                          </w:r>
                          <w:r>
                            <w:rPr>
                              <w:sz w:val="16"/>
                              <w:szCs w:val="16"/>
                            </w:rPr>
                            <w:tab/>
                          </w:r>
                          <w:r>
                            <w:t xml:space="preserve">CUTÁNEA, </w:t>
                          </w:r>
                          <w:r>
                            <w:rPr>
                              <w:i/>
                              <w:iCs/>
                            </w:rPr>
                            <w:t>LARVA MIGRANS</w:t>
                          </w:r>
                        </w:p>
                      </w:txbxContent>
                    </wps:txbx>
                    <wps:bodyPr lIns="0" tIns="0" rIns="0" bIns="0">
                      <a:spAutoFit/>
                    </wps:bodyPr>
                  </wps:wsp>
                </a:graphicData>
              </a:graphic>
            </wp:anchor>
          </w:drawing>
        </mc:Choice>
        <mc:Fallback>
          <w:pict>
            <v:shapetype w14:anchorId="34E2928A" id="_x0000_t202" coordsize="21600,21600" o:spt="202" path="m,l,21600r21600,l21600,xe">
              <v:stroke joinstyle="miter"/>
              <v:path gradientshapeok="t" o:connecttype="rect"/>
            </v:shapetype>
            <v:shape id="Shape 760" o:spid="_x0000_s1133" type="#_x0000_t202" style="position:absolute;margin-left:41.95pt;margin-top:22.95pt;width:217.7pt;height:7.45pt;z-index:-2513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" filled="f" stroked="f">
              <v:textbox style="mso-fit-shape-to-text:t" inset="0,0,0,0">
                <w:txbxContent>
                  <w:p w14:paraId="00B9CD16" w14:textId="77777777" w:rsidR="00093A32" w:rsidRDefault="00093A32">
                    <w:pPr>
                      <w:pStyle w:val="Headerorfooter0"/>
                      <w:tabs>
                        <w:tab w:val="right" w:pos="4354"/>
                      </w:tabs>
                    </w:pPr>
                    <w:r>
                      <w:rPr>
                        <w:sz w:val="16"/>
                        <w:szCs w:val="16"/>
                      </w:rPr>
                      <w:t>282</w:t>
                    </w:r>
                    <w:r>
                      <w:rPr>
                        <w:sz w:val="16"/>
                        <w:szCs w:val="16"/>
                      </w:rPr>
                      <w:tab/>
                    </w:r>
                    <w:r>
                      <w:t xml:space="preserve">CUTÁNEA, </w:t>
                    </w:r>
                    <w:r>
                      <w:rPr>
                        <w:i/>
                        <w:iCs/>
                      </w:rPr>
                      <w:t>LARVA MIGRANS</w:t>
                    </w:r>
                  </w:p>
                </w:txbxContent>
              </v:textbox>
              <w10:wrap anchorx="page" anchory="page"/>
            </v:shape>
          </w:pict>
        </mc:Fallback>
      </mc:AlternateContent>
    </w:r>
    <w:r>
      <w:rPr>
        <w:noProof/>
      </w:rPr>
      <mc:AlternateContent>
        <mc:Choice Requires="wps">
          <w:drawing>
            <wp:anchor distT="0" distB="0" distL="114300" distR="114300" simplePos="0" relativeHeight="251751424" behindDoc="1" locked="0" layoutInCell="1" allowOverlap="1" wp14:anchorId="297216A2" wp14:editId="18DB00B9">
              <wp:simplePos x="0" y="0"/>
              <wp:positionH relativeFrom="page">
                <wp:posOffset>517525</wp:posOffset>
              </wp:positionH>
              <wp:positionV relativeFrom="page">
                <wp:posOffset>414655</wp:posOffset>
              </wp:positionV>
              <wp:extent cx="4358640" cy="0"/>
              <wp:effectExtent l="0" t="0" r="0" b="0"/>
              <wp:wrapNone/>
              <wp:docPr id="762" name="Shape 76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375E9D" id="_x0000_t32" coordsize="21600,21600" o:spt="32" o:oned="t" path="m,l21600,21600e" filled="f">
              <v:path arrowok="t" fillok="f" o:connecttype="none"/>
              <o:lock v:ext="edit" shapetype="t"/>
            </v:shapetype>
            <v:shape id="Shape 762" o:spid="_x0000_s1026" type="#_x0000_t32" style="position:absolute;margin-left:40.75pt;margin-top:32.65pt;width:343.2pt;height:0;z-index:-2515650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1AA5" w14:textId="77777777" w:rsidR="00093A32" w:rsidRDefault="00093A32">
    <w:pPr>
      <w:spacing w:line="1" w:lineRule="exact"/>
    </w:pPr>
    <w:r>
      <w:rPr>
        <w:noProof/>
      </w:rPr>
      <mc:AlternateContent>
        <mc:Choice Requires="wps">
          <w:drawing>
            <wp:anchor distT="0" distB="0" distL="0" distR="0" simplePos="0" relativeHeight="251990016" behindDoc="1" locked="0" layoutInCell="1" allowOverlap="1" wp14:anchorId="24B771B4" wp14:editId="2C91DE95">
              <wp:simplePos x="0" y="0"/>
              <wp:positionH relativeFrom="page">
                <wp:posOffset>1670050</wp:posOffset>
              </wp:positionH>
              <wp:positionV relativeFrom="page">
                <wp:posOffset>306705</wp:posOffset>
              </wp:positionV>
              <wp:extent cx="3169920" cy="79375"/>
              <wp:effectExtent l="0" t="0" r="0" b="0"/>
              <wp:wrapNone/>
              <wp:docPr id="766" name="Shape 766"/>
              <wp:cNvGraphicFramePr/>
              <a:graphic xmlns:a="http://schemas.openxmlformats.org/drawingml/2006/main">
                <a:graphicData uri="http://schemas.microsoft.com/office/word/2010/wordprocessingShape">
                  <wps:wsp>
                    <wps:cNvSpPr txBox="1"/>
                    <wps:spPr>
                      <a:xfrm>
                        <a:off x="0" y="0"/>
                        <a:ext cx="3169920" cy="79375"/>
                      </a:xfrm>
                      <a:prstGeom prst="rect">
                        <a:avLst/>
                      </a:prstGeom>
                      <a:noFill/>
                    </wps:spPr>
                    <wps:txbx>
                      <w:txbxContent>
                        <w:p w14:paraId="02B291DF"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wps:txbx>
                    <wps:bodyPr lIns="0" tIns="0" rIns="0" bIns="0">
                      <a:spAutoFit/>
                    </wps:bodyPr>
                  </wps:wsp>
                </a:graphicData>
              </a:graphic>
            </wp:anchor>
          </w:drawing>
        </mc:Choice>
        <mc:Fallback>
          <w:pict>
            <v:shapetype w14:anchorId="24B771B4" id="_x0000_t202" coordsize="21600,21600" o:spt="202" path="m,l,21600r21600,l21600,xe">
              <v:stroke joinstyle="miter"/>
              <v:path gradientshapeok="t" o:connecttype="rect"/>
            </v:shapetype>
            <v:shape id="Shape 766" o:spid="_x0000_s1134" type="#_x0000_t202" style="position:absolute;margin-left:131.5pt;margin-top:24.15pt;width:249.6pt;height:6.25pt;z-index:-2513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" filled="f" stroked="f">
              <v:textbox style="mso-fit-shape-to-text:t" inset="0,0,0,0">
                <w:txbxContent>
                  <w:p w14:paraId="02B291DF"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v:textbox>
              <w10:wrap anchorx="page" anchory="page"/>
            </v:shape>
          </w:pict>
        </mc:Fallback>
      </mc:AlternateContent>
    </w:r>
    <w:r>
      <w:rPr>
        <w:noProof/>
      </w:rPr>
      <mc:AlternateContent>
        <mc:Choice Requires="wps">
          <w:drawing>
            <wp:anchor distT="0" distB="0" distL="114300" distR="114300" simplePos="0" relativeHeight="251753472" behindDoc="1" locked="0" layoutInCell="1" allowOverlap="1" wp14:anchorId="7314CBF3" wp14:editId="7FE1109A">
              <wp:simplePos x="0" y="0"/>
              <wp:positionH relativeFrom="page">
                <wp:posOffset>517525</wp:posOffset>
              </wp:positionH>
              <wp:positionV relativeFrom="page">
                <wp:posOffset>414655</wp:posOffset>
              </wp:positionV>
              <wp:extent cx="4358640" cy="0"/>
              <wp:effectExtent l="0" t="0" r="0" b="0"/>
              <wp:wrapNone/>
              <wp:docPr id="768" name="Shape 76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5D7EC8" id="_x0000_t32" coordsize="21600,21600" o:spt="32" o:oned="t" path="m,l21600,21600e" filled="f">
              <v:path arrowok="t" fillok="f" o:connecttype="none"/>
              <o:lock v:ext="edit" shapetype="t"/>
            </v:shapetype>
            <v:shape id="Shape 768" o:spid="_x0000_s1026" type="#_x0000_t32" style="position:absolute;margin-left:40.75pt;margin-top:32.65pt;width:343.2pt;height:0;z-index:-2515630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4B7F" w14:textId="77777777" w:rsidR="00093A32" w:rsidRDefault="00093A32">
    <w:pPr>
      <w:spacing w:line="1" w:lineRule="exact"/>
    </w:pPr>
    <w:r>
      <w:rPr>
        <w:noProof/>
      </w:rPr>
      <mc:AlternateContent>
        <mc:Choice Requires="wps">
          <w:drawing>
            <wp:anchor distT="0" distB="0" distL="0" distR="0" simplePos="0" relativeHeight="251988992" behindDoc="1" locked="0" layoutInCell="1" allowOverlap="1" wp14:anchorId="7846D05D" wp14:editId="4FB479B1">
              <wp:simplePos x="0" y="0"/>
              <wp:positionH relativeFrom="page">
                <wp:posOffset>1670050</wp:posOffset>
              </wp:positionH>
              <wp:positionV relativeFrom="page">
                <wp:posOffset>306705</wp:posOffset>
              </wp:positionV>
              <wp:extent cx="3169920" cy="79375"/>
              <wp:effectExtent l="0" t="0" r="0" b="0"/>
              <wp:wrapNone/>
              <wp:docPr id="763" name="Shape 763"/>
              <wp:cNvGraphicFramePr/>
              <a:graphic xmlns:a="http://schemas.openxmlformats.org/drawingml/2006/main">
                <a:graphicData uri="http://schemas.microsoft.com/office/word/2010/wordprocessingShape">
                  <wps:wsp>
                    <wps:cNvSpPr txBox="1"/>
                    <wps:spPr>
                      <a:xfrm>
                        <a:off x="0" y="0"/>
                        <a:ext cx="3169920" cy="79375"/>
                      </a:xfrm>
                      <a:prstGeom prst="rect">
                        <a:avLst/>
                      </a:prstGeom>
                      <a:noFill/>
                    </wps:spPr>
                    <wps:txbx>
                      <w:txbxContent>
                        <w:p w14:paraId="76980071"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wps:txbx>
                    <wps:bodyPr lIns="0" tIns="0" rIns="0" bIns="0">
                      <a:spAutoFit/>
                    </wps:bodyPr>
                  </wps:wsp>
                </a:graphicData>
              </a:graphic>
            </wp:anchor>
          </w:drawing>
        </mc:Choice>
        <mc:Fallback>
          <w:pict>
            <v:shapetype w14:anchorId="7846D05D" id="_x0000_t202" coordsize="21600,21600" o:spt="202" path="m,l,21600r21600,l21600,xe">
              <v:stroke joinstyle="miter"/>
              <v:path gradientshapeok="t" o:connecttype="rect"/>
            </v:shapetype>
            <v:shape id="Shape 763" o:spid="_x0000_s1135" type="#_x0000_t202" style="position:absolute;margin-left:131.5pt;margin-top:24.15pt;width:249.6pt;height:6.25pt;z-index:-2513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" filled="f" stroked="f">
              <v:textbox style="mso-fit-shape-to-text:t" inset="0,0,0,0">
                <w:txbxContent>
                  <w:p w14:paraId="76980071" w14:textId="77777777" w:rsidR="00093A32" w:rsidRDefault="00093A32">
                    <w:pPr>
                      <w:pStyle w:val="Headerorfooter0"/>
                      <w:tabs>
                        <w:tab w:val="right" w:pos="4992"/>
                      </w:tabs>
                      <w:rPr>
                        <w:sz w:val="16"/>
                        <w:szCs w:val="16"/>
                      </w:rPr>
                    </w:pPr>
                    <w:r>
                      <w:rPr>
                        <w:i/>
                        <w:iCs/>
                      </w:rPr>
                      <w:t>CRYPTOCOCCUS NEOFORMANS,</w:t>
                    </w:r>
                    <w:r>
                      <w:t xml:space="preserve"> INFECCIONES</w:t>
                    </w:r>
                    <w:r>
                      <w:tab/>
                    </w:r>
                    <w:r>
                      <w:rPr>
                        <w:sz w:val="16"/>
                        <w:szCs w:val="16"/>
                      </w:rPr>
                      <w:t>281</w:t>
                    </w:r>
                  </w:p>
                </w:txbxContent>
              </v:textbox>
              <w10:wrap anchorx="page" anchory="page"/>
            </v:shape>
          </w:pict>
        </mc:Fallback>
      </mc:AlternateContent>
    </w:r>
    <w:r>
      <w:rPr>
        <w:noProof/>
      </w:rPr>
      <mc:AlternateContent>
        <mc:Choice Requires="wps">
          <w:drawing>
            <wp:anchor distT="0" distB="0" distL="114300" distR="114300" simplePos="0" relativeHeight="251752448" behindDoc="1" locked="0" layoutInCell="1" allowOverlap="1" wp14:anchorId="59AD6985" wp14:editId="6CB5F492">
              <wp:simplePos x="0" y="0"/>
              <wp:positionH relativeFrom="page">
                <wp:posOffset>517525</wp:posOffset>
              </wp:positionH>
              <wp:positionV relativeFrom="page">
                <wp:posOffset>414655</wp:posOffset>
              </wp:positionV>
              <wp:extent cx="4358640" cy="0"/>
              <wp:effectExtent l="0" t="0" r="0" b="0"/>
              <wp:wrapNone/>
              <wp:docPr id="765" name="Shape 76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021FE93" id="_x0000_t32" coordsize="21600,21600" o:spt="32" o:oned="t" path="m,l21600,21600e" filled="f">
              <v:path arrowok="t" fillok="f" o:connecttype="none"/>
              <o:lock v:ext="edit" shapetype="t"/>
            </v:shapetype>
            <v:shape id="Shape 765" o:spid="_x0000_s1026" type="#_x0000_t32" style="position:absolute;margin-left:40.75pt;margin-top:32.65pt;width:343.2pt;height:0;z-index:-251564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FF5F" w14:textId="77777777" w:rsidR="00093A32" w:rsidRDefault="00093A32">
    <w:pPr>
      <w:spacing w:line="1" w:lineRule="exact"/>
    </w:pPr>
    <w:r>
      <w:rPr>
        <w:noProof/>
      </w:rPr>
      <mc:AlternateContent>
        <mc:Choice Requires="wps">
          <w:drawing>
            <wp:anchor distT="0" distB="0" distL="0" distR="0" simplePos="0" relativeHeight="251991040" behindDoc="1" locked="0" layoutInCell="1" allowOverlap="1" wp14:anchorId="1B747C67" wp14:editId="5ED53C87">
              <wp:simplePos x="0" y="0"/>
              <wp:positionH relativeFrom="page">
                <wp:posOffset>537210</wp:posOffset>
              </wp:positionH>
              <wp:positionV relativeFrom="page">
                <wp:posOffset>315595</wp:posOffset>
              </wp:positionV>
              <wp:extent cx="2614930" cy="69850"/>
              <wp:effectExtent l="0" t="0" r="0" b="0"/>
              <wp:wrapNone/>
              <wp:docPr id="769" name="Shape 769"/>
              <wp:cNvGraphicFramePr/>
              <a:graphic xmlns:a="http://schemas.openxmlformats.org/drawingml/2006/main">
                <a:graphicData uri="http://schemas.microsoft.com/office/word/2010/wordprocessingShape">
                  <wps:wsp>
                    <wps:cNvSpPr txBox="1"/>
                    <wps:spPr>
                      <a:xfrm>
                        <a:off x="0" y="0"/>
                        <a:ext cx="2614930" cy="69850"/>
                      </a:xfrm>
                      <a:prstGeom prst="rect">
                        <a:avLst/>
                      </a:prstGeom>
                      <a:noFill/>
                    </wps:spPr>
                    <wps:txbx>
                      <w:txbxContent>
                        <w:p w14:paraId="3B5287BD" w14:textId="77777777" w:rsidR="00093A32" w:rsidRDefault="00093A32">
                          <w:pPr>
                            <w:pStyle w:val="Headerorfooter0"/>
                            <w:tabs>
                              <w:tab w:val="right" w:pos="4118"/>
                            </w:tabs>
                          </w:pPr>
                          <w:r>
                            <w:rPr>
                              <w:sz w:val="16"/>
                              <w:szCs w:val="16"/>
                            </w:rPr>
                            <w:t>280</w:t>
                          </w:r>
                          <w:r>
                            <w:rPr>
                              <w:sz w:val="16"/>
                              <w:szCs w:val="16"/>
                            </w:rPr>
                            <w:tab/>
                          </w:r>
                          <w:r>
                            <w:t>CRIPTOSPORIDIOSIS</w:t>
                          </w:r>
                        </w:p>
                      </w:txbxContent>
                    </wps:txbx>
                    <wps:bodyPr lIns="0" tIns="0" rIns="0" bIns="0">
                      <a:spAutoFit/>
                    </wps:bodyPr>
                  </wps:wsp>
                </a:graphicData>
              </a:graphic>
            </wp:anchor>
          </w:drawing>
        </mc:Choice>
        <mc:Fallback>
          <w:pict>
            <v:shapetype w14:anchorId="1B747C67" id="_x0000_t202" coordsize="21600,21600" o:spt="202" path="m,l,21600r21600,l21600,xe">
              <v:stroke joinstyle="miter"/>
              <v:path gradientshapeok="t" o:connecttype="rect"/>
            </v:shapetype>
            <v:shape id="Shape 769" o:spid="_x0000_s1136" type="#_x0000_t202" style="position:absolute;margin-left:42.3pt;margin-top:24.85pt;width:205.9pt;height:5.5pt;z-index:-2513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" filled="f" stroked="f">
              <v:textbox style="mso-fit-shape-to-text:t" inset="0,0,0,0">
                <w:txbxContent>
                  <w:p w14:paraId="3B5287BD" w14:textId="77777777" w:rsidR="00093A32" w:rsidRDefault="00093A32">
                    <w:pPr>
                      <w:pStyle w:val="Headerorfooter0"/>
                      <w:tabs>
                        <w:tab w:val="right" w:pos="4118"/>
                      </w:tabs>
                    </w:pPr>
                    <w:r>
                      <w:rPr>
                        <w:sz w:val="16"/>
                        <w:szCs w:val="16"/>
                      </w:rPr>
                      <w:t>280</w:t>
                    </w:r>
                    <w:r>
                      <w:rPr>
                        <w:sz w:val="16"/>
                        <w:szCs w:val="16"/>
                      </w:rPr>
                      <w:tab/>
                    </w:r>
                    <w:r>
                      <w:t>CRIPTOSPORIDIOSIS</w:t>
                    </w:r>
                  </w:p>
                </w:txbxContent>
              </v:textbox>
              <w10:wrap anchorx="page" anchory="page"/>
            </v:shape>
          </w:pict>
        </mc:Fallback>
      </mc:AlternateContent>
    </w:r>
    <w:r>
      <w:rPr>
        <w:noProof/>
      </w:rPr>
      <mc:AlternateContent>
        <mc:Choice Requires="wps">
          <w:drawing>
            <wp:anchor distT="0" distB="0" distL="114300" distR="114300" simplePos="0" relativeHeight="251754496" behindDoc="1" locked="0" layoutInCell="1" allowOverlap="1" wp14:anchorId="35800154" wp14:editId="0ABFB7C7">
              <wp:simplePos x="0" y="0"/>
              <wp:positionH relativeFrom="page">
                <wp:posOffset>521970</wp:posOffset>
              </wp:positionH>
              <wp:positionV relativeFrom="page">
                <wp:posOffset>424180</wp:posOffset>
              </wp:positionV>
              <wp:extent cx="4358640" cy="0"/>
              <wp:effectExtent l="0" t="0" r="0" b="0"/>
              <wp:wrapNone/>
              <wp:docPr id="771" name="Shape 77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2C3D32" id="_x0000_t32" coordsize="21600,21600" o:spt="32" o:oned="t" path="m,l21600,21600e" filled="f">
              <v:path arrowok="t" fillok="f" o:connecttype="none"/>
              <o:lock v:ext="edit" shapetype="t"/>
            </v:shapetype>
            <v:shape id="Shape 771" o:spid="_x0000_s1026" type="#_x0000_t32" style="position:absolute;margin-left:41.1pt;margin-top:33.4pt;width:343.2pt;height:0;z-index:-251561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JOpa&#10;9tkAAAAIAQAADwAAAAAAAAAAAAAAAADCAwAAZHJzL2Rvd25yZXYueG1sUEsFBgAAAAAEAAQA8wAA&#10;AMgEAAAAAA==&#10;" strokeweight="1pt">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3F56" w14:textId="77777777" w:rsidR="00093A32" w:rsidRDefault="00093A32">
    <w:pPr>
      <w:spacing w:line="1" w:lineRule="exact"/>
    </w:pPr>
    <w:r>
      <w:rPr>
        <w:noProof/>
      </w:rPr>
      <mc:AlternateContent>
        <mc:Choice Requires="wps">
          <w:drawing>
            <wp:anchor distT="0" distB="0" distL="0" distR="0" simplePos="0" relativeHeight="251993088" behindDoc="1" locked="0" layoutInCell="1" allowOverlap="1" wp14:anchorId="77FA12F9" wp14:editId="4FB6D7D0">
              <wp:simplePos x="0" y="0"/>
              <wp:positionH relativeFrom="page">
                <wp:posOffset>2063115</wp:posOffset>
              </wp:positionH>
              <wp:positionV relativeFrom="page">
                <wp:posOffset>306705</wp:posOffset>
              </wp:positionV>
              <wp:extent cx="2788920" cy="79375"/>
              <wp:effectExtent l="0" t="0" r="0" b="0"/>
              <wp:wrapNone/>
              <wp:docPr id="775" name="Shape 775"/>
              <wp:cNvGraphicFramePr/>
              <a:graphic xmlns:a="http://schemas.openxmlformats.org/drawingml/2006/main">
                <a:graphicData uri="http://schemas.microsoft.com/office/word/2010/wordprocessingShape">
                  <wps:wsp>
                    <wps:cNvSpPr txBox="1"/>
                    <wps:spPr>
                      <a:xfrm>
                        <a:off x="0" y="0"/>
                        <a:ext cx="2788920" cy="79375"/>
                      </a:xfrm>
                      <a:prstGeom prst="rect">
                        <a:avLst/>
                      </a:prstGeom>
                      <a:noFill/>
                    </wps:spPr>
                    <wps:txbx>
                      <w:txbxContent>
                        <w:p w14:paraId="4EACAB56" w14:textId="77777777" w:rsidR="00093A32" w:rsidRDefault="00093A32">
                          <w:pPr>
                            <w:pStyle w:val="Headerorfooter0"/>
                            <w:tabs>
                              <w:tab w:val="right" w:pos="4392"/>
                            </w:tabs>
                            <w:rPr>
                              <w:sz w:val="16"/>
                              <w:szCs w:val="16"/>
                            </w:rPr>
                          </w:pPr>
                          <w:r>
                            <w:rPr>
                              <w:i/>
                              <w:iCs/>
                            </w:rPr>
                            <w:t>CYCLOSPORA,</w:t>
                          </w:r>
                          <w:r>
                            <w:t xml:space="preserve"> INFECCIONES</w:t>
                          </w:r>
                          <w:r>
                            <w:tab/>
                          </w:r>
                          <w:r>
                            <w:rPr>
                              <w:sz w:val="16"/>
                              <w:szCs w:val="16"/>
                            </w:rPr>
                            <w:t>283</w:t>
                          </w:r>
                        </w:p>
                      </w:txbxContent>
                    </wps:txbx>
                    <wps:bodyPr lIns="0" tIns="0" rIns="0" bIns="0">
                      <a:spAutoFit/>
                    </wps:bodyPr>
                  </wps:wsp>
                </a:graphicData>
              </a:graphic>
            </wp:anchor>
          </w:drawing>
        </mc:Choice>
        <mc:Fallback>
          <w:pict>
            <v:shapetype w14:anchorId="77FA12F9" id="_x0000_t202" coordsize="21600,21600" o:spt="202" path="m,l,21600r21600,l21600,xe">
              <v:stroke joinstyle="miter"/>
              <v:path gradientshapeok="t" o:connecttype="rect"/>
            </v:shapetype>
            <v:shape id="Shape 775" o:spid="_x0000_s1137" type="#_x0000_t202" style="position:absolute;margin-left:162.45pt;margin-top:24.15pt;width:219.6pt;height:6.25pt;z-index:-2513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" filled="f" stroked="f">
              <v:textbox style="mso-fit-shape-to-text:t" inset="0,0,0,0">
                <w:txbxContent>
                  <w:p w14:paraId="4EACAB56" w14:textId="77777777" w:rsidR="00093A32" w:rsidRDefault="00093A32">
                    <w:pPr>
                      <w:pStyle w:val="Headerorfooter0"/>
                      <w:tabs>
                        <w:tab w:val="right" w:pos="4392"/>
                      </w:tabs>
                      <w:rPr>
                        <w:sz w:val="16"/>
                        <w:szCs w:val="16"/>
                      </w:rPr>
                    </w:pPr>
                    <w:r>
                      <w:rPr>
                        <w:i/>
                        <w:iCs/>
                      </w:rPr>
                      <w:t>CYCLOSPORA,</w:t>
                    </w:r>
                    <w:r>
                      <w:t xml:space="preserve"> INFECCIONES</w:t>
                    </w:r>
                    <w:r>
                      <w:tab/>
                    </w:r>
                    <w:r>
                      <w:rPr>
                        <w:sz w:val="16"/>
                        <w:szCs w:val="16"/>
                      </w:rPr>
                      <w:t>283</w:t>
                    </w:r>
                  </w:p>
                </w:txbxContent>
              </v:textbox>
              <w10:wrap anchorx="page" anchory="page"/>
            </v:shape>
          </w:pict>
        </mc:Fallback>
      </mc:AlternateContent>
    </w:r>
    <w:r>
      <w:rPr>
        <w:noProof/>
      </w:rPr>
      <mc:AlternateContent>
        <mc:Choice Requires="wps">
          <w:drawing>
            <wp:anchor distT="0" distB="0" distL="114300" distR="114300" simplePos="0" relativeHeight="251756544" behindDoc="1" locked="0" layoutInCell="1" allowOverlap="1" wp14:anchorId="34821C0F" wp14:editId="7E7B2896">
              <wp:simplePos x="0" y="0"/>
              <wp:positionH relativeFrom="page">
                <wp:posOffset>514350</wp:posOffset>
              </wp:positionH>
              <wp:positionV relativeFrom="page">
                <wp:posOffset>414655</wp:posOffset>
              </wp:positionV>
              <wp:extent cx="4358640" cy="0"/>
              <wp:effectExtent l="0" t="0" r="0" b="0"/>
              <wp:wrapNone/>
              <wp:docPr id="777" name="Shape 77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C0EE093" id="_x0000_t32" coordsize="21600,21600" o:spt="32" o:oned="t" path="m,l21600,21600e" filled="f">
              <v:path arrowok="t" fillok="f" o:connecttype="none"/>
              <o:lock v:ext="edit" shapetype="t"/>
            </v:shapetype>
            <v:shape id="Shape 777" o:spid="_x0000_s1026" type="#_x0000_t32" style="position:absolute;margin-left:40.5pt;margin-top:32.65pt;width:343.2pt;height:0;z-index:-2515599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F1F1" w14:textId="77777777" w:rsidR="00093A32" w:rsidRDefault="00093A32">
    <w:pPr>
      <w:spacing w:line="1" w:lineRule="exact"/>
    </w:pPr>
    <w:r>
      <w:rPr>
        <w:noProof/>
      </w:rPr>
      <mc:AlternateContent>
        <mc:Choice Requires="wps">
          <w:drawing>
            <wp:anchor distT="0" distB="0" distL="0" distR="0" simplePos="0" relativeHeight="251992064" behindDoc="1" locked="0" layoutInCell="1" allowOverlap="1" wp14:anchorId="55D10B16" wp14:editId="4FA329ED">
              <wp:simplePos x="0" y="0"/>
              <wp:positionH relativeFrom="page">
                <wp:posOffset>2063115</wp:posOffset>
              </wp:positionH>
              <wp:positionV relativeFrom="page">
                <wp:posOffset>306705</wp:posOffset>
              </wp:positionV>
              <wp:extent cx="2788920" cy="79375"/>
              <wp:effectExtent l="0" t="0" r="0" b="0"/>
              <wp:wrapNone/>
              <wp:docPr id="772" name="Shape 772"/>
              <wp:cNvGraphicFramePr/>
              <a:graphic xmlns:a="http://schemas.openxmlformats.org/drawingml/2006/main">
                <a:graphicData uri="http://schemas.microsoft.com/office/word/2010/wordprocessingShape">
                  <wps:wsp>
                    <wps:cNvSpPr txBox="1"/>
                    <wps:spPr>
                      <a:xfrm>
                        <a:off x="0" y="0"/>
                        <a:ext cx="2788920" cy="79375"/>
                      </a:xfrm>
                      <a:prstGeom prst="rect">
                        <a:avLst/>
                      </a:prstGeom>
                      <a:noFill/>
                    </wps:spPr>
                    <wps:txbx>
                      <w:txbxContent>
                        <w:p w14:paraId="1CAD27C2" w14:textId="77777777" w:rsidR="00093A32" w:rsidRDefault="00093A32">
                          <w:pPr>
                            <w:pStyle w:val="Headerorfooter0"/>
                            <w:tabs>
                              <w:tab w:val="right" w:pos="4392"/>
                            </w:tabs>
                            <w:rPr>
                              <w:sz w:val="16"/>
                              <w:szCs w:val="16"/>
                            </w:rPr>
                          </w:pPr>
                          <w:r>
                            <w:rPr>
                              <w:i/>
                              <w:iCs/>
                            </w:rPr>
                            <w:t>CYCLOSPORA,</w:t>
                          </w:r>
                          <w:r>
                            <w:t xml:space="preserve"> INFECCIONES</w:t>
                          </w:r>
                          <w:r>
                            <w:tab/>
                          </w:r>
                          <w:r>
                            <w:rPr>
                              <w:sz w:val="16"/>
                              <w:szCs w:val="16"/>
                            </w:rPr>
                            <w:t>283</w:t>
                          </w:r>
                        </w:p>
                      </w:txbxContent>
                    </wps:txbx>
                    <wps:bodyPr lIns="0" tIns="0" rIns="0" bIns="0">
                      <a:spAutoFit/>
                    </wps:bodyPr>
                  </wps:wsp>
                </a:graphicData>
              </a:graphic>
            </wp:anchor>
          </w:drawing>
        </mc:Choice>
        <mc:Fallback>
          <w:pict>
            <v:shapetype w14:anchorId="55D10B16" id="_x0000_t202" coordsize="21600,21600" o:spt="202" path="m,l,21600r21600,l21600,xe">
              <v:stroke joinstyle="miter"/>
              <v:path gradientshapeok="t" o:connecttype="rect"/>
            </v:shapetype>
            <v:shape id="Shape 772" o:spid="_x0000_s1138" type="#_x0000_t202" style="position:absolute;margin-left:162.45pt;margin-top:24.15pt;width:219.6pt;height:6.25pt;z-index:-2513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" filled="f" stroked="f">
              <v:textbox style="mso-fit-shape-to-text:t" inset="0,0,0,0">
                <w:txbxContent>
                  <w:p w14:paraId="1CAD27C2" w14:textId="77777777" w:rsidR="00093A32" w:rsidRDefault="00093A32">
                    <w:pPr>
                      <w:pStyle w:val="Headerorfooter0"/>
                      <w:tabs>
                        <w:tab w:val="right" w:pos="4392"/>
                      </w:tabs>
                      <w:rPr>
                        <w:sz w:val="16"/>
                        <w:szCs w:val="16"/>
                      </w:rPr>
                    </w:pPr>
                    <w:r>
                      <w:rPr>
                        <w:i/>
                        <w:iCs/>
                      </w:rPr>
                      <w:t>CYCLOSPORA,</w:t>
                    </w:r>
                    <w:r>
                      <w:t xml:space="preserve"> INFECCIONES</w:t>
                    </w:r>
                    <w:r>
                      <w:tab/>
                    </w:r>
                    <w:r>
                      <w:rPr>
                        <w:sz w:val="16"/>
                        <w:szCs w:val="16"/>
                      </w:rPr>
                      <w:t>283</w:t>
                    </w:r>
                  </w:p>
                </w:txbxContent>
              </v:textbox>
              <w10:wrap anchorx="page" anchory="page"/>
            </v:shape>
          </w:pict>
        </mc:Fallback>
      </mc:AlternateContent>
    </w:r>
    <w:r>
      <w:rPr>
        <w:noProof/>
      </w:rPr>
      <mc:AlternateContent>
        <mc:Choice Requires="wps">
          <w:drawing>
            <wp:anchor distT="0" distB="0" distL="114300" distR="114300" simplePos="0" relativeHeight="251755520" behindDoc="1" locked="0" layoutInCell="1" allowOverlap="1" wp14:anchorId="418C4842" wp14:editId="3DBCD9AD">
              <wp:simplePos x="0" y="0"/>
              <wp:positionH relativeFrom="page">
                <wp:posOffset>514350</wp:posOffset>
              </wp:positionH>
              <wp:positionV relativeFrom="page">
                <wp:posOffset>414655</wp:posOffset>
              </wp:positionV>
              <wp:extent cx="4358640" cy="0"/>
              <wp:effectExtent l="0" t="0" r="0" b="0"/>
              <wp:wrapNone/>
              <wp:docPr id="774" name="Shape 77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2C0FC5C" id="_x0000_t32" coordsize="21600,21600" o:spt="32" o:oned="t" path="m,l21600,21600e" filled="f">
              <v:path arrowok="t" fillok="f" o:connecttype="none"/>
              <o:lock v:ext="edit" shapetype="t"/>
            </v:shapetype>
            <v:shape id="Shape 774" o:spid="_x0000_s1026" type="#_x0000_t32" style="position:absolute;margin-left:40.5pt;margin-top:32.65pt;width:343.2pt;height:0;z-index:-2515609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A40C" w14:textId="77777777" w:rsidR="00093A32" w:rsidRDefault="00093A32">
    <w:pPr>
      <w:spacing w:line="1" w:lineRule="exact"/>
    </w:pPr>
    <w:r>
      <w:rPr>
        <w:noProof/>
      </w:rPr>
      <mc:AlternateContent>
        <mc:Choice Requires="wps">
          <w:drawing>
            <wp:anchor distT="0" distB="0" distL="0" distR="0" simplePos="0" relativeHeight="251994112" behindDoc="1" locked="0" layoutInCell="1" allowOverlap="1" wp14:anchorId="10F7A98D" wp14:editId="083048B0">
              <wp:simplePos x="0" y="0"/>
              <wp:positionH relativeFrom="page">
                <wp:posOffset>532765</wp:posOffset>
              </wp:positionH>
              <wp:positionV relativeFrom="page">
                <wp:posOffset>291465</wp:posOffset>
              </wp:positionV>
              <wp:extent cx="2764790" cy="94615"/>
              <wp:effectExtent l="0" t="0" r="0" b="0"/>
              <wp:wrapNone/>
              <wp:docPr id="778" name="Shape 778"/>
              <wp:cNvGraphicFramePr/>
              <a:graphic xmlns:a="http://schemas.openxmlformats.org/drawingml/2006/main">
                <a:graphicData uri="http://schemas.microsoft.com/office/word/2010/wordprocessingShape">
                  <wps:wsp>
                    <wps:cNvSpPr txBox="1"/>
                    <wps:spPr>
                      <a:xfrm>
                        <a:off x="0" y="0"/>
                        <a:ext cx="2764790" cy="94615"/>
                      </a:xfrm>
                      <a:prstGeom prst="rect">
                        <a:avLst/>
                      </a:prstGeom>
                      <a:noFill/>
                    </wps:spPr>
                    <wps:txbx>
                      <w:txbxContent>
                        <w:p w14:paraId="1FF8AB34" w14:textId="77777777" w:rsidR="00093A32" w:rsidRDefault="00093A32">
                          <w:pPr>
                            <w:pStyle w:val="Headerorfooter0"/>
                            <w:tabs>
                              <w:tab w:val="right" w:pos="4354"/>
                            </w:tabs>
                          </w:pPr>
                          <w:r>
                            <w:rPr>
                              <w:sz w:val="16"/>
                              <w:szCs w:val="16"/>
                            </w:rPr>
                            <w:t>282</w:t>
                          </w:r>
                          <w:r>
                            <w:rPr>
                              <w:sz w:val="16"/>
                              <w:szCs w:val="16"/>
                            </w:rPr>
                            <w:tab/>
                          </w:r>
                          <w:r>
                            <w:t xml:space="preserve">CUTÁNEA, </w:t>
                          </w:r>
                          <w:r>
                            <w:rPr>
                              <w:i/>
                              <w:iCs/>
                            </w:rPr>
                            <w:t>LARVA MIGRANS</w:t>
                          </w:r>
                        </w:p>
                      </w:txbxContent>
                    </wps:txbx>
                    <wps:bodyPr lIns="0" tIns="0" rIns="0" bIns="0">
                      <a:spAutoFit/>
                    </wps:bodyPr>
                  </wps:wsp>
                </a:graphicData>
              </a:graphic>
            </wp:anchor>
          </w:drawing>
        </mc:Choice>
        <mc:Fallback>
          <w:pict>
            <v:shapetype w14:anchorId="10F7A98D" id="_x0000_t202" coordsize="21600,21600" o:spt="202" path="m,l,21600r21600,l21600,xe">
              <v:stroke joinstyle="miter"/>
              <v:path gradientshapeok="t" o:connecttype="rect"/>
            </v:shapetype>
            <v:shape id="Shape 778" o:spid="_x0000_s1139" type="#_x0000_t202" style="position:absolute;margin-left:41.95pt;margin-top:22.95pt;width:217.7pt;height:7.45pt;z-index:-2513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" filled="f" stroked="f">
              <v:textbox style="mso-fit-shape-to-text:t" inset="0,0,0,0">
                <w:txbxContent>
                  <w:p w14:paraId="1FF8AB34" w14:textId="77777777" w:rsidR="00093A32" w:rsidRDefault="00093A32">
                    <w:pPr>
                      <w:pStyle w:val="Headerorfooter0"/>
                      <w:tabs>
                        <w:tab w:val="right" w:pos="4354"/>
                      </w:tabs>
                    </w:pPr>
                    <w:r>
                      <w:rPr>
                        <w:sz w:val="16"/>
                        <w:szCs w:val="16"/>
                      </w:rPr>
                      <w:t>282</w:t>
                    </w:r>
                    <w:r>
                      <w:rPr>
                        <w:sz w:val="16"/>
                        <w:szCs w:val="16"/>
                      </w:rPr>
                      <w:tab/>
                    </w:r>
                    <w:r>
                      <w:t xml:space="preserve">CUTÁNEA, </w:t>
                    </w:r>
                    <w:r>
                      <w:rPr>
                        <w:i/>
                        <w:iCs/>
                      </w:rPr>
                      <w:t>LARVA MIGRANS</w:t>
                    </w:r>
                  </w:p>
                </w:txbxContent>
              </v:textbox>
              <w10:wrap anchorx="page" anchory="page"/>
            </v:shape>
          </w:pict>
        </mc:Fallback>
      </mc:AlternateContent>
    </w:r>
    <w:r>
      <w:rPr>
        <w:noProof/>
      </w:rPr>
      <mc:AlternateContent>
        <mc:Choice Requires="wps">
          <w:drawing>
            <wp:anchor distT="0" distB="0" distL="114300" distR="114300" simplePos="0" relativeHeight="251757568" behindDoc="1" locked="0" layoutInCell="1" allowOverlap="1" wp14:anchorId="3F613FD6" wp14:editId="10DABB8D">
              <wp:simplePos x="0" y="0"/>
              <wp:positionH relativeFrom="page">
                <wp:posOffset>517525</wp:posOffset>
              </wp:positionH>
              <wp:positionV relativeFrom="page">
                <wp:posOffset>414655</wp:posOffset>
              </wp:positionV>
              <wp:extent cx="4358640" cy="0"/>
              <wp:effectExtent l="0" t="0" r="0" b="0"/>
              <wp:wrapNone/>
              <wp:docPr id="780" name="Shape 78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E73D349" id="_x0000_t32" coordsize="21600,21600" o:spt="32" o:oned="t" path="m,l21600,21600e" filled="f">
              <v:path arrowok="t" fillok="f" o:connecttype="none"/>
              <o:lock v:ext="edit" shapetype="t"/>
            </v:shapetype>
            <v:shape id="Shape 780" o:spid="_x0000_s1026" type="#_x0000_t32" style="position:absolute;margin-left:40.75pt;margin-top:32.65pt;width:343.2pt;height:0;z-index:-2515589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1D66" w14:textId="77777777" w:rsidR="00093A32" w:rsidRDefault="00093A32">
    <w:pPr>
      <w:spacing w:line="1" w:lineRule="exact"/>
    </w:pPr>
    <w:r>
      <w:rPr>
        <w:noProof/>
      </w:rPr>
      <mc:AlternateContent>
        <mc:Choice Requires="wps">
          <w:drawing>
            <wp:anchor distT="0" distB="0" distL="0" distR="0" simplePos="0" relativeHeight="251996160" behindDoc="1" locked="0" layoutInCell="1" allowOverlap="1" wp14:anchorId="3259DCA7" wp14:editId="3C72B0A2">
              <wp:simplePos x="0" y="0"/>
              <wp:positionH relativeFrom="page">
                <wp:posOffset>531495</wp:posOffset>
              </wp:positionH>
              <wp:positionV relativeFrom="page">
                <wp:posOffset>291465</wp:posOffset>
              </wp:positionV>
              <wp:extent cx="2983865" cy="94615"/>
              <wp:effectExtent l="0" t="0" r="0" b="0"/>
              <wp:wrapNone/>
              <wp:docPr id="784" name="Shape 784"/>
              <wp:cNvGraphicFramePr/>
              <a:graphic xmlns:a="http://schemas.openxmlformats.org/drawingml/2006/main">
                <a:graphicData uri="http://schemas.microsoft.com/office/word/2010/wordprocessingShape">
                  <wps:wsp>
                    <wps:cNvSpPr txBox="1"/>
                    <wps:spPr>
                      <a:xfrm>
                        <a:off x="0" y="0"/>
                        <a:ext cx="2983865" cy="94615"/>
                      </a:xfrm>
                      <a:prstGeom prst="rect">
                        <a:avLst/>
                      </a:prstGeom>
                      <a:noFill/>
                    </wps:spPr>
                    <wps:txbx>
                      <w:txbxContent>
                        <w:p w14:paraId="4233CB85" w14:textId="77777777" w:rsidR="00093A32" w:rsidRDefault="00093A32">
                          <w:pPr>
                            <w:pStyle w:val="Headerorfooter0"/>
                            <w:tabs>
                              <w:tab w:val="right" w:pos="4699"/>
                            </w:tabs>
                          </w:pPr>
                          <w:r>
                            <w:rPr>
                              <w:sz w:val="16"/>
                              <w:szCs w:val="16"/>
                            </w:rPr>
                            <w:t>258</w:t>
                          </w:r>
                          <w:r>
                            <w:rPr>
                              <w:sz w:val="16"/>
                              <w:szCs w:val="16"/>
                            </w:rPr>
                            <w:tab/>
                          </w:r>
                          <w:r>
                            <w:t>CITOMEGÁLICO, VIRUS, INFECCIONES</w:t>
                          </w:r>
                        </w:p>
                      </w:txbxContent>
                    </wps:txbx>
                    <wps:bodyPr lIns="0" tIns="0" rIns="0" bIns="0">
                      <a:spAutoFit/>
                    </wps:bodyPr>
                  </wps:wsp>
                </a:graphicData>
              </a:graphic>
            </wp:anchor>
          </w:drawing>
        </mc:Choice>
        <mc:Fallback>
          <w:pict>
            <v:shapetype w14:anchorId="3259DCA7" id="_x0000_t202" coordsize="21600,21600" o:spt="202" path="m,l,21600r21600,l21600,xe">
              <v:stroke joinstyle="miter"/>
              <v:path gradientshapeok="t" o:connecttype="rect"/>
            </v:shapetype>
            <v:shape id="Shape 784" o:spid="_x0000_s1140" type="#_x0000_t202" style="position:absolute;margin-left:41.85pt;margin-top:22.95pt;width:234.95pt;height:7.45pt;z-index:-2513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R64fwEAAPsCAAAOAAAAZHJzL2Uyb0RvYy54bWysUttOwzAMfUfiH6K8s24Dpl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" filled="f" stroked="f">
              <v:textbox style="mso-fit-shape-to-text:t" inset="0,0,0,0">
                <w:txbxContent>
                  <w:p w14:paraId="4233CB85" w14:textId="77777777" w:rsidR="00093A32" w:rsidRDefault="00093A32">
                    <w:pPr>
                      <w:pStyle w:val="Headerorfooter0"/>
                      <w:tabs>
                        <w:tab w:val="right" w:pos="4699"/>
                      </w:tabs>
                    </w:pPr>
                    <w:r>
                      <w:rPr>
                        <w:sz w:val="16"/>
                        <w:szCs w:val="16"/>
                      </w:rPr>
                      <w:t>258</w:t>
                    </w:r>
                    <w:r>
                      <w:rPr>
                        <w:sz w:val="16"/>
                        <w:szCs w:val="16"/>
                      </w:rPr>
                      <w:tab/>
                    </w:r>
                    <w:r>
                      <w:t>CITOMEGÁLICO, VIRUS, INFECCIONES</w:t>
                    </w:r>
                  </w:p>
                </w:txbxContent>
              </v:textbox>
              <w10:wrap anchorx="page" anchory="page"/>
            </v:shape>
          </w:pict>
        </mc:Fallback>
      </mc:AlternateContent>
    </w:r>
    <w:r>
      <w:rPr>
        <w:noProof/>
      </w:rPr>
      <mc:AlternateContent>
        <mc:Choice Requires="wps">
          <w:drawing>
            <wp:anchor distT="0" distB="0" distL="114300" distR="114300" simplePos="0" relativeHeight="251759616" behindDoc="1" locked="0" layoutInCell="1" allowOverlap="1" wp14:anchorId="16EF1903" wp14:editId="6D9F399D">
              <wp:simplePos x="0" y="0"/>
              <wp:positionH relativeFrom="page">
                <wp:posOffset>516255</wp:posOffset>
              </wp:positionH>
              <wp:positionV relativeFrom="page">
                <wp:posOffset>414655</wp:posOffset>
              </wp:positionV>
              <wp:extent cx="4358640" cy="0"/>
              <wp:effectExtent l="0" t="0" r="0" b="0"/>
              <wp:wrapNone/>
              <wp:docPr id="786" name="Shape 78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474354" id="_x0000_t32" coordsize="21600,21600" o:spt="32" o:oned="t" path="m,l21600,21600e" filled="f">
              <v:path arrowok="t" fillok="f" o:connecttype="none"/>
              <o:lock v:ext="edit" shapetype="t"/>
            </v:shapetype>
            <v:shape id="Shape 786" o:spid="_x0000_s1026" type="#_x0000_t32" style="position:absolute;margin-left:40.65pt;margin-top:32.65pt;width:343.2pt;height:0;z-index:-2515568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0FF" w14:textId="77777777" w:rsidR="00093A32" w:rsidRDefault="00093A32">
    <w:pPr>
      <w:spacing w:line="1" w:lineRule="exact"/>
    </w:pPr>
    <w:r>
      <w:rPr>
        <w:noProof/>
      </w:rPr>
      <mc:AlternateContent>
        <mc:Choice Requires="wps">
          <w:drawing>
            <wp:anchor distT="0" distB="0" distL="0" distR="0" simplePos="0" relativeHeight="251995136" behindDoc="1" locked="0" layoutInCell="1" allowOverlap="1" wp14:anchorId="10723EB7" wp14:editId="09DC9D91">
              <wp:simplePos x="0" y="0"/>
              <wp:positionH relativeFrom="page">
                <wp:posOffset>1870710</wp:posOffset>
              </wp:positionH>
              <wp:positionV relativeFrom="page">
                <wp:posOffset>291465</wp:posOffset>
              </wp:positionV>
              <wp:extent cx="2980690" cy="94615"/>
              <wp:effectExtent l="0" t="0" r="0" b="0"/>
              <wp:wrapNone/>
              <wp:docPr id="781" name="Shape 781"/>
              <wp:cNvGraphicFramePr/>
              <a:graphic xmlns:a="http://schemas.openxmlformats.org/drawingml/2006/main">
                <a:graphicData uri="http://schemas.microsoft.com/office/word/2010/wordprocessingShape">
                  <wps:wsp>
                    <wps:cNvSpPr txBox="1"/>
                    <wps:spPr>
                      <a:xfrm>
                        <a:off x="0" y="0"/>
                        <a:ext cx="2980690" cy="94615"/>
                      </a:xfrm>
                      <a:prstGeom prst="rect">
                        <a:avLst/>
                      </a:prstGeom>
                      <a:noFill/>
                    </wps:spPr>
                    <wps:txbx>
                      <w:txbxContent>
                        <w:p w14:paraId="7DD096BF" w14:textId="77777777" w:rsidR="00093A32" w:rsidRDefault="00093A32">
                          <w:pPr>
                            <w:pStyle w:val="Headerorfooter0"/>
                            <w:tabs>
                              <w:tab w:val="right" w:pos="4694"/>
                            </w:tabs>
                            <w:rPr>
                              <w:sz w:val="16"/>
                              <w:szCs w:val="16"/>
                            </w:rPr>
                          </w:pPr>
                          <w:r>
                            <w:t>CITOMEGÁLICO, VIRUS, INFECCIONES</w:t>
                          </w:r>
                          <w:r>
                            <w:tab/>
                          </w:r>
                          <w:r>
                            <w:rPr>
                              <w:sz w:val="16"/>
                              <w:szCs w:val="16"/>
                            </w:rPr>
                            <w:t>257</w:t>
                          </w:r>
                        </w:p>
                      </w:txbxContent>
                    </wps:txbx>
                    <wps:bodyPr lIns="0" tIns="0" rIns="0" bIns="0">
                      <a:spAutoFit/>
                    </wps:bodyPr>
                  </wps:wsp>
                </a:graphicData>
              </a:graphic>
            </wp:anchor>
          </w:drawing>
        </mc:Choice>
        <mc:Fallback>
          <w:pict>
            <v:shapetype w14:anchorId="10723EB7" id="_x0000_t202" coordsize="21600,21600" o:spt="202" path="m,l,21600r21600,l21600,xe">
              <v:stroke joinstyle="miter"/>
              <v:path gradientshapeok="t" o:connecttype="rect"/>
            </v:shapetype>
            <v:shape id="Shape 781" o:spid="_x0000_s1141" type="#_x0000_t202" style="position:absolute;margin-left:147.3pt;margin-top:22.95pt;width:234.7pt;height:7.45pt;z-index:-2513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" filled="f" stroked="f">
              <v:textbox style="mso-fit-shape-to-text:t" inset="0,0,0,0">
                <w:txbxContent>
                  <w:p w14:paraId="7DD096BF" w14:textId="77777777" w:rsidR="00093A32" w:rsidRDefault="00093A32">
                    <w:pPr>
                      <w:pStyle w:val="Headerorfooter0"/>
                      <w:tabs>
                        <w:tab w:val="right" w:pos="4694"/>
                      </w:tabs>
                      <w:rPr>
                        <w:sz w:val="16"/>
                        <w:szCs w:val="16"/>
                      </w:rPr>
                    </w:pPr>
                    <w:r>
                      <w:t>CITOMEGÁLICO, VIRUS, INFECCIONES</w:t>
                    </w:r>
                    <w:r>
                      <w:tab/>
                    </w:r>
                    <w:r>
                      <w:rPr>
                        <w:sz w:val="16"/>
                        <w:szCs w:val="16"/>
                      </w:rPr>
                      <w:t>257</w:t>
                    </w:r>
                  </w:p>
                </w:txbxContent>
              </v:textbox>
              <w10:wrap anchorx="page" anchory="page"/>
            </v:shape>
          </w:pict>
        </mc:Fallback>
      </mc:AlternateContent>
    </w:r>
    <w:r>
      <w:rPr>
        <w:noProof/>
      </w:rPr>
      <mc:AlternateContent>
        <mc:Choice Requires="wps">
          <w:drawing>
            <wp:anchor distT="0" distB="0" distL="114300" distR="114300" simplePos="0" relativeHeight="251758592" behindDoc="1" locked="0" layoutInCell="1" allowOverlap="1" wp14:anchorId="6F958828" wp14:editId="5695677B">
              <wp:simplePos x="0" y="0"/>
              <wp:positionH relativeFrom="page">
                <wp:posOffset>514350</wp:posOffset>
              </wp:positionH>
              <wp:positionV relativeFrom="page">
                <wp:posOffset>414655</wp:posOffset>
              </wp:positionV>
              <wp:extent cx="4358640" cy="0"/>
              <wp:effectExtent l="0" t="0" r="0" b="0"/>
              <wp:wrapNone/>
              <wp:docPr id="783" name="Shape 78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A728452" id="_x0000_t32" coordsize="21600,21600" o:spt="32" o:oned="t" path="m,l21600,21600e" filled="f">
              <v:path arrowok="t" fillok="f" o:connecttype="none"/>
              <o:lock v:ext="edit" shapetype="t"/>
            </v:shapetype>
            <v:shape id="Shape 783" o:spid="_x0000_s1026" type="#_x0000_t32" style="position:absolute;margin-left:40.5pt;margin-top:32.65pt;width:343.2pt;height:0;z-index:-251557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EA31" w14:textId="77777777" w:rsidR="00093A32" w:rsidRDefault="00093A32">
    <w:pPr>
      <w:spacing w:line="1" w:lineRule="exact"/>
    </w:pPr>
    <w:r>
      <w:rPr>
        <w:noProof/>
      </w:rPr>
      <mc:AlternateContent>
        <mc:Choice Requires="wps">
          <w:drawing>
            <wp:anchor distT="0" distB="0" distL="0" distR="0" simplePos="0" relativeHeight="251997184" behindDoc="1" locked="0" layoutInCell="1" allowOverlap="1" wp14:anchorId="3CAFCAC0" wp14:editId="3F020543">
              <wp:simplePos x="0" y="0"/>
              <wp:positionH relativeFrom="page">
                <wp:posOffset>529590</wp:posOffset>
              </wp:positionH>
              <wp:positionV relativeFrom="page">
                <wp:posOffset>315595</wp:posOffset>
              </wp:positionV>
              <wp:extent cx="2365375" cy="69850"/>
              <wp:effectExtent l="0" t="0" r="0" b="0"/>
              <wp:wrapNone/>
              <wp:docPr id="787" name="Shape 787"/>
              <wp:cNvGraphicFramePr/>
              <a:graphic xmlns:a="http://schemas.openxmlformats.org/drawingml/2006/main">
                <a:graphicData uri="http://schemas.microsoft.com/office/word/2010/wordprocessingShape">
                  <wps:wsp>
                    <wps:cNvSpPr txBox="1"/>
                    <wps:spPr>
                      <a:xfrm>
                        <a:off x="0" y="0"/>
                        <a:ext cx="2365375" cy="69850"/>
                      </a:xfrm>
                      <a:prstGeom prst="rect">
                        <a:avLst/>
                      </a:prstGeom>
                      <a:noFill/>
                    </wps:spPr>
                    <wps:txbx>
                      <w:txbxContent>
                        <w:p w14:paraId="579F6431" w14:textId="77777777" w:rsidR="00093A32" w:rsidRDefault="00093A32">
                          <w:pPr>
                            <w:pStyle w:val="Headerorfooter0"/>
                            <w:tabs>
                              <w:tab w:val="right" w:pos="3725"/>
                            </w:tabs>
                          </w:pPr>
                          <w:r>
                            <w:rPr>
                              <w:sz w:val="16"/>
                              <w:szCs w:val="16"/>
                            </w:rPr>
                            <w:t>284</w:t>
                          </w:r>
                          <w:r>
                            <w:rPr>
                              <w:sz w:val="16"/>
                              <w:szCs w:val="16"/>
                            </w:rPr>
                            <w:tab/>
                          </w:r>
                          <w:r>
                            <w:t>DIFTERIA</w:t>
                          </w:r>
                        </w:p>
                      </w:txbxContent>
                    </wps:txbx>
                    <wps:bodyPr lIns="0" tIns="0" rIns="0" bIns="0">
                      <a:spAutoFit/>
                    </wps:bodyPr>
                  </wps:wsp>
                </a:graphicData>
              </a:graphic>
            </wp:anchor>
          </w:drawing>
        </mc:Choice>
        <mc:Fallback>
          <w:pict>
            <v:shapetype w14:anchorId="3CAFCAC0" id="_x0000_t202" coordsize="21600,21600" o:spt="202" path="m,l,21600r21600,l21600,xe">
              <v:stroke joinstyle="miter"/>
              <v:path gradientshapeok="t" o:connecttype="rect"/>
            </v:shapetype>
            <v:shape id="Shape 787" o:spid="_x0000_s1142" type="#_x0000_t202" style="position:absolute;margin-left:41.7pt;margin-top:24.85pt;width:186.25pt;height:5.5pt;z-index:-2513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" filled="f" stroked="f">
              <v:textbox style="mso-fit-shape-to-text:t" inset="0,0,0,0">
                <w:txbxContent>
                  <w:p w14:paraId="579F6431" w14:textId="77777777" w:rsidR="00093A32" w:rsidRDefault="00093A32">
                    <w:pPr>
                      <w:pStyle w:val="Headerorfooter0"/>
                      <w:tabs>
                        <w:tab w:val="right" w:pos="3725"/>
                      </w:tabs>
                    </w:pPr>
                    <w:r>
                      <w:rPr>
                        <w:sz w:val="16"/>
                        <w:szCs w:val="16"/>
                      </w:rPr>
                      <w:t>284</w:t>
                    </w:r>
                    <w:r>
                      <w:rPr>
                        <w:sz w:val="16"/>
                        <w:szCs w:val="16"/>
                      </w:rPr>
                      <w:tab/>
                    </w:r>
                    <w:r>
                      <w:t>DIFTERIA</w:t>
                    </w:r>
                  </w:p>
                </w:txbxContent>
              </v:textbox>
              <w10:wrap anchorx="page" anchory="page"/>
            </v:shape>
          </w:pict>
        </mc:Fallback>
      </mc:AlternateContent>
    </w:r>
    <w:r>
      <w:rPr>
        <w:noProof/>
      </w:rPr>
      <mc:AlternateContent>
        <mc:Choice Requires="wps">
          <w:drawing>
            <wp:anchor distT="0" distB="0" distL="114300" distR="114300" simplePos="0" relativeHeight="251760640" behindDoc="1" locked="0" layoutInCell="1" allowOverlap="1" wp14:anchorId="4B90A931" wp14:editId="07B78C14">
              <wp:simplePos x="0" y="0"/>
              <wp:positionH relativeFrom="page">
                <wp:posOffset>514350</wp:posOffset>
              </wp:positionH>
              <wp:positionV relativeFrom="page">
                <wp:posOffset>424180</wp:posOffset>
              </wp:positionV>
              <wp:extent cx="4358640" cy="0"/>
              <wp:effectExtent l="0" t="0" r="0" b="0"/>
              <wp:wrapNone/>
              <wp:docPr id="789" name="Shape 78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E26CD5E" id="_x0000_t32" coordsize="21600,21600" o:spt="32" o:oned="t" path="m,l21600,21600e" filled="f">
              <v:path arrowok="t" fillok="f" o:connecttype="none"/>
              <o:lock v:ext="edit" shapetype="t"/>
            </v:shapetype>
            <v:shape id="Shape 789" o:spid="_x0000_s1026" type="#_x0000_t32" style="position:absolute;margin-left:40.5pt;margin-top:33.4pt;width:343.2pt;height:0;z-index:-251555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409A" w14:textId="77777777" w:rsidR="00093A32" w:rsidRDefault="00093A32">
    <w:pPr>
      <w:spacing w:line="1" w:lineRule="exact"/>
    </w:pPr>
    <w:r>
      <w:rPr>
        <w:noProof/>
      </w:rPr>
      <mc:AlternateContent>
        <mc:Choice Requires="wps">
          <w:drawing>
            <wp:anchor distT="0" distB="0" distL="0" distR="0" simplePos="0" relativeHeight="251999232" behindDoc="1" locked="0" layoutInCell="1" allowOverlap="1" wp14:anchorId="2785957D" wp14:editId="4AC4950E">
              <wp:simplePos x="0" y="0"/>
              <wp:positionH relativeFrom="page">
                <wp:posOffset>529590</wp:posOffset>
              </wp:positionH>
              <wp:positionV relativeFrom="page">
                <wp:posOffset>315595</wp:posOffset>
              </wp:positionV>
              <wp:extent cx="2365375" cy="69850"/>
              <wp:effectExtent l="0" t="0" r="0" b="0"/>
              <wp:wrapNone/>
              <wp:docPr id="793" name="Shape 793"/>
              <wp:cNvGraphicFramePr/>
              <a:graphic xmlns:a="http://schemas.openxmlformats.org/drawingml/2006/main">
                <a:graphicData uri="http://schemas.microsoft.com/office/word/2010/wordprocessingShape">
                  <wps:wsp>
                    <wps:cNvSpPr txBox="1"/>
                    <wps:spPr>
                      <a:xfrm>
                        <a:off x="0" y="0"/>
                        <a:ext cx="2365375" cy="69850"/>
                      </a:xfrm>
                      <a:prstGeom prst="rect">
                        <a:avLst/>
                      </a:prstGeom>
                      <a:noFill/>
                    </wps:spPr>
                    <wps:txbx>
                      <w:txbxContent>
                        <w:p w14:paraId="06CBC9F8" w14:textId="77777777" w:rsidR="00093A32" w:rsidRDefault="00093A32">
                          <w:pPr>
                            <w:pStyle w:val="Headerorfooter0"/>
                            <w:tabs>
                              <w:tab w:val="right" w:pos="3725"/>
                            </w:tabs>
                          </w:pPr>
                          <w:r>
                            <w:rPr>
                              <w:sz w:val="16"/>
                              <w:szCs w:val="16"/>
                            </w:rPr>
                            <w:t>284</w:t>
                          </w:r>
                          <w:r>
                            <w:rPr>
                              <w:sz w:val="16"/>
                              <w:szCs w:val="16"/>
                            </w:rPr>
                            <w:tab/>
                          </w:r>
                          <w:r>
                            <w:t>DIFTERIA</w:t>
                          </w:r>
                        </w:p>
                      </w:txbxContent>
                    </wps:txbx>
                    <wps:bodyPr lIns="0" tIns="0" rIns="0" bIns="0">
                      <a:spAutoFit/>
                    </wps:bodyPr>
                  </wps:wsp>
                </a:graphicData>
              </a:graphic>
            </wp:anchor>
          </w:drawing>
        </mc:Choice>
        <mc:Fallback>
          <w:pict>
            <v:shapetype w14:anchorId="2785957D" id="_x0000_t202" coordsize="21600,21600" o:spt="202" path="m,l,21600r21600,l21600,xe">
              <v:stroke joinstyle="miter"/>
              <v:path gradientshapeok="t" o:connecttype="rect"/>
            </v:shapetype>
            <v:shape id="Shape 793" o:spid="_x0000_s1143" type="#_x0000_t202" style="position:absolute;margin-left:41.7pt;margin-top:24.85pt;width:186.25pt;height:5.5pt;z-index:-2513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" filled="f" stroked="f">
              <v:textbox style="mso-fit-shape-to-text:t" inset="0,0,0,0">
                <w:txbxContent>
                  <w:p w14:paraId="06CBC9F8" w14:textId="77777777" w:rsidR="00093A32" w:rsidRDefault="00093A32">
                    <w:pPr>
                      <w:pStyle w:val="Headerorfooter0"/>
                      <w:tabs>
                        <w:tab w:val="right" w:pos="3725"/>
                      </w:tabs>
                    </w:pPr>
                    <w:r>
                      <w:rPr>
                        <w:sz w:val="16"/>
                        <w:szCs w:val="16"/>
                      </w:rPr>
                      <w:t>284</w:t>
                    </w:r>
                    <w:r>
                      <w:rPr>
                        <w:sz w:val="16"/>
                        <w:szCs w:val="16"/>
                      </w:rPr>
                      <w:tab/>
                    </w:r>
                    <w:r>
                      <w:t>DIFTERIA</w:t>
                    </w:r>
                  </w:p>
                </w:txbxContent>
              </v:textbox>
              <w10:wrap anchorx="page" anchory="page"/>
            </v:shape>
          </w:pict>
        </mc:Fallback>
      </mc:AlternateContent>
    </w:r>
    <w:r>
      <w:rPr>
        <w:noProof/>
      </w:rPr>
      <mc:AlternateContent>
        <mc:Choice Requires="wps">
          <w:drawing>
            <wp:anchor distT="0" distB="0" distL="114300" distR="114300" simplePos="0" relativeHeight="251762688" behindDoc="1" locked="0" layoutInCell="1" allowOverlap="1" wp14:anchorId="72972036" wp14:editId="2ABBA790">
              <wp:simplePos x="0" y="0"/>
              <wp:positionH relativeFrom="page">
                <wp:posOffset>514350</wp:posOffset>
              </wp:positionH>
              <wp:positionV relativeFrom="page">
                <wp:posOffset>424180</wp:posOffset>
              </wp:positionV>
              <wp:extent cx="4358640" cy="0"/>
              <wp:effectExtent l="0" t="0" r="0" b="0"/>
              <wp:wrapNone/>
              <wp:docPr id="795" name="Shape 7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943AAAC" id="_x0000_t32" coordsize="21600,21600" o:spt="32" o:oned="t" path="m,l21600,21600e" filled="f">
              <v:path arrowok="t" fillok="f" o:connecttype="none"/>
              <o:lock v:ext="edit" shapetype="t"/>
            </v:shapetype>
            <v:shape id="Shape 795" o:spid="_x0000_s1026" type="#_x0000_t32" style="position:absolute;margin-left:40.5pt;margin-top:33.4pt;width:343.2pt;height:0;z-index:-251553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64C3" w14:textId="77777777" w:rsidR="00093A32" w:rsidRDefault="00093A32">
    <w:pPr>
      <w:spacing w:line="1" w:lineRule="exact"/>
    </w:pPr>
    <w:r>
      <w:rPr>
        <w:noProof/>
      </w:rPr>
      <mc:AlternateContent>
        <mc:Choice Requires="wps">
          <w:drawing>
            <wp:anchor distT="0" distB="0" distL="0" distR="0" simplePos="0" relativeHeight="251998208" behindDoc="1" locked="0" layoutInCell="1" allowOverlap="1" wp14:anchorId="7C18012C" wp14:editId="3FF1E839">
              <wp:simplePos x="0" y="0"/>
              <wp:positionH relativeFrom="page">
                <wp:posOffset>529590</wp:posOffset>
              </wp:positionH>
              <wp:positionV relativeFrom="page">
                <wp:posOffset>315595</wp:posOffset>
              </wp:positionV>
              <wp:extent cx="2365375" cy="69850"/>
              <wp:effectExtent l="0" t="0" r="0" b="0"/>
              <wp:wrapNone/>
              <wp:docPr id="790" name="Shape 790"/>
              <wp:cNvGraphicFramePr/>
              <a:graphic xmlns:a="http://schemas.openxmlformats.org/drawingml/2006/main">
                <a:graphicData uri="http://schemas.microsoft.com/office/word/2010/wordprocessingShape">
                  <wps:wsp>
                    <wps:cNvSpPr txBox="1"/>
                    <wps:spPr>
                      <a:xfrm>
                        <a:off x="0" y="0"/>
                        <a:ext cx="2365375" cy="69850"/>
                      </a:xfrm>
                      <a:prstGeom prst="rect">
                        <a:avLst/>
                      </a:prstGeom>
                      <a:noFill/>
                    </wps:spPr>
                    <wps:txbx>
                      <w:txbxContent>
                        <w:p w14:paraId="2234BB11" w14:textId="77777777" w:rsidR="00093A32" w:rsidRDefault="00093A32">
                          <w:pPr>
                            <w:pStyle w:val="Headerorfooter0"/>
                            <w:tabs>
                              <w:tab w:val="right" w:pos="3725"/>
                            </w:tabs>
                          </w:pPr>
                          <w:r>
                            <w:rPr>
                              <w:sz w:val="16"/>
                              <w:szCs w:val="16"/>
                            </w:rPr>
                            <w:t>284</w:t>
                          </w:r>
                          <w:r>
                            <w:rPr>
                              <w:sz w:val="16"/>
                              <w:szCs w:val="16"/>
                            </w:rPr>
                            <w:tab/>
                          </w:r>
                          <w:r>
                            <w:t>DIFTERIA</w:t>
                          </w:r>
                        </w:p>
                      </w:txbxContent>
                    </wps:txbx>
                    <wps:bodyPr lIns="0" tIns="0" rIns="0" bIns="0">
                      <a:spAutoFit/>
                    </wps:bodyPr>
                  </wps:wsp>
                </a:graphicData>
              </a:graphic>
            </wp:anchor>
          </w:drawing>
        </mc:Choice>
        <mc:Fallback>
          <w:pict>
            <v:shapetype w14:anchorId="7C18012C" id="_x0000_t202" coordsize="21600,21600" o:spt="202" path="m,l,21600r21600,l21600,xe">
              <v:stroke joinstyle="miter"/>
              <v:path gradientshapeok="t" o:connecttype="rect"/>
            </v:shapetype>
            <v:shape id="Shape 790" o:spid="_x0000_s1144" type="#_x0000_t202" style="position:absolute;margin-left:41.7pt;margin-top:24.85pt;width:186.25pt;height:5.5pt;z-index:-2513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" filled="f" stroked="f">
              <v:textbox style="mso-fit-shape-to-text:t" inset="0,0,0,0">
                <w:txbxContent>
                  <w:p w14:paraId="2234BB11" w14:textId="77777777" w:rsidR="00093A32" w:rsidRDefault="00093A32">
                    <w:pPr>
                      <w:pStyle w:val="Headerorfooter0"/>
                      <w:tabs>
                        <w:tab w:val="right" w:pos="3725"/>
                      </w:tabs>
                    </w:pPr>
                    <w:r>
                      <w:rPr>
                        <w:sz w:val="16"/>
                        <w:szCs w:val="16"/>
                      </w:rPr>
                      <w:t>284</w:t>
                    </w:r>
                    <w:r>
                      <w:rPr>
                        <w:sz w:val="16"/>
                        <w:szCs w:val="16"/>
                      </w:rPr>
                      <w:tab/>
                    </w:r>
                    <w:r>
                      <w:t>DIFTERIA</w:t>
                    </w:r>
                  </w:p>
                </w:txbxContent>
              </v:textbox>
              <w10:wrap anchorx="page" anchory="page"/>
            </v:shape>
          </w:pict>
        </mc:Fallback>
      </mc:AlternateContent>
    </w:r>
    <w:r>
      <w:rPr>
        <w:noProof/>
      </w:rPr>
      <mc:AlternateContent>
        <mc:Choice Requires="wps">
          <w:drawing>
            <wp:anchor distT="0" distB="0" distL="114300" distR="114300" simplePos="0" relativeHeight="251761664" behindDoc="1" locked="0" layoutInCell="1" allowOverlap="1" wp14:anchorId="3E66BAA2" wp14:editId="0612B039">
              <wp:simplePos x="0" y="0"/>
              <wp:positionH relativeFrom="page">
                <wp:posOffset>514350</wp:posOffset>
              </wp:positionH>
              <wp:positionV relativeFrom="page">
                <wp:posOffset>424180</wp:posOffset>
              </wp:positionV>
              <wp:extent cx="4358640" cy="0"/>
              <wp:effectExtent l="0" t="0" r="0" b="0"/>
              <wp:wrapNone/>
              <wp:docPr id="792" name="Shape 7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9A5C79" id="_x0000_t32" coordsize="21600,21600" o:spt="32" o:oned="t" path="m,l21600,21600e" filled="f">
              <v:path arrowok="t" fillok="f" o:connecttype="none"/>
              <o:lock v:ext="edit" shapetype="t"/>
            </v:shapetype>
            <v:shape id="Shape 792" o:spid="_x0000_s1026" type="#_x0000_t32" style="position:absolute;margin-left:40.5pt;margin-top:33.4pt;width:343.2pt;height:0;z-index:-2515548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FDE9" w14:textId="77777777" w:rsidR="00093A32" w:rsidRDefault="00093A32">
    <w:pPr>
      <w:spacing w:line="1" w:lineRule="exact"/>
    </w:pPr>
    <w:r>
      <w:rPr>
        <w:noProof/>
      </w:rPr>
      <mc:AlternateContent>
        <mc:Choice Requires="wps">
          <w:drawing>
            <wp:anchor distT="0" distB="0" distL="0" distR="0" simplePos="0" relativeHeight="252000256" behindDoc="1" locked="0" layoutInCell="1" allowOverlap="1" wp14:anchorId="15FF263E" wp14:editId="786AE074">
              <wp:simplePos x="0" y="0"/>
              <wp:positionH relativeFrom="page">
                <wp:posOffset>2407285</wp:posOffset>
              </wp:positionH>
              <wp:positionV relativeFrom="page">
                <wp:posOffset>315595</wp:posOffset>
              </wp:positionV>
              <wp:extent cx="2423160" cy="69850"/>
              <wp:effectExtent l="0" t="0" r="0" b="0"/>
              <wp:wrapNone/>
              <wp:docPr id="796" name="Shape 796"/>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06BDF1F3" w14:textId="77777777" w:rsidR="00093A32" w:rsidRDefault="00093A32">
                          <w:pPr>
                            <w:pStyle w:val="Headerorfooter0"/>
                            <w:tabs>
                              <w:tab w:val="right" w:pos="3816"/>
                            </w:tabs>
                            <w:rPr>
                              <w:sz w:val="16"/>
                              <w:szCs w:val="16"/>
                            </w:rPr>
                          </w:pPr>
                          <w:r>
                            <w:t>CLAMIDIASIS</w:t>
                          </w:r>
                          <w:r>
                            <w:tab/>
                          </w:r>
                          <w:r>
                            <w:rPr>
                              <w:sz w:val="16"/>
                              <w:szCs w:val="16"/>
                            </w:rPr>
                            <w:t>261</w:t>
                          </w:r>
                        </w:p>
                      </w:txbxContent>
                    </wps:txbx>
                    <wps:bodyPr lIns="0" tIns="0" rIns="0" bIns="0">
                      <a:spAutoFit/>
                    </wps:bodyPr>
                  </wps:wsp>
                </a:graphicData>
              </a:graphic>
            </wp:anchor>
          </w:drawing>
        </mc:Choice>
        <mc:Fallback>
          <w:pict>
            <v:shapetype w14:anchorId="15FF263E" id="_x0000_t202" coordsize="21600,21600" o:spt="202" path="m,l,21600r21600,l21600,xe">
              <v:stroke joinstyle="miter"/>
              <v:path gradientshapeok="t" o:connecttype="rect"/>
            </v:shapetype>
            <v:shape id="Shape 796" o:spid="_x0000_s1145" type="#_x0000_t202" style="position:absolute;margin-left:189.55pt;margin-top:24.85pt;width:190.8pt;height:5.5pt;z-index:-2513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vhVgAEAAPwCAAAOAAAAZHJzL2Uyb0RvYy54bWysUttOwzAMfUfiH6K8s3YbTF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" filled="f" stroked="f">
              <v:textbox style="mso-fit-shape-to-text:t" inset="0,0,0,0">
                <w:txbxContent>
                  <w:p w14:paraId="06BDF1F3" w14:textId="77777777" w:rsidR="00093A32" w:rsidRDefault="00093A32">
                    <w:pPr>
                      <w:pStyle w:val="Headerorfooter0"/>
                      <w:tabs>
                        <w:tab w:val="right" w:pos="3816"/>
                      </w:tabs>
                      <w:rPr>
                        <w:sz w:val="16"/>
                        <w:szCs w:val="16"/>
                      </w:rPr>
                    </w:pPr>
                    <w:r>
                      <w:t>CLAMIDIASIS</w:t>
                    </w:r>
                    <w:r>
                      <w:tab/>
                    </w:r>
                    <w:r>
                      <w:rPr>
                        <w:sz w:val="16"/>
                        <w:szCs w:val="16"/>
                      </w:rPr>
                      <w:t>261</w:t>
                    </w:r>
                  </w:p>
                </w:txbxContent>
              </v:textbox>
              <w10:wrap anchorx="page" anchory="page"/>
            </v:shape>
          </w:pict>
        </mc:Fallback>
      </mc:AlternateContent>
    </w:r>
    <w:r>
      <w:rPr>
        <w:noProof/>
      </w:rPr>
      <mc:AlternateContent>
        <mc:Choice Requires="wps">
          <w:drawing>
            <wp:anchor distT="0" distB="0" distL="114300" distR="114300" simplePos="0" relativeHeight="251763712" behindDoc="1" locked="0" layoutInCell="1" allowOverlap="1" wp14:anchorId="3731AA5E" wp14:editId="0761A51B">
              <wp:simplePos x="0" y="0"/>
              <wp:positionH relativeFrom="page">
                <wp:posOffset>508635</wp:posOffset>
              </wp:positionH>
              <wp:positionV relativeFrom="page">
                <wp:posOffset>424180</wp:posOffset>
              </wp:positionV>
              <wp:extent cx="4358640" cy="0"/>
              <wp:effectExtent l="0" t="0" r="0" b="0"/>
              <wp:wrapNone/>
              <wp:docPr id="798" name="Shape 7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84138B" id="_x0000_t32" coordsize="21600,21600" o:spt="32" o:oned="t" path="m,l21600,21600e" filled="f">
              <v:path arrowok="t" fillok="f" o:connecttype="none"/>
              <o:lock v:ext="edit" shapetype="t"/>
            </v:shapetype>
            <v:shape id="Shape 798" o:spid="_x0000_s1026" type="#_x0000_t32" style="position:absolute;margin-left:40.05pt;margin-top:33.4pt;width:343.2pt;height:0;z-index:-2515527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Pj/4&#10;r9kAAAAIAQAADwAAAAAAAAAAAAAAAADCAwAAZHJzL2Rvd25yZXYueG1sUEsFBgAAAAAEAAQA8wAA&#10;AMgEAAAAAA==&#10;" strokeweight="1pt">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AAC9" w14:textId="77777777" w:rsidR="00093A32" w:rsidRDefault="00093A32">
    <w:pPr>
      <w:spacing w:line="1" w:lineRule="exact"/>
    </w:pPr>
    <w:r>
      <w:rPr>
        <w:noProof/>
      </w:rPr>
      <mc:AlternateContent>
        <mc:Choice Requires="wps">
          <w:drawing>
            <wp:anchor distT="0" distB="0" distL="0" distR="0" simplePos="0" relativeHeight="252002304" behindDoc="1" locked="0" layoutInCell="1" allowOverlap="1" wp14:anchorId="48079ED3" wp14:editId="6764F052">
              <wp:simplePos x="0" y="0"/>
              <wp:positionH relativeFrom="page">
                <wp:posOffset>2500630</wp:posOffset>
              </wp:positionH>
              <wp:positionV relativeFrom="page">
                <wp:posOffset>315595</wp:posOffset>
              </wp:positionV>
              <wp:extent cx="2355850" cy="69850"/>
              <wp:effectExtent l="0" t="0" r="0" b="0"/>
              <wp:wrapNone/>
              <wp:docPr id="802" name="Shape 802"/>
              <wp:cNvGraphicFramePr/>
              <a:graphic xmlns:a="http://schemas.openxmlformats.org/drawingml/2006/main">
                <a:graphicData uri="http://schemas.microsoft.com/office/word/2010/wordprocessingShape">
                  <wps:wsp>
                    <wps:cNvSpPr txBox="1"/>
                    <wps:spPr>
                      <a:xfrm>
                        <a:off x="0" y="0"/>
                        <a:ext cx="2355850" cy="69850"/>
                      </a:xfrm>
                      <a:prstGeom prst="rect">
                        <a:avLst/>
                      </a:prstGeom>
                      <a:noFill/>
                    </wps:spPr>
                    <wps:txbx>
                      <w:txbxContent>
                        <w:p w14:paraId="1A58EB8E"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8079ED3" id="_x0000_t202" coordsize="21600,21600" o:spt="202" path="m,l,21600r21600,l21600,xe">
              <v:stroke joinstyle="miter"/>
              <v:path gradientshapeok="t" o:connecttype="rect"/>
            </v:shapetype>
            <v:shape id="Shape 802" o:spid="_x0000_s1146" type="#_x0000_t202" style="position:absolute;margin-left:196.9pt;margin-top:24.85pt;width:185.5pt;height:5.5pt;z-index:-2513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" filled="f" stroked="f">
              <v:textbox style="mso-fit-shape-to-text:t" inset="0,0,0,0">
                <w:txbxContent>
                  <w:p w14:paraId="1A58EB8E"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5760" behindDoc="1" locked="0" layoutInCell="1" allowOverlap="1" wp14:anchorId="26647AAB" wp14:editId="77C2B5C7">
              <wp:simplePos x="0" y="0"/>
              <wp:positionH relativeFrom="page">
                <wp:posOffset>519430</wp:posOffset>
              </wp:positionH>
              <wp:positionV relativeFrom="page">
                <wp:posOffset>424180</wp:posOffset>
              </wp:positionV>
              <wp:extent cx="4358640" cy="0"/>
              <wp:effectExtent l="0" t="0" r="0" b="0"/>
              <wp:wrapNone/>
              <wp:docPr id="804" name="Shape 8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C775E61" id="_x0000_t32" coordsize="21600,21600" o:spt="32" o:oned="t" path="m,l21600,21600e" filled="f">
              <v:path arrowok="t" fillok="f" o:connecttype="none"/>
              <o:lock v:ext="edit" shapetype="t"/>
            </v:shapetype>
            <v:shape id="Shape 804" o:spid="_x0000_s1026" type="#_x0000_t32" style="position:absolute;margin-left:40.9pt;margin-top:33.4pt;width:343.2pt;height:0;z-index:-2515507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" strokeweight="1pt">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9CD5" w14:textId="77777777" w:rsidR="00093A32" w:rsidRDefault="00093A32">
    <w:pPr>
      <w:spacing w:line="1" w:lineRule="exact"/>
    </w:pPr>
    <w:r>
      <w:rPr>
        <w:noProof/>
      </w:rPr>
      <mc:AlternateContent>
        <mc:Choice Requires="wps">
          <w:drawing>
            <wp:anchor distT="0" distB="0" distL="0" distR="0" simplePos="0" relativeHeight="252001280" behindDoc="1" locked="0" layoutInCell="1" allowOverlap="1" wp14:anchorId="03C49453" wp14:editId="277ADF8A">
              <wp:simplePos x="0" y="0"/>
              <wp:positionH relativeFrom="page">
                <wp:posOffset>2500630</wp:posOffset>
              </wp:positionH>
              <wp:positionV relativeFrom="page">
                <wp:posOffset>315595</wp:posOffset>
              </wp:positionV>
              <wp:extent cx="2355850" cy="69850"/>
              <wp:effectExtent l="0" t="0" r="0" b="0"/>
              <wp:wrapNone/>
              <wp:docPr id="799" name="Shape 799"/>
              <wp:cNvGraphicFramePr/>
              <a:graphic xmlns:a="http://schemas.openxmlformats.org/drawingml/2006/main">
                <a:graphicData uri="http://schemas.microsoft.com/office/word/2010/wordprocessingShape">
                  <wps:wsp>
                    <wps:cNvSpPr txBox="1"/>
                    <wps:spPr>
                      <a:xfrm>
                        <a:off x="0" y="0"/>
                        <a:ext cx="2355850" cy="69850"/>
                      </a:xfrm>
                      <a:prstGeom prst="rect">
                        <a:avLst/>
                      </a:prstGeom>
                      <a:noFill/>
                    </wps:spPr>
                    <wps:txbx>
                      <w:txbxContent>
                        <w:p w14:paraId="305CD6EB"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3C49453" id="_x0000_t202" coordsize="21600,21600" o:spt="202" path="m,l,21600r21600,l21600,xe">
              <v:stroke joinstyle="miter"/>
              <v:path gradientshapeok="t" o:connecttype="rect"/>
            </v:shapetype>
            <v:shape id="Shape 799" o:spid="_x0000_s1147" type="#_x0000_t202" style="position:absolute;margin-left:196.9pt;margin-top:24.85pt;width:185.5pt;height:5.5pt;z-index:-2513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" filled="f" stroked="f">
              <v:textbox style="mso-fit-shape-to-text:t" inset="0,0,0,0">
                <w:txbxContent>
                  <w:p w14:paraId="305CD6EB"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4736" behindDoc="1" locked="0" layoutInCell="1" allowOverlap="1" wp14:anchorId="2FDE6B21" wp14:editId="02C09B19">
              <wp:simplePos x="0" y="0"/>
              <wp:positionH relativeFrom="page">
                <wp:posOffset>519430</wp:posOffset>
              </wp:positionH>
              <wp:positionV relativeFrom="page">
                <wp:posOffset>424180</wp:posOffset>
              </wp:positionV>
              <wp:extent cx="4358640" cy="0"/>
              <wp:effectExtent l="0" t="0" r="0" b="0"/>
              <wp:wrapNone/>
              <wp:docPr id="801" name="Shape 8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CBFA20F" id="_x0000_t32" coordsize="21600,21600" o:spt="32" o:oned="t" path="m,l21600,21600e" filled="f">
              <v:path arrowok="t" fillok="f" o:connecttype="none"/>
              <o:lock v:ext="edit" shapetype="t"/>
            </v:shapetype>
            <v:shape id="Shape 801" o:spid="_x0000_s1026" type="#_x0000_t32" style="position:absolute;margin-left:40.9pt;margin-top:33.4pt;width:343.2pt;height:0;z-index:-251551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" strokeweight="1pt">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0F20" w14:textId="77777777" w:rsidR="00093A32" w:rsidRDefault="00093A32">
    <w:pPr>
      <w:spacing w:line="1" w:lineRule="exact"/>
    </w:pPr>
    <w:r>
      <w:rPr>
        <w:noProof/>
      </w:rPr>
      <mc:AlternateContent>
        <mc:Choice Requires="wps">
          <w:drawing>
            <wp:anchor distT="0" distB="0" distL="0" distR="0" simplePos="0" relativeHeight="252004352" behindDoc="1" locked="0" layoutInCell="1" allowOverlap="1" wp14:anchorId="320AB3D9" wp14:editId="5FA2544A">
              <wp:simplePos x="0" y="0"/>
              <wp:positionH relativeFrom="page">
                <wp:posOffset>529590</wp:posOffset>
              </wp:positionH>
              <wp:positionV relativeFrom="page">
                <wp:posOffset>315595</wp:posOffset>
              </wp:positionV>
              <wp:extent cx="2365375" cy="69850"/>
              <wp:effectExtent l="0" t="0" r="0" b="0"/>
              <wp:wrapNone/>
              <wp:docPr id="808" name="Shape 808"/>
              <wp:cNvGraphicFramePr/>
              <a:graphic xmlns:a="http://schemas.openxmlformats.org/drawingml/2006/main">
                <a:graphicData uri="http://schemas.microsoft.com/office/word/2010/wordprocessingShape">
                  <wps:wsp>
                    <wps:cNvSpPr txBox="1"/>
                    <wps:spPr>
                      <a:xfrm>
                        <a:off x="0" y="0"/>
                        <a:ext cx="2365375" cy="69850"/>
                      </a:xfrm>
                      <a:prstGeom prst="rect">
                        <a:avLst/>
                      </a:prstGeom>
                      <a:noFill/>
                    </wps:spPr>
                    <wps:txbx>
                      <w:txbxContent>
                        <w:p w14:paraId="4ADEFD32" w14:textId="77777777" w:rsidR="00093A32" w:rsidRDefault="00093A32">
                          <w:pPr>
                            <w:pStyle w:val="Headerorfooter0"/>
                            <w:tabs>
                              <w:tab w:val="right" w:pos="3725"/>
                            </w:tabs>
                          </w:pPr>
                          <w:r>
                            <w:rPr>
                              <w:sz w:val="16"/>
                              <w:szCs w:val="16"/>
                            </w:rPr>
                            <w:t>284</w:t>
                          </w:r>
                          <w:r>
                            <w:rPr>
                              <w:sz w:val="16"/>
                              <w:szCs w:val="16"/>
                            </w:rPr>
                            <w:tab/>
                          </w:r>
                          <w:r>
                            <w:t>DIFTERIA</w:t>
                          </w:r>
                        </w:p>
                      </w:txbxContent>
                    </wps:txbx>
                    <wps:bodyPr lIns="0" tIns="0" rIns="0" bIns="0">
                      <a:spAutoFit/>
                    </wps:bodyPr>
                  </wps:wsp>
                </a:graphicData>
              </a:graphic>
            </wp:anchor>
          </w:drawing>
        </mc:Choice>
        <mc:Fallback>
          <w:pict>
            <v:shapetype w14:anchorId="320AB3D9" id="_x0000_t202" coordsize="21600,21600" o:spt="202" path="m,l,21600r21600,l21600,xe">
              <v:stroke joinstyle="miter"/>
              <v:path gradientshapeok="t" o:connecttype="rect"/>
            </v:shapetype>
            <v:shape id="Shape 808" o:spid="_x0000_s1148" type="#_x0000_t202" style="position:absolute;margin-left:41.7pt;margin-top:24.85pt;width:186.25pt;height:5.5pt;z-index:-2513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" filled="f" stroked="f">
              <v:textbox style="mso-fit-shape-to-text:t" inset="0,0,0,0">
                <w:txbxContent>
                  <w:p w14:paraId="4ADEFD32" w14:textId="77777777" w:rsidR="00093A32" w:rsidRDefault="00093A32">
                    <w:pPr>
                      <w:pStyle w:val="Headerorfooter0"/>
                      <w:tabs>
                        <w:tab w:val="right" w:pos="3725"/>
                      </w:tabs>
                    </w:pPr>
                    <w:r>
                      <w:rPr>
                        <w:sz w:val="16"/>
                        <w:szCs w:val="16"/>
                      </w:rPr>
                      <w:t>284</w:t>
                    </w:r>
                    <w:r>
                      <w:rPr>
                        <w:sz w:val="16"/>
                        <w:szCs w:val="16"/>
                      </w:rPr>
                      <w:tab/>
                    </w:r>
                    <w:r>
                      <w:t>DIFTERIA</w:t>
                    </w:r>
                  </w:p>
                </w:txbxContent>
              </v:textbox>
              <w10:wrap anchorx="page" anchory="page"/>
            </v:shape>
          </w:pict>
        </mc:Fallback>
      </mc:AlternateContent>
    </w:r>
    <w:r>
      <w:rPr>
        <w:noProof/>
      </w:rPr>
      <mc:AlternateContent>
        <mc:Choice Requires="wps">
          <w:drawing>
            <wp:anchor distT="0" distB="0" distL="114300" distR="114300" simplePos="0" relativeHeight="251767808" behindDoc="1" locked="0" layoutInCell="1" allowOverlap="1" wp14:anchorId="71887E29" wp14:editId="1C5CDE96">
              <wp:simplePos x="0" y="0"/>
              <wp:positionH relativeFrom="page">
                <wp:posOffset>514350</wp:posOffset>
              </wp:positionH>
              <wp:positionV relativeFrom="page">
                <wp:posOffset>424180</wp:posOffset>
              </wp:positionV>
              <wp:extent cx="4358640" cy="0"/>
              <wp:effectExtent l="0" t="0" r="0" b="0"/>
              <wp:wrapNone/>
              <wp:docPr id="810" name="Shape 81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2DD2409" id="_x0000_t32" coordsize="21600,21600" o:spt="32" o:oned="t" path="m,l21600,21600e" filled="f">
              <v:path arrowok="t" fillok="f" o:connecttype="none"/>
              <o:lock v:ext="edit" shapetype="t"/>
            </v:shapetype>
            <v:shape id="Shape 810" o:spid="_x0000_s1026" type="#_x0000_t32" style="position:absolute;margin-left:40.5pt;margin-top:33.4pt;width:343.2pt;height:0;z-index:-2515486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98D7" w14:textId="77777777" w:rsidR="00093A32" w:rsidRDefault="00093A32">
    <w:pPr>
      <w:spacing w:line="1" w:lineRule="exact"/>
    </w:pPr>
    <w:r>
      <w:rPr>
        <w:noProof/>
      </w:rPr>
      <mc:AlternateContent>
        <mc:Choice Requires="wps">
          <w:drawing>
            <wp:anchor distT="0" distB="0" distL="0" distR="0" simplePos="0" relativeHeight="252003328" behindDoc="1" locked="0" layoutInCell="1" allowOverlap="1" wp14:anchorId="31D3E55A" wp14:editId="291284C4">
              <wp:simplePos x="0" y="0"/>
              <wp:positionH relativeFrom="page">
                <wp:posOffset>529590</wp:posOffset>
              </wp:positionH>
              <wp:positionV relativeFrom="page">
                <wp:posOffset>315595</wp:posOffset>
              </wp:positionV>
              <wp:extent cx="2365375" cy="69850"/>
              <wp:effectExtent l="0" t="0" r="0" b="0"/>
              <wp:wrapNone/>
              <wp:docPr id="805" name="Shape 805"/>
              <wp:cNvGraphicFramePr/>
              <a:graphic xmlns:a="http://schemas.openxmlformats.org/drawingml/2006/main">
                <a:graphicData uri="http://schemas.microsoft.com/office/word/2010/wordprocessingShape">
                  <wps:wsp>
                    <wps:cNvSpPr txBox="1"/>
                    <wps:spPr>
                      <a:xfrm>
                        <a:off x="0" y="0"/>
                        <a:ext cx="2365375" cy="69850"/>
                      </a:xfrm>
                      <a:prstGeom prst="rect">
                        <a:avLst/>
                      </a:prstGeom>
                      <a:noFill/>
                    </wps:spPr>
                    <wps:txbx>
                      <w:txbxContent>
                        <w:p w14:paraId="21E3261C" w14:textId="77777777" w:rsidR="00093A32" w:rsidRDefault="00093A32">
                          <w:pPr>
                            <w:pStyle w:val="Headerorfooter0"/>
                            <w:tabs>
                              <w:tab w:val="right" w:pos="3725"/>
                            </w:tabs>
                          </w:pPr>
                          <w:r>
                            <w:rPr>
                              <w:sz w:val="16"/>
                              <w:szCs w:val="16"/>
                            </w:rPr>
                            <w:t>284</w:t>
                          </w:r>
                          <w:r>
                            <w:rPr>
                              <w:sz w:val="16"/>
                              <w:szCs w:val="16"/>
                            </w:rPr>
                            <w:tab/>
                          </w:r>
                          <w:r>
                            <w:t>DIFTERIA</w:t>
                          </w:r>
                        </w:p>
                      </w:txbxContent>
                    </wps:txbx>
                    <wps:bodyPr lIns="0" tIns="0" rIns="0" bIns="0">
                      <a:spAutoFit/>
                    </wps:bodyPr>
                  </wps:wsp>
                </a:graphicData>
              </a:graphic>
            </wp:anchor>
          </w:drawing>
        </mc:Choice>
        <mc:Fallback>
          <w:pict>
            <v:shapetype w14:anchorId="31D3E55A" id="_x0000_t202" coordsize="21600,21600" o:spt="202" path="m,l,21600r21600,l21600,xe">
              <v:stroke joinstyle="miter"/>
              <v:path gradientshapeok="t" o:connecttype="rect"/>
            </v:shapetype>
            <v:shape id="Shape 805" o:spid="_x0000_s1149" type="#_x0000_t202" style="position:absolute;margin-left:41.7pt;margin-top:24.85pt;width:186.25pt;height:5.5pt;z-index:-2513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" filled="f" stroked="f">
              <v:textbox style="mso-fit-shape-to-text:t" inset="0,0,0,0">
                <w:txbxContent>
                  <w:p w14:paraId="21E3261C" w14:textId="77777777" w:rsidR="00093A32" w:rsidRDefault="00093A32">
                    <w:pPr>
                      <w:pStyle w:val="Headerorfooter0"/>
                      <w:tabs>
                        <w:tab w:val="right" w:pos="3725"/>
                      </w:tabs>
                    </w:pPr>
                    <w:r>
                      <w:rPr>
                        <w:sz w:val="16"/>
                        <w:szCs w:val="16"/>
                      </w:rPr>
                      <w:t>284</w:t>
                    </w:r>
                    <w:r>
                      <w:rPr>
                        <w:sz w:val="16"/>
                        <w:szCs w:val="16"/>
                      </w:rPr>
                      <w:tab/>
                    </w:r>
                    <w:r>
                      <w:t>DIFTERIA</w:t>
                    </w:r>
                  </w:p>
                </w:txbxContent>
              </v:textbox>
              <w10:wrap anchorx="page" anchory="page"/>
            </v:shape>
          </w:pict>
        </mc:Fallback>
      </mc:AlternateContent>
    </w:r>
    <w:r>
      <w:rPr>
        <w:noProof/>
      </w:rPr>
      <mc:AlternateContent>
        <mc:Choice Requires="wps">
          <w:drawing>
            <wp:anchor distT="0" distB="0" distL="114300" distR="114300" simplePos="0" relativeHeight="251766784" behindDoc="1" locked="0" layoutInCell="1" allowOverlap="1" wp14:anchorId="467C093A" wp14:editId="1F7ACE7D">
              <wp:simplePos x="0" y="0"/>
              <wp:positionH relativeFrom="page">
                <wp:posOffset>514350</wp:posOffset>
              </wp:positionH>
              <wp:positionV relativeFrom="page">
                <wp:posOffset>424180</wp:posOffset>
              </wp:positionV>
              <wp:extent cx="4358640" cy="0"/>
              <wp:effectExtent l="0" t="0" r="0" b="0"/>
              <wp:wrapNone/>
              <wp:docPr id="807" name="Shape 8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4FADE25" id="_x0000_t32" coordsize="21600,21600" o:spt="32" o:oned="t" path="m,l21600,21600e" filled="f">
              <v:path arrowok="t" fillok="f" o:connecttype="none"/>
              <o:lock v:ext="edit" shapetype="t"/>
            </v:shapetype>
            <v:shape id="Shape 807" o:spid="_x0000_s1026" type="#_x0000_t32" style="position:absolute;margin-left:40.5pt;margin-top:33.4pt;width:343.2pt;height:0;z-index:-2515496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B482" w14:textId="77777777" w:rsidR="00093A32" w:rsidRDefault="00093A32">
    <w:pPr>
      <w:spacing w:line="1" w:lineRule="exact"/>
    </w:pPr>
    <w:r>
      <w:rPr>
        <w:noProof/>
      </w:rPr>
      <mc:AlternateContent>
        <mc:Choice Requires="wps">
          <w:drawing>
            <wp:anchor distT="0" distB="0" distL="0" distR="0" simplePos="0" relativeHeight="252006400" behindDoc="1" locked="0" layoutInCell="1" allowOverlap="1" wp14:anchorId="455051C6" wp14:editId="355DF3E5">
              <wp:simplePos x="0" y="0"/>
              <wp:positionH relativeFrom="page">
                <wp:posOffset>2500630</wp:posOffset>
              </wp:positionH>
              <wp:positionV relativeFrom="page">
                <wp:posOffset>315595</wp:posOffset>
              </wp:positionV>
              <wp:extent cx="2355850" cy="69850"/>
              <wp:effectExtent l="0" t="0" r="0" b="0"/>
              <wp:wrapNone/>
              <wp:docPr id="814" name="Shape 814"/>
              <wp:cNvGraphicFramePr/>
              <a:graphic xmlns:a="http://schemas.openxmlformats.org/drawingml/2006/main">
                <a:graphicData uri="http://schemas.microsoft.com/office/word/2010/wordprocessingShape">
                  <wps:wsp>
                    <wps:cNvSpPr txBox="1"/>
                    <wps:spPr>
                      <a:xfrm>
                        <a:off x="0" y="0"/>
                        <a:ext cx="2355850" cy="69850"/>
                      </a:xfrm>
                      <a:prstGeom prst="rect">
                        <a:avLst/>
                      </a:prstGeom>
                      <a:noFill/>
                    </wps:spPr>
                    <wps:txbx>
                      <w:txbxContent>
                        <w:p w14:paraId="1BA4EDDB"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55051C6" id="_x0000_t202" coordsize="21600,21600" o:spt="202" path="m,l,21600r21600,l21600,xe">
              <v:stroke joinstyle="miter"/>
              <v:path gradientshapeok="t" o:connecttype="rect"/>
            </v:shapetype>
            <v:shape id="Shape 814" o:spid="_x0000_s1150" type="#_x0000_t202" style="position:absolute;margin-left:196.9pt;margin-top:24.85pt;width:185.5pt;height:5.5pt;z-index:-2513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" filled="f" stroked="f">
              <v:textbox style="mso-fit-shape-to-text:t" inset="0,0,0,0">
                <w:txbxContent>
                  <w:p w14:paraId="1BA4EDDB"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9856" behindDoc="1" locked="0" layoutInCell="1" allowOverlap="1" wp14:anchorId="70625F4C" wp14:editId="08EECEEA">
              <wp:simplePos x="0" y="0"/>
              <wp:positionH relativeFrom="page">
                <wp:posOffset>519430</wp:posOffset>
              </wp:positionH>
              <wp:positionV relativeFrom="page">
                <wp:posOffset>424180</wp:posOffset>
              </wp:positionV>
              <wp:extent cx="4358640" cy="0"/>
              <wp:effectExtent l="0" t="0" r="0" b="0"/>
              <wp:wrapNone/>
              <wp:docPr id="816" name="Shape 81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691802" id="_x0000_t32" coordsize="21600,21600" o:spt="32" o:oned="t" path="m,l21600,21600e" filled="f">
              <v:path arrowok="t" fillok="f" o:connecttype="none"/>
              <o:lock v:ext="edit" shapetype="t"/>
            </v:shapetype>
            <v:shape id="Shape 816" o:spid="_x0000_s1026" type="#_x0000_t32" style="position:absolute;margin-left:40.9pt;margin-top:33.4pt;width:343.2pt;height:0;z-index:-2515466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" strokeweight="1pt">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F12B" w14:textId="77777777" w:rsidR="00093A32" w:rsidRDefault="00093A32">
    <w:pPr>
      <w:spacing w:line="1" w:lineRule="exact"/>
    </w:pPr>
    <w:r>
      <w:rPr>
        <w:noProof/>
      </w:rPr>
      <mc:AlternateContent>
        <mc:Choice Requires="wps">
          <w:drawing>
            <wp:anchor distT="0" distB="0" distL="0" distR="0" simplePos="0" relativeHeight="252005376" behindDoc="1" locked="0" layoutInCell="1" allowOverlap="1" wp14:anchorId="4C84947D" wp14:editId="15416311">
              <wp:simplePos x="0" y="0"/>
              <wp:positionH relativeFrom="page">
                <wp:posOffset>2500630</wp:posOffset>
              </wp:positionH>
              <wp:positionV relativeFrom="page">
                <wp:posOffset>315595</wp:posOffset>
              </wp:positionV>
              <wp:extent cx="2355850" cy="69850"/>
              <wp:effectExtent l="0" t="0" r="0" b="0"/>
              <wp:wrapNone/>
              <wp:docPr id="811" name="Shape 811"/>
              <wp:cNvGraphicFramePr/>
              <a:graphic xmlns:a="http://schemas.openxmlformats.org/drawingml/2006/main">
                <a:graphicData uri="http://schemas.microsoft.com/office/word/2010/wordprocessingShape">
                  <wps:wsp>
                    <wps:cNvSpPr txBox="1"/>
                    <wps:spPr>
                      <a:xfrm>
                        <a:off x="0" y="0"/>
                        <a:ext cx="2355850" cy="69850"/>
                      </a:xfrm>
                      <a:prstGeom prst="rect">
                        <a:avLst/>
                      </a:prstGeom>
                      <a:noFill/>
                    </wps:spPr>
                    <wps:txbx>
                      <w:txbxContent>
                        <w:p w14:paraId="0B1C5F49"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C84947D" id="_x0000_t202" coordsize="21600,21600" o:spt="202" path="m,l,21600r21600,l21600,xe">
              <v:stroke joinstyle="miter"/>
              <v:path gradientshapeok="t" o:connecttype="rect"/>
            </v:shapetype>
            <v:shape id="Shape 811" o:spid="_x0000_s1151" type="#_x0000_t202" style="position:absolute;margin-left:196.9pt;margin-top:24.85pt;width:185.5pt;height:5.5pt;z-index:-2513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" filled="f" stroked="f">
              <v:textbox style="mso-fit-shape-to-text:t" inset="0,0,0,0">
                <w:txbxContent>
                  <w:p w14:paraId="0B1C5F49" w14:textId="77777777" w:rsidR="00093A32" w:rsidRDefault="00093A32">
                    <w:pPr>
                      <w:pStyle w:val="Headerorfooter0"/>
                      <w:tabs>
                        <w:tab w:val="right" w:pos="3710"/>
                      </w:tabs>
                      <w:rPr>
                        <w:sz w:val="16"/>
                        <w:szCs w:val="16"/>
                      </w:rPr>
                    </w:pPr>
                    <w:r>
                      <w:t>DIFTERIA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8832" behindDoc="1" locked="0" layoutInCell="1" allowOverlap="1" wp14:anchorId="08824CFC" wp14:editId="09D00FCE">
              <wp:simplePos x="0" y="0"/>
              <wp:positionH relativeFrom="page">
                <wp:posOffset>519430</wp:posOffset>
              </wp:positionH>
              <wp:positionV relativeFrom="page">
                <wp:posOffset>424180</wp:posOffset>
              </wp:positionV>
              <wp:extent cx="4358640" cy="0"/>
              <wp:effectExtent l="0" t="0" r="0" b="0"/>
              <wp:wrapNone/>
              <wp:docPr id="813" name="Shape 8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82B2CC" id="_x0000_t32" coordsize="21600,21600" o:spt="32" o:oned="t" path="m,l21600,21600e" filled="f">
              <v:path arrowok="t" fillok="f" o:connecttype="none"/>
              <o:lock v:ext="edit" shapetype="t"/>
            </v:shapetype>
            <v:shape id="Shape 813" o:spid="_x0000_s1026" type="#_x0000_t32" style="position:absolute;margin-left:40.9pt;margin-top:33.4pt;width:343.2pt;height:0;z-index:-2515476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" strokeweight="1pt">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B027" w14:textId="77777777" w:rsidR="00093A32" w:rsidRDefault="00093A32">
    <w:pPr>
      <w:spacing w:line="1" w:lineRule="exact"/>
    </w:pPr>
    <w:r>
      <w:rPr>
        <w:noProof/>
      </w:rPr>
      <mc:AlternateContent>
        <mc:Choice Requires="wps">
          <w:drawing>
            <wp:anchor distT="0" distB="0" distL="0" distR="0" simplePos="0" relativeHeight="252008448" behindDoc="1" locked="0" layoutInCell="1" allowOverlap="1" wp14:anchorId="0DFB046A" wp14:editId="71E52149">
              <wp:simplePos x="0" y="0"/>
              <wp:positionH relativeFrom="page">
                <wp:posOffset>529590</wp:posOffset>
              </wp:positionH>
              <wp:positionV relativeFrom="page">
                <wp:posOffset>306705</wp:posOffset>
              </wp:positionV>
              <wp:extent cx="2724785" cy="79375"/>
              <wp:effectExtent l="0" t="0" r="0" b="0"/>
              <wp:wrapNone/>
              <wp:docPr id="820" name="Shape 820"/>
              <wp:cNvGraphicFramePr/>
              <a:graphic xmlns:a="http://schemas.openxmlformats.org/drawingml/2006/main">
                <a:graphicData uri="http://schemas.microsoft.com/office/word/2010/wordprocessingShape">
                  <wps:wsp>
                    <wps:cNvSpPr txBox="1"/>
                    <wps:spPr>
                      <a:xfrm>
                        <a:off x="0" y="0"/>
                        <a:ext cx="2724785" cy="79375"/>
                      </a:xfrm>
                      <a:prstGeom prst="rect">
                        <a:avLst/>
                      </a:prstGeom>
                      <a:noFill/>
                    </wps:spPr>
                    <wps:txbx>
                      <w:txbxContent>
                        <w:p w14:paraId="7FE3A7A2" w14:textId="77777777" w:rsidR="00093A32" w:rsidRDefault="00093A32">
                          <w:pPr>
                            <w:pStyle w:val="Headerorfooter0"/>
                            <w:tabs>
                              <w:tab w:val="right" w:pos="4291"/>
                            </w:tabs>
                          </w:pPr>
                          <w:r>
                            <w:rPr>
                              <w:sz w:val="16"/>
                              <w:szCs w:val="16"/>
                            </w:rPr>
                            <w:t>288</w:t>
                          </w:r>
                          <w:r>
                            <w:rPr>
                              <w:sz w:val="16"/>
                              <w:szCs w:val="16"/>
                            </w:rPr>
                            <w:tab/>
                          </w:r>
                          <w:r>
                            <w:rPr>
                              <w:i/>
                              <w:iCs/>
                            </w:rPr>
                            <w:t>EHRLICHIA,</w:t>
                          </w:r>
                          <w:r>
                            <w:t xml:space="preserve"> INFECCIONES</w:t>
                          </w:r>
                        </w:p>
                      </w:txbxContent>
                    </wps:txbx>
                    <wps:bodyPr lIns="0" tIns="0" rIns="0" bIns="0">
                      <a:spAutoFit/>
                    </wps:bodyPr>
                  </wps:wsp>
                </a:graphicData>
              </a:graphic>
            </wp:anchor>
          </w:drawing>
        </mc:Choice>
        <mc:Fallback>
          <w:pict>
            <v:shapetype w14:anchorId="0DFB046A" id="_x0000_t202" coordsize="21600,21600" o:spt="202" path="m,l,21600r21600,l21600,xe">
              <v:stroke joinstyle="miter"/>
              <v:path gradientshapeok="t" o:connecttype="rect"/>
            </v:shapetype>
            <v:shape id="Shape 820" o:spid="_x0000_s1152" type="#_x0000_t202" style="position:absolute;margin-left:41.7pt;margin-top:24.15pt;width:214.55pt;height:6.25pt;z-index:-2513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" filled="f" stroked="f">
              <v:textbox style="mso-fit-shape-to-text:t" inset="0,0,0,0">
                <w:txbxContent>
                  <w:p w14:paraId="7FE3A7A2" w14:textId="77777777" w:rsidR="00093A32" w:rsidRDefault="00093A32">
                    <w:pPr>
                      <w:pStyle w:val="Headerorfooter0"/>
                      <w:tabs>
                        <w:tab w:val="right" w:pos="4291"/>
                      </w:tabs>
                    </w:pPr>
                    <w:r>
                      <w:rPr>
                        <w:sz w:val="16"/>
                        <w:szCs w:val="16"/>
                      </w:rPr>
                      <w:t>288</w:t>
                    </w:r>
                    <w:r>
                      <w:rPr>
                        <w:sz w:val="16"/>
                        <w:szCs w:val="16"/>
                      </w:rPr>
                      <w:tab/>
                    </w:r>
                    <w:r>
                      <w:rPr>
                        <w:i/>
                        <w:iCs/>
                      </w:rPr>
                      <w:t>EHRLICHIA,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71904" behindDoc="1" locked="0" layoutInCell="1" allowOverlap="1" wp14:anchorId="7E3AD1FF" wp14:editId="319713CE">
              <wp:simplePos x="0" y="0"/>
              <wp:positionH relativeFrom="page">
                <wp:posOffset>514350</wp:posOffset>
              </wp:positionH>
              <wp:positionV relativeFrom="page">
                <wp:posOffset>414655</wp:posOffset>
              </wp:positionV>
              <wp:extent cx="4358640" cy="0"/>
              <wp:effectExtent l="0" t="0" r="0" b="0"/>
              <wp:wrapNone/>
              <wp:docPr id="822" name="Shape 82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20531D" id="_x0000_t32" coordsize="21600,21600" o:spt="32" o:oned="t" path="m,l21600,21600e" filled="f">
              <v:path arrowok="t" fillok="f" o:connecttype="none"/>
              <o:lock v:ext="edit" shapetype="t"/>
            </v:shapetype>
            <v:shape id="Shape 822" o:spid="_x0000_s1026" type="#_x0000_t32" style="position:absolute;margin-left:40.5pt;margin-top:32.65pt;width:343.2pt;height:0;z-index:-2515445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0A0B" w14:textId="77777777" w:rsidR="00093A32" w:rsidRDefault="00093A32">
    <w:pPr>
      <w:spacing w:line="1" w:lineRule="exact"/>
    </w:pPr>
    <w:r>
      <w:rPr>
        <w:noProof/>
      </w:rPr>
      <mc:AlternateContent>
        <mc:Choice Requires="wps">
          <w:drawing>
            <wp:anchor distT="0" distB="0" distL="0" distR="0" simplePos="0" relativeHeight="252007424" behindDoc="1" locked="0" layoutInCell="1" allowOverlap="1" wp14:anchorId="0BDF9C88" wp14:editId="1C84C6F4">
              <wp:simplePos x="0" y="0"/>
              <wp:positionH relativeFrom="page">
                <wp:posOffset>529590</wp:posOffset>
              </wp:positionH>
              <wp:positionV relativeFrom="page">
                <wp:posOffset>306705</wp:posOffset>
              </wp:positionV>
              <wp:extent cx="2724785" cy="79375"/>
              <wp:effectExtent l="0" t="0" r="0" b="0"/>
              <wp:wrapNone/>
              <wp:docPr id="817" name="Shape 817"/>
              <wp:cNvGraphicFramePr/>
              <a:graphic xmlns:a="http://schemas.openxmlformats.org/drawingml/2006/main">
                <a:graphicData uri="http://schemas.microsoft.com/office/word/2010/wordprocessingShape">
                  <wps:wsp>
                    <wps:cNvSpPr txBox="1"/>
                    <wps:spPr>
                      <a:xfrm>
                        <a:off x="0" y="0"/>
                        <a:ext cx="2724785" cy="79375"/>
                      </a:xfrm>
                      <a:prstGeom prst="rect">
                        <a:avLst/>
                      </a:prstGeom>
                      <a:noFill/>
                    </wps:spPr>
                    <wps:txbx>
                      <w:txbxContent>
                        <w:p w14:paraId="17603B7D" w14:textId="77777777" w:rsidR="00093A32" w:rsidRDefault="00093A32">
                          <w:pPr>
                            <w:pStyle w:val="Headerorfooter0"/>
                            <w:tabs>
                              <w:tab w:val="right" w:pos="4291"/>
                            </w:tabs>
                          </w:pPr>
                          <w:r>
                            <w:rPr>
                              <w:sz w:val="16"/>
                              <w:szCs w:val="16"/>
                            </w:rPr>
                            <w:t>288</w:t>
                          </w:r>
                          <w:r>
                            <w:rPr>
                              <w:sz w:val="16"/>
                              <w:szCs w:val="16"/>
                            </w:rPr>
                            <w:tab/>
                          </w:r>
                          <w:r>
                            <w:rPr>
                              <w:i/>
                              <w:iCs/>
                            </w:rPr>
                            <w:t>EHRLICHIA,</w:t>
                          </w:r>
                          <w:r>
                            <w:t xml:space="preserve"> INFECCIONES</w:t>
                          </w:r>
                        </w:p>
                      </w:txbxContent>
                    </wps:txbx>
                    <wps:bodyPr lIns="0" tIns="0" rIns="0" bIns="0">
                      <a:spAutoFit/>
                    </wps:bodyPr>
                  </wps:wsp>
                </a:graphicData>
              </a:graphic>
            </wp:anchor>
          </w:drawing>
        </mc:Choice>
        <mc:Fallback>
          <w:pict>
            <v:shapetype w14:anchorId="0BDF9C88" id="_x0000_t202" coordsize="21600,21600" o:spt="202" path="m,l,21600r21600,l21600,xe">
              <v:stroke joinstyle="miter"/>
              <v:path gradientshapeok="t" o:connecttype="rect"/>
            </v:shapetype>
            <v:shape id="Shape 817" o:spid="_x0000_s1153" type="#_x0000_t202" style="position:absolute;margin-left:41.7pt;margin-top:24.15pt;width:214.55pt;height:6.25pt;z-index:-2513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" filled="f" stroked="f">
              <v:textbox style="mso-fit-shape-to-text:t" inset="0,0,0,0">
                <w:txbxContent>
                  <w:p w14:paraId="17603B7D" w14:textId="77777777" w:rsidR="00093A32" w:rsidRDefault="00093A32">
                    <w:pPr>
                      <w:pStyle w:val="Headerorfooter0"/>
                      <w:tabs>
                        <w:tab w:val="right" w:pos="4291"/>
                      </w:tabs>
                    </w:pPr>
                    <w:r>
                      <w:rPr>
                        <w:sz w:val="16"/>
                        <w:szCs w:val="16"/>
                      </w:rPr>
                      <w:t>288</w:t>
                    </w:r>
                    <w:r>
                      <w:rPr>
                        <w:sz w:val="16"/>
                        <w:szCs w:val="16"/>
                      </w:rPr>
                      <w:tab/>
                    </w:r>
                    <w:r>
                      <w:rPr>
                        <w:i/>
                        <w:iCs/>
                      </w:rPr>
                      <w:t>EHRLICHIA,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70880" behindDoc="1" locked="0" layoutInCell="1" allowOverlap="1" wp14:anchorId="2CD1454D" wp14:editId="735C5976">
              <wp:simplePos x="0" y="0"/>
              <wp:positionH relativeFrom="page">
                <wp:posOffset>514350</wp:posOffset>
              </wp:positionH>
              <wp:positionV relativeFrom="page">
                <wp:posOffset>414655</wp:posOffset>
              </wp:positionV>
              <wp:extent cx="4358640" cy="0"/>
              <wp:effectExtent l="0" t="0" r="0" b="0"/>
              <wp:wrapNone/>
              <wp:docPr id="819" name="Shape 81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2F706F7" id="_x0000_t32" coordsize="21600,21600" o:spt="32" o:oned="t" path="m,l21600,21600e" filled="f">
              <v:path arrowok="t" fillok="f" o:connecttype="none"/>
              <o:lock v:ext="edit" shapetype="t"/>
            </v:shapetype>
            <v:shape id="Shape 819" o:spid="_x0000_s1026" type="#_x0000_t32" style="position:absolute;margin-left:40.5pt;margin-top:32.65pt;width:343.2pt;height:0;z-index:-2515456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335B" w14:textId="77777777" w:rsidR="00093A32" w:rsidRDefault="00093A32">
    <w:pPr>
      <w:spacing w:line="1" w:lineRule="exact"/>
    </w:pPr>
    <w:r>
      <w:rPr>
        <w:noProof/>
      </w:rPr>
      <mc:AlternateContent>
        <mc:Choice Requires="wps">
          <w:drawing>
            <wp:anchor distT="0" distB="0" distL="0" distR="0" simplePos="0" relativeHeight="252010496" behindDoc="1" locked="0" layoutInCell="1" allowOverlap="1" wp14:anchorId="38E0F070" wp14:editId="2874DA2C">
              <wp:simplePos x="0" y="0"/>
              <wp:positionH relativeFrom="page">
                <wp:posOffset>529590</wp:posOffset>
              </wp:positionH>
              <wp:positionV relativeFrom="page">
                <wp:posOffset>315595</wp:posOffset>
              </wp:positionV>
              <wp:extent cx="2487295" cy="69850"/>
              <wp:effectExtent l="0" t="0" r="0" b="0"/>
              <wp:wrapNone/>
              <wp:docPr id="826" name="Shape 826"/>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0BB4B783" w14:textId="77777777" w:rsidR="00093A32" w:rsidRDefault="00093A32">
                          <w:pPr>
                            <w:pStyle w:val="Headerorfooter0"/>
                            <w:tabs>
                              <w:tab w:val="right" w:pos="3917"/>
                            </w:tabs>
                          </w:pPr>
                          <w:r>
                            <w:rPr>
                              <w:sz w:val="16"/>
                              <w:szCs w:val="16"/>
                            </w:rPr>
                            <w:t>290</w:t>
                          </w:r>
                          <w:r>
                            <w:rPr>
                              <w:sz w:val="16"/>
                              <w:szCs w:val="16"/>
                            </w:rPr>
                            <w:tab/>
                          </w:r>
                          <w:r>
                            <w:t>ENTEROBIASIS</w:t>
                          </w:r>
                        </w:p>
                      </w:txbxContent>
                    </wps:txbx>
                    <wps:bodyPr lIns="0" tIns="0" rIns="0" bIns="0">
                      <a:spAutoFit/>
                    </wps:bodyPr>
                  </wps:wsp>
                </a:graphicData>
              </a:graphic>
            </wp:anchor>
          </w:drawing>
        </mc:Choice>
        <mc:Fallback>
          <w:pict>
            <v:shapetype w14:anchorId="38E0F070" id="_x0000_t202" coordsize="21600,21600" o:spt="202" path="m,l,21600r21600,l21600,xe">
              <v:stroke joinstyle="miter"/>
              <v:path gradientshapeok="t" o:connecttype="rect"/>
            </v:shapetype>
            <v:shape id="Shape 826" o:spid="_x0000_s1154" type="#_x0000_t202" style="position:absolute;margin-left:41.7pt;margin-top:24.85pt;width:195.85pt;height:5.5pt;z-index:-2513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" filled="f" stroked="f">
              <v:textbox style="mso-fit-shape-to-text:t" inset="0,0,0,0">
                <w:txbxContent>
                  <w:p w14:paraId="0BB4B783" w14:textId="77777777" w:rsidR="00093A32" w:rsidRDefault="00093A32">
                    <w:pPr>
                      <w:pStyle w:val="Headerorfooter0"/>
                      <w:tabs>
                        <w:tab w:val="right" w:pos="3917"/>
                      </w:tabs>
                    </w:pPr>
                    <w:r>
                      <w:rPr>
                        <w:sz w:val="16"/>
                        <w:szCs w:val="16"/>
                      </w:rPr>
                      <w:t>290</w:t>
                    </w:r>
                    <w:r>
                      <w:rPr>
                        <w:sz w:val="16"/>
                        <w:szCs w:val="16"/>
                      </w:rPr>
                      <w:tab/>
                    </w:r>
                    <w:r>
                      <w:t>ENTEROBIASIS</w:t>
                    </w:r>
                  </w:p>
                </w:txbxContent>
              </v:textbox>
              <w10:wrap anchorx="page" anchory="page"/>
            </v:shape>
          </w:pict>
        </mc:Fallback>
      </mc:AlternateContent>
    </w:r>
    <w:r>
      <w:rPr>
        <w:noProof/>
      </w:rPr>
      <mc:AlternateContent>
        <mc:Choice Requires="wps">
          <w:drawing>
            <wp:anchor distT="0" distB="0" distL="114300" distR="114300" simplePos="0" relativeHeight="251773952" behindDoc="1" locked="0" layoutInCell="1" allowOverlap="1" wp14:anchorId="25E28987" wp14:editId="7EC2B4B7">
              <wp:simplePos x="0" y="0"/>
              <wp:positionH relativeFrom="page">
                <wp:posOffset>514350</wp:posOffset>
              </wp:positionH>
              <wp:positionV relativeFrom="page">
                <wp:posOffset>424180</wp:posOffset>
              </wp:positionV>
              <wp:extent cx="4358640" cy="0"/>
              <wp:effectExtent l="0" t="0" r="0" b="0"/>
              <wp:wrapNone/>
              <wp:docPr id="828" name="Shape 8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9F06BEF" id="_x0000_t32" coordsize="21600,21600" o:spt="32" o:oned="t" path="m,l21600,21600e" filled="f">
              <v:path arrowok="t" fillok="f" o:connecttype="none"/>
              <o:lock v:ext="edit" shapetype="t"/>
            </v:shapetype>
            <v:shape id="Shape 828" o:spid="_x0000_s1026" type="#_x0000_t32" style="position:absolute;margin-left:40.5pt;margin-top:33.4pt;width:343.2pt;height:0;z-index:-2515425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53B3" w14:textId="77777777" w:rsidR="00093A32" w:rsidRDefault="00093A32">
    <w:pPr>
      <w:spacing w:line="1" w:lineRule="exact"/>
    </w:pPr>
    <w:r>
      <w:rPr>
        <w:noProof/>
      </w:rPr>
      <mc:AlternateContent>
        <mc:Choice Requires="wps">
          <w:drawing>
            <wp:anchor distT="0" distB="0" distL="0" distR="0" simplePos="0" relativeHeight="252009472" behindDoc="1" locked="0" layoutInCell="1" allowOverlap="1" wp14:anchorId="0E9BC4EC" wp14:editId="08DE4FB4">
              <wp:simplePos x="0" y="0"/>
              <wp:positionH relativeFrom="page">
                <wp:posOffset>529590</wp:posOffset>
              </wp:positionH>
              <wp:positionV relativeFrom="page">
                <wp:posOffset>315595</wp:posOffset>
              </wp:positionV>
              <wp:extent cx="2487295" cy="69850"/>
              <wp:effectExtent l="0" t="0" r="0" b="0"/>
              <wp:wrapNone/>
              <wp:docPr id="823" name="Shape 823"/>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656864FF" w14:textId="77777777" w:rsidR="00093A32" w:rsidRDefault="00093A32">
                          <w:pPr>
                            <w:pStyle w:val="Headerorfooter0"/>
                            <w:tabs>
                              <w:tab w:val="right" w:pos="3917"/>
                            </w:tabs>
                          </w:pPr>
                          <w:r>
                            <w:rPr>
                              <w:sz w:val="16"/>
                              <w:szCs w:val="16"/>
                            </w:rPr>
                            <w:t>290</w:t>
                          </w:r>
                          <w:r>
                            <w:rPr>
                              <w:sz w:val="16"/>
                              <w:szCs w:val="16"/>
                            </w:rPr>
                            <w:tab/>
                          </w:r>
                          <w:r>
                            <w:t>ENTEROBIASIS</w:t>
                          </w:r>
                        </w:p>
                      </w:txbxContent>
                    </wps:txbx>
                    <wps:bodyPr lIns="0" tIns="0" rIns="0" bIns="0">
                      <a:spAutoFit/>
                    </wps:bodyPr>
                  </wps:wsp>
                </a:graphicData>
              </a:graphic>
            </wp:anchor>
          </w:drawing>
        </mc:Choice>
        <mc:Fallback>
          <w:pict>
            <v:shapetype w14:anchorId="0E9BC4EC" id="_x0000_t202" coordsize="21600,21600" o:spt="202" path="m,l,21600r21600,l21600,xe">
              <v:stroke joinstyle="miter"/>
              <v:path gradientshapeok="t" o:connecttype="rect"/>
            </v:shapetype>
            <v:shape id="Shape 823" o:spid="_x0000_s1155" type="#_x0000_t202" style="position:absolute;margin-left:41.7pt;margin-top:24.85pt;width:195.85pt;height:5.5pt;z-index:-2513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" filled="f" stroked="f">
              <v:textbox style="mso-fit-shape-to-text:t" inset="0,0,0,0">
                <w:txbxContent>
                  <w:p w14:paraId="656864FF" w14:textId="77777777" w:rsidR="00093A32" w:rsidRDefault="00093A32">
                    <w:pPr>
                      <w:pStyle w:val="Headerorfooter0"/>
                      <w:tabs>
                        <w:tab w:val="right" w:pos="3917"/>
                      </w:tabs>
                    </w:pPr>
                    <w:r>
                      <w:rPr>
                        <w:sz w:val="16"/>
                        <w:szCs w:val="16"/>
                      </w:rPr>
                      <w:t>290</w:t>
                    </w:r>
                    <w:r>
                      <w:rPr>
                        <w:sz w:val="16"/>
                        <w:szCs w:val="16"/>
                      </w:rPr>
                      <w:tab/>
                    </w:r>
                    <w:r>
                      <w:t>ENTEROBIASIS</w:t>
                    </w:r>
                  </w:p>
                </w:txbxContent>
              </v:textbox>
              <w10:wrap anchorx="page" anchory="page"/>
            </v:shape>
          </w:pict>
        </mc:Fallback>
      </mc:AlternateContent>
    </w:r>
    <w:r>
      <w:rPr>
        <w:noProof/>
      </w:rPr>
      <mc:AlternateContent>
        <mc:Choice Requires="wps">
          <w:drawing>
            <wp:anchor distT="0" distB="0" distL="114300" distR="114300" simplePos="0" relativeHeight="251772928" behindDoc="1" locked="0" layoutInCell="1" allowOverlap="1" wp14:anchorId="53A4682F" wp14:editId="653DAAF7">
              <wp:simplePos x="0" y="0"/>
              <wp:positionH relativeFrom="page">
                <wp:posOffset>514350</wp:posOffset>
              </wp:positionH>
              <wp:positionV relativeFrom="page">
                <wp:posOffset>424180</wp:posOffset>
              </wp:positionV>
              <wp:extent cx="4358640" cy="0"/>
              <wp:effectExtent l="0" t="0" r="0" b="0"/>
              <wp:wrapNone/>
              <wp:docPr id="825" name="Shape 82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53F695A" id="_x0000_t32" coordsize="21600,21600" o:spt="32" o:oned="t" path="m,l21600,21600e" filled="f">
              <v:path arrowok="t" fillok="f" o:connecttype="none"/>
              <o:lock v:ext="edit" shapetype="t"/>
            </v:shapetype>
            <v:shape id="Shape 825" o:spid="_x0000_s1026" type="#_x0000_t32" style="position:absolute;margin-left:40.5pt;margin-top:33.4pt;width:343.2pt;height:0;z-index:-2515435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4249" w14:textId="77777777" w:rsidR="00093A32" w:rsidRDefault="00093A32">
    <w:pPr>
      <w:spacing w:line="1" w:lineRule="exact"/>
    </w:pPr>
    <w:r>
      <w:rPr>
        <w:noProof/>
      </w:rPr>
      <mc:AlternateContent>
        <mc:Choice Requires="wps">
          <w:drawing>
            <wp:anchor distT="0" distB="0" distL="0" distR="0" simplePos="0" relativeHeight="252011520" behindDoc="1" locked="0" layoutInCell="1" allowOverlap="1" wp14:anchorId="09D4A20C" wp14:editId="3D595172">
              <wp:simplePos x="0" y="0"/>
              <wp:positionH relativeFrom="page">
                <wp:posOffset>2131695</wp:posOffset>
              </wp:positionH>
              <wp:positionV relativeFrom="page">
                <wp:posOffset>306705</wp:posOffset>
              </wp:positionV>
              <wp:extent cx="2715895" cy="79375"/>
              <wp:effectExtent l="0" t="0" r="0" b="0"/>
              <wp:wrapNone/>
              <wp:docPr id="829" name="Shape 829"/>
              <wp:cNvGraphicFramePr/>
              <a:graphic xmlns:a="http://schemas.openxmlformats.org/drawingml/2006/main">
                <a:graphicData uri="http://schemas.microsoft.com/office/word/2010/wordprocessingShape">
                  <wps:wsp>
                    <wps:cNvSpPr txBox="1"/>
                    <wps:spPr>
                      <a:xfrm>
                        <a:off x="0" y="0"/>
                        <a:ext cx="2715895" cy="79375"/>
                      </a:xfrm>
                      <a:prstGeom prst="rect">
                        <a:avLst/>
                      </a:prstGeom>
                      <a:noFill/>
                    </wps:spPr>
                    <wps:txbx>
                      <w:txbxContent>
                        <w:p w14:paraId="5F157FA3" w14:textId="77777777" w:rsidR="00093A32" w:rsidRDefault="00093A32">
                          <w:pPr>
                            <w:pStyle w:val="Headerorfooter0"/>
                            <w:tabs>
                              <w:tab w:val="right" w:pos="4277"/>
                            </w:tabs>
                            <w:rPr>
                              <w:sz w:val="16"/>
                              <w:szCs w:val="16"/>
                            </w:rPr>
                          </w:pPr>
                          <w:r>
                            <w:rPr>
                              <w:i/>
                              <w:iCs/>
                            </w:rPr>
                            <w:t>EHRLICHIA,</w:t>
                          </w:r>
                          <w:r>
                            <w:t xml:space="preserve"> INFECCIONES</w:t>
                          </w:r>
                          <w:r>
                            <w:tab/>
                          </w:r>
                          <w:r>
                            <w:rPr>
                              <w:sz w:val="16"/>
                              <w:szCs w:val="16"/>
                            </w:rPr>
                            <w:t>289</w:t>
                          </w:r>
                        </w:p>
                      </w:txbxContent>
                    </wps:txbx>
                    <wps:bodyPr lIns="0" tIns="0" rIns="0" bIns="0">
                      <a:spAutoFit/>
                    </wps:bodyPr>
                  </wps:wsp>
                </a:graphicData>
              </a:graphic>
            </wp:anchor>
          </w:drawing>
        </mc:Choice>
        <mc:Fallback>
          <w:pict>
            <v:shapetype w14:anchorId="09D4A20C" id="_x0000_t202" coordsize="21600,21600" o:spt="202" path="m,l,21600r21600,l21600,xe">
              <v:stroke joinstyle="miter"/>
              <v:path gradientshapeok="t" o:connecttype="rect"/>
            </v:shapetype>
            <v:shape id="Shape 829" o:spid="_x0000_s1156" type="#_x0000_t202" style="position:absolute;margin-left:167.85pt;margin-top:24.15pt;width:213.85pt;height:6.25pt;z-index:-2513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" filled="f" stroked="f">
              <v:textbox style="mso-fit-shape-to-text:t" inset="0,0,0,0">
                <w:txbxContent>
                  <w:p w14:paraId="5F157FA3" w14:textId="77777777" w:rsidR="00093A32" w:rsidRDefault="00093A32">
                    <w:pPr>
                      <w:pStyle w:val="Headerorfooter0"/>
                      <w:tabs>
                        <w:tab w:val="right" w:pos="4277"/>
                      </w:tabs>
                      <w:rPr>
                        <w:sz w:val="16"/>
                        <w:szCs w:val="16"/>
                      </w:rPr>
                    </w:pPr>
                    <w:r>
                      <w:rPr>
                        <w:i/>
                        <w:iCs/>
                      </w:rPr>
                      <w:t>EHRLICHIA,</w:t>
                    </w:r>
                    <w:r>
                      <w:t xml:space="preserve"> INFECCIONES</w:t>
                    </w:r>
                    <w:r>
                      <w:tab/>
                    </w:r>
                    <w:r>
                      <w:rPr>
                        <w:sz w:val="16"/>
                        <w:szCs w:val="16"/>
                      </w:rPr>
                      <w:t>289</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832C" w14:textId="77777777" w:rsidR="00093A32" w:rsidRDefault="00093A32">
    <w:pPr>
      <w:spacing w:line="1" w:lineRule="exact"/>
    </w:pPr>
    <w:r>
      <w:rPr>
        <w:noProof/>
      </w:rPr>
      <mc:AlternateContent>
        <mc:Choice Requires="wps">
          <w:drawing>
            <wp:anchor distT="0" distB="0" distL="0" distR="0" simplePos="0" relativeHeight="252013568" behindDoc="1" locked="0" layoutInCell="1" allowOverlap="1" wp14:anchorId="269646E7" wp14:editId="6E2AC024">
              <wp:simplePos x="0" y="0"/>
              <wp:positionH relativeFrom="page">
                <wp:posOffset>1889125</wp:posOffset>
              </wp:positionH>
              <wp:positionV relativeFrom="page">
                <wp:posOffset>306705</wp:posOffset>
              </wp:positionV>
              <wp:extent cx="2968625" cy="79375"/>
              <wp:effectExtent l="0" t="0" r="0" b="0"/>
              <wp:wrapNone/>
              <wp:docPr id="834" name="Shape 834"/>
              <wp:cNvGraphicFramePr/>
              <a:graphic xmlns:a="http://schemas.openxmlformats.org/drawingml/2006/main">
                <a:graphicData uri="http://schemas.microsoft.com/office/word/2010/wordprocessingShape">
                  <wps:wsp>
                    <wps:cNvSpPr txBox="1"/>
                    <wps:spPr>
                      <a:xfrm>
                        <a:off x="0" y="0"/>
                        <a:ext cx="2968625" cy="79375"/>
                      </a:xfrm>
                      <a:prstGeom prst="rect">
                        <a:avLst/>
                      </a:prstGeom>
                      <a:noFill/>
                    </wps:spPr>
                    <wps:txbx>
                      <w:txbxContent>
                        <w:p w14:paraId="4829285C" w14:textId="77777777" w:rsidR="00093A32" w:rsidRDefault="00093A32">
                          <w:pPr>
                            <w:pStyle w:val="Headerorfooter0"/>
                            <w:tabs>
                              <w:tab w:val="right" w:pos="4675"/>
                            </w:tabs>
                            <w:rPr>
                              <w:sz w:val="16"/>
                              <w:szCs w:val="16"/>
                            </w:rPr>
                          </w:pPr>
                          <w:r>
                            <w:t>EPSTEIN-BARR, VIRUS, INFECCIONES</w:t>
                          </w:r>
                          <w:r>
                            <w:tab/>
                          </w:r>
                          <w:r>
                            <w:rPr>
                              <w:sz w:val="16"/>
                              <w:szCs w:val="16"/>
                            </w:rPr>
                            <w:t>293</w:t>
                          </w:r>
                        </w:p>
                      </w:txbxContent>
                    </wps:txbx>
                    <wps:bodyPr lIns="0" tIns="0" rIns="0" bIns="0">
                      <a:spAutoFit/>
                    </wps:bodyPr>
                  </wps:wsp>
                </a:graphicData>
              </a:graphic>
            </wp:anchor>
          </w:drawing>
        </mc:Choice>
        <mc:Fallback>
          <w:pict>
            <v:shapetype w14:anchorId="269646E7" id="_x0000_t202" coordsize="21600,21600" o:spt="202" path="m,l,21600r21600,l21600,xe">
              <v:stroke joinstyle="miter"/>
              <v:path gradientshapeok="t" o:connecttype="rect"/>
            </v:shapetype>
            <v:shape id="Shape 834" o:spid="_x0000_s1157" type="#_x0000_t202" style="position:absolute;margin-left:148.75pt;margin-top:24.15pt;width:233.75pt;height:6.25pt;z-index:-2513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" filled="f" stroked="f">
              <v:textbox style="mso-fit-shape-to-text:t" inset="0,0,0,0">
                <w:txbxContent>
                  <w:p w14:paraId="4829285C" w14:textId="77777777" w:rsidR="00093A32" w:rsidRDefault="00093A32">
                    <w:pPr>
                      <w:pStyle w:val="Headerorfooter0"/>
                      <w:tabs>
                        <w:tab w:val="right" w:pos="4675"/>
                      </w:tabs>
                      <w:rPr>
                        <w:sz w:val="16"/>
                        <w:szCs w:val="16"/>
                      </w:rPr>
                    </w:pPr>
                    <w:r>
                      <w:t>EPSTEIN-BARR, VIRUS, INFECCIONES</w:t>
                    </w:r>
                    <w:r>
                      <w:tab/>
                    </w:r>
                    <w:r>
                      <w:rPr>
                        <w:sz w:val="16"/>
                        <w:szCs w:val="16"/>
                      </w:rPr>
                      <w:t>293</w:t>
                    </w:r>
                  </w:p>
                </w:txbxContent>
              </v:textbox>
              <w10:wrap anchorx="page" anchory="page"/>
            </v:shape>
          </w:pict>
        </mc:Fallback>
      </mc:AlternateContent>
    </w:r>
    <w:r>
      <w:rPr>
        <w:noProof/>
      </w:rPr>
      <mc:AlternateContent>
        <mc:Choice Requires="wps">
          <w:drawing>
            <wp:anchor distT="0" distB="0" distL="114300" distR="114300" simplePos="0" relativeHeight="251776000" behindDoc="1" locked="0" layoutInCell="1" allowOverlap="1" wp14:anchorId="791A1611" wp14:editId="78CD8714">
              <wp:simplePos x="0" y="0"/>
              <wp:positionH relativeFrom="page">
                <wp:posOffset>520700</wp:posOffset>
              </wp:positionH>
              <wp:positionV relativeFrom="page">
                <wp:posOffset>414655</wp:posOffset>
              </wp:positionV>
              <wp:extent cx="4358640" cy="0"/>
              <wp:effectExtent l="0" t="0" r="0" b="0"/>
              <wp:wrapNone/>
              <wp:docPr id="836" name="Shape 8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6103034" id="_x0000_t32" coordsize="21600,21600" o:spt="32" o:oned="t" path="m,l21600,21600e" filled="f">
              <v:path arrowok="t" fillok="f" o:connecttype="none"/>
              <o:lock v:ext="edit" shapetype="t"/>
            </v:shapetype>
            <v:shape id="Shape 836" o:spid="_x0000_s1026" type="#_x0000_t32" style="position:absolute;margin-left:41pt;margin-top:32.65pt;width:343.2pt;height:0;z-index:-251540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" strokeweight="1pt">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B782" w14:textId="77777777" w:rsidR="00093A32" w:rsidRDefault="00093A32">
    <w:pPr>
      <w:spacing w:line="1" w:lineRule="exact"/>
    </w:pPr>
    <w:r>
      <w:rPr>
        <w:noProof/>
      </w:rPr>
      <mc:AlternateContent>
        <mc:Choice Requires="wps">
          <w:drawing>
            <wp:anchor distT="0" distB="0" distL="0" distR="0" simplePos="0" relativeHeight="252012544" behindDoc="1" locked="0" layoutInCell="1" allowOverlap="1" wp14:anchorId="7FC402AC" wp14:editId="1DA77CCB">
              <wp:simplePos x="0" y="0"/>
              <wp:positionH relativeFrom="page">
                <wp:posOffset>1889125</wp:posOffset>
              </wp:positionH>
              <wp:positionV relativeFrom="page">
                <wp:posOffset>306705</wp:posOffset>
              </wp:positionV>
              <wp:extent cx="2968625" cy="79375"/>
              <wp:effectExtent l="0" t="0" r="0" b="0"/>
              <wp:wrapNone/>
              <wp:docPr id="831" name="Shape 831"/>
              <wp:cNvGraphicFramePr/>
              <a:graphic xmlns:a="http://schemas.openxmlformats.org/drawingml/2006/main">
                <a:graphicData uri="http://schemas.microsoft.com/office/word/2010/wordprocessingShape">
                  <wps:wsp>
                    <wps:cNvSpPr txBox="1"/>
                    <wps:spPr>
                      <a:xfrm>
                        <a:off x="0" y="0"/>
                        <a:ext cx="2968625" cy="79375"/>
                      </a:xfrm>
                      <a:prstGeom prst="rect">
                        <a:avLst/>
                      </a:prstGeom>
                      <a:noFill/>
                    </wps:spPr>
                    <wps:txbx>
                      <w:txbxContent>
                        <w:p w14:paraId="4CBCE4C4" w14:textId="77777777" w:rsidR="00093A32" w:rsidRDefault="00093A32">
                          <w:pPr>
                            <w:pStyle w:val="Headerorfooter0"/>
                            <w:tabs>
                              <w:tab w:val="right" w:pos="4675"/>
                            </w:tabs>
                            <w:rPr>
                              <w:sz w:val="16"/>
                              <w:szCs w:val="16"/>
                            </w:rPr>
                          </w:pPr>
                          <w:r>
                            <w:t>EPSTEIN-BARR, VIRUS, INFECCIONES</w:t>
                          </w:r>
                          <w:r>
                            <w:tab/>
                          </w:r>
                          <w:r>
                            <w:rPr>
                              <w:sz w:val="16"/>
                              <w:szCs w:val="16"/>
                            </w:rPr>
                            <w:t>293</w:t>
                          </w:r>
                        </w:p>
                      </w:txbxContent>
                    </wps:txbx>
                    <wps:bodyPr lIns="0" tIns="0" rIns="0" bIns="0">
                      <a:spAutoFit/>
                    </wps:bodyPr>
                  </wps:wsp>
                </a:graphicData>
              </a:graphic>
            </wp:anchor>
          </w:drawing>
        </mc:Choice>
        <mc:Fallback>
          <w:pict>
            <v:shapetype w14:anchorId="7FC402AC" id="_x0000_t202" coordsize="21600,21600" o:spt="202" path="m,l,21600r21600,l21600,xe">
              <v:stroke joinstyle="miter"/>
              <v:path gradientshapeok="t" o:connecttype="rect"/>
            </v:shapetype>
            <v:shape id="Shape 831" o:spid="_x0000_s1158" type="#_x0000_t202" style="position:absolute;margin-left:148.75pt;margin-top:24.15pt;width:233.75pt;height:6.25pt;z-index:-2513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" filled="f" stroked="f">
              <v:textbox style="mso-fit-shape-to-text:t" inset="0,0,0,0">
                <w:txbxContent>
                  <w:p w14:paraId="4CBCE4C4" w14:textId="77777777" w:rsidR="00093A32" w:rsidRDefault="00093A32">
                    <w:pPr>
                      <w:pStyle w:val="Headerorfooter0"/>
                      <w:tabs>
                        <w:tab w:val="right" w:pos="4675"/>
                      </w:tabs>
                      <w:rPr>
                        <w:sz w:val="16"/>
                        <w:szCs w:val="16"/>
                      </w:rPr>
                    </w:pPr>
                    <w:r>
                      <w:t>EPSTEIN-BARR, VIRUS, INFECCIONES</w:t>
                    </w:r>
                    <w:r>
                      <w:tab/>
                    </w:r>
                    <w:r>
                      <w:rPr>
                        <w:sz w:val="16"/>
                        <w:szCs w:val="16"/>
                      </w:rPr>
                      <w:t>293</w:t>
                    </w:r>
                  </w:p>
                </w:txbxContent>
              </v:textbox>
              <w10:wrap anchorx="page" anchory="page"/>
            </v:shape>
          </w:pict>
        </mc:Fallback>
      </mc:AlternateContent>
    </w:r>
    <w:r>
      <w:rPr>
        <w:noProof/>
      </w:rPr>
      <mc:AlternateContent>
        <mc:Choice Requires="wps">
          <w:drawing>
            <wp:anchor distT="0" distB="0" distL="114300" distR="114300" simplePos="0" relativeHeight="251774976" behindDoc="1" locked="0" layoutInCell="1" allowOverlap="1" wp14:anchorId="3D6B3869" wp14:editId="555FE49E">
              <wp:simplePos x="0" y="0"/>
              <wp:positionH relativeFrom="page">
                <wp:posOffset>520700</wp:posOffset>
              </wp:positionH>
              <wp:positionV relativeFrom="page">
                <wp:posOffset>414655</wp:posOffset>
              </wp:positionV>
              <wp:extent cx="4358640" cy="0"/>
              <wp:effectExtent l="0" t="0" r="0" b="0"/>
              <wp:wrapNone/>
              <wp:docPr id="833" name="Shape 8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585A36" id="_x0000_t32" coordsize="21600,21600" o:spt="32" o:oned="t" path="m,l21600,21600e" filled="f">
              <v:path arrowok="t" fillok="f" o:connecttype="none"/>
              <o:lock v:ext="edit" shapetype="t"/>
            </v:shapetype>
            <v:shape id="Shape 833" o:spid="_x0000_s1026" type="#_x0000_t32" style="position:absolute;margin-left:41pt;margin-top:32.65pt;width:343.2pt;height:0;z-index:-2515415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" strokeweight="1pt">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0A59" w14:textId="77777777" w:rsidR="00093A32" w:rsidRDefault="00093A32">
    <w:pPr>
      <w:spacing w:line="1" w:lineRule="exact"/>
    </w:pPr>
    <w:r>
      <w:rPr>
        <w:noProof/>
      </w:rPr>
      <mc:AlternateContent>
        <mc:Choice Requires="wps">
          <w:drawing>
            <wp:anchor distT="0" distB="0" distL="0" distR="0" simplePos="0" relativeHeight="252014592" behindDoc="1" locked="0" layoutInCell="1" allowOverlap="1" wp14:anchorId="5AD25E62" wp14:editId="537BBF66">
              <wp:simplePos x="0" y="0"/>
              <wp:positionH relativeFrom="page">
                <wp:posOffset>527050</wp:posOffset>
              </wp:positionH>
              <wp:positionV relativeFrom="page">
                <wp:posOffset>285115</wp:posOffset>
              </wp:positionV>
              <wp:extent cx="3313430" cy="100330"/>
              <wp:effectExtent l="0" t="0" r="0" b="0"/>
              <wp:wrapNone/>
              <wp:docPr id="837" name="Shape 837"/>
              <wp:cNvGraphicFramePr/>
              <a:graphic xmlns:a="http://schemas.openxmlformats.org/drawingml/2006/main">
                <a:graphicData uri="http://schemas.microsoft.com/office/word/2010/wordprocessingShape">
                  <wps:wsp>
                    <wps:cNvSpPr txBox="1"/>
                    <wps:spPr>
                      <a:xfrm>
                        <a:off x="0" y="0"/>
                        <a:ext cx="3313430" cy="100330"/>
                      </a:xfrm>
                      <a:prstGeom prst="rect">
                        <a:avLst/>
                      </a:prstGeom>
                      <a:noFill/>
                    </wps:spPr>
                    <wps:txbx>
                      <w:txbxContent>
                        <w:p w14:paraId="11750E87" w14:textId="77777777" w:rsidR="00093A32" w:rsidRDefault="00093A32">
                          <w:pPr>
                            <w:pStyle w:val="Headerorfooter0"/>
                            <w:tabs>
                              <w:tab w:val="right" w:pos="5218"/>
                            </w:tabs>
                          </w:pPr>
                          <w:r>
                            <w:rPr>
                              <w:sz w:val="16"/>
                              <w:szCs w:val="16"/>
                            </w:rPr>
                            <w:t>292</w:t>
                          </w:r>
                          <w:r>
                            <w:rPr>
                              <w:sz w:val="16"/>
                              <w:szCs w:val="16"/>
                            </w:rPr>
                            <w:tab/>
                          </w:r>
                          <w:r>
                            <w:t>ENTEROVIRUS, INFECCIONES (NO POLIOMIELÍTICOS)</w:t>
                          </w:r>
                        </w:p>
                      </w:txbxContent>
                    </wps:txbx>
                    <wps:bodyPr lIns="0" tIns="0" rIns="0" bIns="0">
                      <a:spAutoFit/>
                    </wps:bodyPr>
                  </wps:wsp>
                </a:graphicData>
              </a:graphic>
            </wp:anchor>
          </w:drawing>
        </mc:Choice>
        <mc:Fallback>
          <w:pict>
            <v:shapetype w14:anchorId="5AD25E62" id="_x0000_t202" coordsize="21600,21600" o:spt="202" path="m,l,21600r21600,l21600,xe">
              <v:stroke joinstyle="miter"/>
              <v:path gradientshapeok="t" o:connecttype="rect"/>
            </v:shapetype>
            <v:shape id="Shape 837" o:spid="_x0000_s1159" type="#_x0000_t202" style="position:absolute;margin-left:41.5pt;margin-top:22.45pt;width:260.9pt;height:7.9pt;z-index:-2513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" filled="f" stroked="f">
              <v:textbox style="mso-fit-shape-to-text:t" inset="0,0,0,0">
                <w:txbxContent>
                  <w:p w14:paraId="11750E87" w14:textId="77777777" w:rsidR="00093A32" w:rsidRDefault="00093A32">
                    <w:pPr>
                      <w:pStyle w:val="Headerorfooter0"/>
                      <w:tabs>
                        <w:tab w:val="right" w:pos="5218"/>
                      </w:tabs>
                    </w:pPr>
                    <w:r>
                      <w:rPr>
                        <w:sz w:val="16"/>
                        <w:szCs w:val="16"/>
                      </w:rPr>
                      <w:t>292</w:t>
                    </w:r>
                    <w:r>
                      <w:rPr>
                        <w:sz w:val="16"/>
                        <w:szCs w:val="16"/>
                      </w:rPr>
                      <w:tab/>
                    </w:r>
                    <w:r>
                      <w:t>ENTEROVIRUS, INFECCIONES (NO POLIOMIELÍTICOS)</w:t>
                    </w:r>
                  </w:p>
                </w:txbxContent>
              </v:textbox>
              <w10:wrap anchorx="page" anchory="page"/>
            </v:shape>
          </w:pict>
        </mc:Fallback>
      </mc:AlternateContent>
    </w:r>
    <w:r>
      <w:rPr>
        <w:noProof/>
      </w:rPr>
      <mc:AlternateContent>
        <mc:Choice Requires="wps">
          <w:drawing>
            <wp:anchor distT="0" distB="0" distL="114300" distR="114300" simplePos="0" relativeHeight="251777024" behindDoc="1" locked="0" layoutInCell="1" allowOverlap="1" wp14:anchorId="4D6A982D" wp14:editId="0D5CD450">
              <wp:simplePos x="0" y="0"/>
              <wp:positionH relativeFrom="page">
                <wp:posOffset>511810</wp:posOffset>
              </wp:positionH>
              <wp:positionV relativeFrom="page">
                <wp:posOffset>408940</wp:posOffset>
              </wp:positionV>
              <wp:extent cx="4358640" cy="0"/>
              <wp:effectExtent l="0" t="0" r="0" b="0"/>
              <wp:wrapNone/>
              <wp:docPr id="839" name="Shape 8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00A8E3" id="_x0000_t32" coordsize="21600,21600" o:spt="32" o:oned="t" path="m,l21600,21600e" filled="f">
              <v:path arrowok="t" fillok="f" o:connecttype="none"/>
              <o:lock v:ext="edit" shapetype="t"/>
            </v:shapetype>
            <v:shape id="Shape 839" o:spid="_x0000_s1026" type="#_x0000_t32" style="position:absolute;margin-left:40.3pt;margin-top:32.2pt;width:343.2pt;height:0;z-index:-251539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CS8&#10;Ps/aAAAACAEAAA8AAAAAAAAAAAAAAAAAwgMAAGRycy9kb3ducmV2LnhtbFBLBQYAAAAABAAEAPMA&#10;AADJBAAAAAA=&#10;" strokeweight="1pt">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249F" w14:textId="77777777" w:rsidR="00093A32" w:rsidRDefault="00093A32">
    <w:pPr>
      <w:spacing w:line="1" w:lineRule="exact"/>
    </w:pPr>
    <w:r>
      <w:rPr>
        <w:noProof/>
      </w:rPr>
      <mc:AlternateContent>
        <mc:Choice Requires="wps">
          <w:drawing>
            <wp:anchor distT="0" distB="0" distL="0" distR="0" simplePos="0" relativeHeight="252016640" behindDoc="1" locked="0" layoutInCell="1" allowOverlap="1" wp14:anchorId="3D49ABFF" wp14:editId="4E58328C">
              <wp:simplePos x="0" y="0"/>
              <wp:positionH relativeFrom="page">
                <wp:posOffset>1889125</wp:posOffset>
              </wp:positionH>
              <wp:positionV relativeFrom="page">
                <wp:posOffset>306705</wp:posOffset>
              </wp:positionV>
              <wp:extent cx="2968625" cy="79375"/>
              <wp:effectExtent l="0" t="0" r="0" b="0"/>
              <wp:wrapNone/>
              <wp:docPr id="843" name="Shape 843"/>
              <wp:cNvGraphicFramePr/>
              <a:graphic xmlns:a="http://schemas.openxmlformats.org/drawingml/2006/main">
                <a:graphicData uri="http://schemas.microsoft.com/office/word/2010/wordprocessingShape">
                  <wps:wsp>
                    <wps:cNvSpPr txBox="1"/>
                    <wps:spPr>
                      <a:xfrm>
                        <a:off x="0" y="0"/>
                        <a:ext cx="2968625" cy="79375"/>
                      </a:xfrm>
                      <a:prstGeom prst="rect">
                        <a:avLst/>
                      </a:prstGeom>
                      <a:noFill/>
                    </wps:spPr>
                    <wps:txbx>
                      <w:txbxContent>
                        <w:p w14:paraId="6F46CA58" w14:textId="77777777" w:rsidR="00093A32" w:rsidRDefault="00093A32">
                          <w:pPr>
                            <w:pStyle w:val="Headerorfooter0"/>
                            <w:tabs>
                              <w:tab w:val="right" w:pos="4675"/>
                            </w:tabs>
                            <w:rPr>
                              <w:sz w:val="16"/>
                              <w:szCs w:val="16"/>
                            </w:rPr>
                          </w:pPr>
                          <w:r>
                            <w:t>EPSTEIN-BARR, VIRUS, INFECCIONES</w:t>
                          </w:r>
                          <w:r>
                            <w:tab/>
                          </w:r>
                          <w:r>
                            <w:rPr>
                              <w:sz w:val="16"/>
                              <w:szCs w:val="16"/>
                            </w:rPr>
                            <w:t>293</w:t>
                          </w:r>
                        </w:p>
                      </w:txbxContent>
                    </wps:txbx>
                    <wps:bodyPr lIns="0" tIns="0" rIns="0" bIns="0">
                      <a:spAutoFit/>
                    </wps:bodyPr>
                  </wps:wsp>
                </a:graphicData>
              </a:graphic>
            </wp:anchor>
          </w:drawing>
        </mc:Choice>
        <mc:Fallback>
          <w:pict>
            <v:shapetype w14:anchorId="3D49ABFF" id="_x0000_t202" coordsize="21600,21600" o:spt="202" path="m,l,21600r21600,l21600,xe">
              <v:stroke joinstyle="miter"/>
              <v:path gradientshapeok="t" o:connecttype="rect"/>
            </v:shapetype>
            <v:shape id="Shape 843" o:spid="_x0000_s1160" type="#_x0000_t202" style="position:absolute;margin-left:148.75pt;margin-top:24.15pt;width:233.75pt;height:6.25pt;z-index:-2512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94gAEAAPwCAAAOAAAAZHJzL2Uyb0RvYy54bWysUttOwzAMfUfiH6K8s25DjF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" filled="f" stroked="f">
              <v:textbox style="mso-fit-shape-to-text:t" inset="0,0,0,0">
                <w:txbxContent>
                  <w:p w14:paraId="6F46CA58" w14:textId="77777777" w:rsidR="00093A32" w:rsidRDefault="00093A32">
                    <w:pPr>
                      <w:pStyle w:val="Headerorfooter0"/>
                      <w:tabs>
                        <w:tab w:val="right" w:pos="4675"/>
                      </w:tabs>
                      <w:rPr>
                        <w:sz w:val="16"/>
                        <w:szCs w:val="16"/>
                      </w:rPr>
                    </w:pPr>
                    <w:r>
                      <w:t>EPSTEIN-BARR, VIRUS, INFECCIONES</w:t>
                    </w:r>
                    <w:r>
                      <w:tab/>
                    </w:r>
                    <w:r>
                      <w:rPr>
                        <w:sz w:val="16"/>
                        <w:szCs w:val="16"/>
                      </w:rPr>
                      <w:t>293</w:t>
                    </w:r>
                  </w:p>
                </w:txbxContent>
              </v:textbox>
              <w10:wrap anchorx="page" anchory="page"/>
            </v:shape>
          </w:pict>
        </mc:Fallback>
      </mc:AlternateContent>
    </w:r>
    <w:r>
      <w:rPr>
        <w:noProof/>
      </w:rPr>
      <mc:AlternateContent>
        <mc:Choice Requires="wps">
          <w:drawing>
            <wp:anchor distT="0" distB="0" distL="114300" distR="114300" simplePos="0" relativeHeight="251779072" behindDoc="1" locked="0" layoutInCell="1" allowOverlap="1" wp14:anchorId="289807B1" wp14:editId="6B6BDB2E">
              <wp:simplePos x="0" y="0"/>
              <wp:positionH relativeFrom="page">
                <wp:posOffset>520700</wp:posOffset>
              </wp:positionH>
              <wp:positionV relativeFrom="page">
                <wp:posOffset>414655</wp:posOffset>
              </wp:positionV>
              <wp:extent cx="4358640" cy="0"/>
              <wp:effectExtent l="0" t="0" r="0" b="0"/>
              <wp:wrapNone/>
              <wp:docPr id="845" name="Shape 8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234ED8" id="_x0000_t32" coordsize="21600,21600" o:spt="32" o:oned="t" path="m,l21600,21600e" filled="f">
              <v:path arrowok="t" fillok="f" o:connecttype="none"/>
              <o:lock v:ext="edit" shapetype="t"/>
            </v:shapetype>
            <v:shape id="Shape 845" o:spid="_x0000_s1026" type="#_x0000_t32" style="position:absolute;margin-left:41pt;margin-top:32.65pt;width:343.2pt;height:0;z-index:-2515374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" strokeweight="1pt">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D7F9" w14:textId="77777777" w:rsidR="00093A32" w:rsidRDefault="00093A32">
    <w:pPr>
      <w:spacing w:line="1" w:lineRule="exact"/>
    </w:pPr>
    <w:r>
      <w:rPr>
        <w:noProof/>
      </w:rPr>
      <mc:AlternateContent>
        <mc:Choice Requires="wps">
          <w:drawing>
            <wp:anchor distT="0" distB="0" distL="0" distR="0" simplePos="0" relativeHeight="252015616" behindDoc="1" locked="0" layoutInCell="1" allowOverlap="1" wp14:anchorId="23C4514C" wp14:editId="3D6FA581">
              <wp:simplePos x="0" y="0"/>
              <wp:positionH relativeFrom="page">
                <wp:posOffset>1889125</wp:posOffset>
              </wp:positionH>
              <wp:positionV relativeFrom="page">
                <wp:posOffset>306705</wp:posOffset>
              </wp:positionV>
              <wp:extent cx="2968625" cy="79375"/>
              <wp:effectExtent l="0" t="0" r="0" b="0"/>
              <wp:wrapNone/>
              <wp:docPr id="840" name="Shape 840"/>
              <wp:cNvGraphicFramePr/>
              <a:graphic xmlns:a="http://schemas.openxmlformats.org/drawingml/2006/main">
                <a:graphicData uri="http://schemas.microsoft.com/office/word/2010/wordprocessingShape">
                  <wps:wsp>
                    <wps:cNvSpPr txBox="1"/>
                    <wps:spPr>
                      <a:xfrm>
                        <a:off x="0" y="0"/>
                        <a:ext cx="2968625" cy="79375"/>
                      </a:xfrm>
                      <a:prstGeom prst="rect">
                        <a:avLst/>
                      </a:prstGeom>
                      <a:noFill/>
                    </wps:spPr>
                    <wps:txbx>
                      <w:txbxContent>
                        <w:p w14:paraId="2AF81B91" w14:textId="77777777" w:rsidR="00093A32" w:rsidRDefault="00093A32">
                          <w:pPr>
                            <w:pStyle w:val="Headerorfooter0"/>
                            <w:tabs>
                              <w:tab w:val="right" w:pos="4675"/>
                            </w:tabs>
                            <w:rPr>
                              <w:sz w:val="16"/>
                              <w:szCs w:val="16"/>
                            </w:rPr>
                          </w:pPr>
                          <w:r>
                            <w:t>EPSTEIN-BARR, VIRUS, INFECCIONES</w:t>
                          </w:r>
                          <w:r>
                            <w:tab/>
                          </w:r>
                          <w:r>
                            <w:rPr>
                              <w:sz w:val="16"/>
                              <w:szCs w:val="16"/>
                            </w:rPr>
                            <w:t>293</w:t>
                          </w:r>
                        </w:p>
                      </w:txbxContent>
                    </wps:txbx>
                    <wps:bodyPr lIns="0" tIns="0" rIns="0" bIns="0">
                      <a:spAutoFit/>
                    </wps:bodyPr>
                  </wps:wsp>
                </a:graphicData>
              </a:graphic>
            </wp:anchor>
          </w:drawing>
        </mc:Choice>
        <mc:Fallback>
          <w:pict>
            <v:shapetype w14:anchorId="23C4514C" id="_x0000_t202" coordsize="21600,21600" o:spt="202" path="m,l,21600r21600,l21600,xe">
              <v:stroke joinstyle="miter"/>
              <v:path gradientshapeok="t" o:connecttype="rect"/>
            </v:shapetype>
            <v:shape id="Shape 840" o:spid="_x0000_s1161" type="#_x0000_t202" style="position:absolute;margin-left:148.75pt;margin-top:24.15pt;width:233.75pt;height:6.25pt;z-index:-25130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" filled="f" stroked="f">
              <v:textbox style="mso-fit-shape-to-text:t" inset="0,0,0,0">
                <w:txbxContent>
                  <w:p w14:paraId="2AF81B91" w14:textId="77777777" w:rsidR="00093A32" w:rsidRDefault="00093A32">
                    <w:pPr>
                      <w:pStyle w:val="Headerorfooter0"/>
                      <w:tabs>
                        <w:tab w:val="right" w:pos="4675"/>
                      </w:tabs>
                      <w:rPr>
                        <w:sz w:val="16"/>
                        <w:szCs w:val="16"/>
                      </w:rPr>
                    </w:pPr>
                    <w:r>
                      <w:t>EPSTEIN-BARR, VIRUS, INFECCIONES</w:t>
                    </w:r>
                    <w:r>
                      <w:tab/>
                    </w:r>
                    <w:r>
                      <w:rPr>
                        <w:sz w:val="16"/>
                        <w:szCs w:val="16"/>
                      </w:rPr>
                      <w:t>293</w:t>
                    </w:r>
                  </w:p>
                </w:txbxContent>
              </v:textbox>
              <w10:wrap anchorx="page" anchory="page"/>
            </v:shape>
          </w:pict>
        </mc:Fallback>
      </mc:AlternateContent>
    </w:r>
    <w:r>
      <w:rPr>
        <w:noProof/>
      </w:rPr>
      <mc:AlternateContent>
        <mc:Choice Requires="wps">
          <w:drawing>
            <wp:anchor distT="0" distB="0" distL="114300" distR="114300" simplePos="0" relativeHeight="251778048" behindDoc="1" locked="0" layoutInCell="1" allowOverlap="1" wp14:anchorId="7F2D17FB" wp14:editId="7FFDFB61">
              <wp:simplePos x="0" y="0"/>
              <wp:positionH relativeFrom="page">
                <wp:posOffset>520700</wp:posOffset>
              </wp:positionH>
              <wp:positionV relativeFrom="page">
                <wp:posOffset>414655</wp:posOffset>
              </wp:positionV>
              <wp:extent cx="4358640" cy="0"/>
              <wp:effectExtent l="0" t="0" r="0" b="0"/>
              <wp:wrapNone/>
              <wp:docPr id="842" name="Shape 8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FF5793D" id="_x0000_t32" coordsize="21600,21600" o:spt="32" o:oned="t" path="m,l21600,21600e" filled="f">
              <v:path arrowok="t" fillok="f" o:connecttype="none"/>
              <o:lock v:ext="edit" shapetype="t"/>
            </v:shapetype>
            <v:shape id="Shape 842" o:spid="_x0000_s1026" type="#_x0000_t32" style="position:absolute;margin-left:41pt;margin-top:32.65pt;width:343.2pt;height:0;z-index:-251538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" strokeweight="1pt">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DACB" w14:textId="77777777" w:rsidR="00093A32" w:rsidRDefault="00093A32">
    <w:pPr>
      <w:spacing w:line="1" w:lineRule="exact"/>
    </w:pPr>
    <w:r>
      <w:rPr>
        <w:noProof/>
      </w:rPr>
      <mc:AlternateContent>
        <mc:Choice Requires="wps">
          <w:drawing>
            <wp:anchor distT="0" distB="0" distL="0" distR="0" simplePos="0" relativeHeight="252017664" behindDoc="1" locked="0" layoutInCell="1" allowOverlap="1" wp14:anchorId="4DA1BA8A" wp14:editId="507E152D">
              <wp:simplePos x="0" y="0"/>
              <wp:positionH relativeFrom="page">
                <wp:posOffset>529590</wp:posOffset>
              </wp:positionH>
              <wp:positionV relativeFrom="page">
                <wp:posOffset>306705</wp:posOffset>
              </wp:positionV>
              <wp:extent cx="2974975" cy="79375"/>
              <wp:effectExtent l="0" t="0" r="0" b="0"/>
              <wp:wrapNone/>
              <wp:docPr id="846" name="Shape 846"/>
              <wp:cNvGraphicFramePr/>
              <a:graphic xmlns:a="http://schemas.openxmlformats.org/drawingml/2006/main">
                <a:graphicData uri="http://schemas.microsoft.com/office/word/2010/wordprocessingShape">
                  <wps:wsp>
                    <wps:cNvSpPr txBox="1"/>
                    <wps:spPr>
                      <a:xfrm>
                        <a:off x="0" y="0"/>
                        <a:ext cx="2974975" cy="79375"/>
                      </a:xfrm>
                      <a:prstGeom prst="rect">
                        <a:avLst/>
                      </a:prstGeom>
                      <a:noFill/>
                    </wps:spPr>
                    <wps:txbx>
                      <w:txbxContent>
                        <w:p w14:paraId="221D61E6" w14:textId="77777777" w:rsidR="00093A32" w:rsidRDefault="00093A32">
                          <w:pPr>
                            <w:pStyle w:val="Headerorfooter0"/>
                            <w:tabs>
                              <w:tab w:val="right" w:pos="4685"/>
                            </w:tabs>
                          </w:pPr>
                          <w:r>
                            <w:rPr>
                              <w:sz w:val="16"/>
                              <w:szCs w:val="16"/>
                            </w:rPr>
                            <w:t>294</w:t>
                          </w:r>
                          <w:r>
                            <w:rPr>
                              <w:sz w:val="16"/>
                              <w:szCs w:val="16"/>
                            </w:rPr>
                            <w:tab/>
                          </w:r>
                          <w:r>
                            <w:t>EPSTEIN-BARR, VIRUS, INFECCIONES</w:t>
                          </w:r>
                        </w:p>
                      </w:txbxContent>
                    </wps:txbx>
                    <wps:bodyPr lIns="0" tIns="0" rIns="0" bIns="0">
                      <a:spAutoFit/>
                    </wps:bodyPr>
                  </wps:wsp>
                </a:graphicData>
              </a:graphic>
            </wp:anchor>
          </w:drawing>
        </mc:Choice>
        <mc:Fallback>
          <w:pict>
            <v:shapetype w14:anchorId="4DA1BA8A" id="_x0000_t202" coordsize="21600,21600" o:spt="202" path="m,l,21600r21600,l21600,xe">
              <v:stroke joinstyle="miter"/>
              <v:path gradientshapeok="t" o:connecttype="rect"/>
            </v:shapetype>
            <v:shape id="Shape 846" o:spid="_x0000_s1162" type="#_x0000_t202" style="position:absolute;margin-left:41.7pt;margin-top:24.15pt;width:234.25pt;height:6.25pt;z-index:-2512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" filled="f" stroked="f">
              <v:textbox style="mso-fit-shape-to-text:t" inset="0,0,0,0">
                <w:txbxContent>
                  <w:p w14:paraId="221D61E6" w14:textId="77777777" w:rsidR="00093A32" w:rsidRDefault="00093A32">
                    <w:pPr>
                      <w:pStyle w:val="Headerorfooter0"/>
                      <w:tabs>
                        <w:tab w:val="right" w:pos="4685"/>
                      </w:tabs>
                    </w:pPr>
                    <w:r>
                      <w:rPr>
                        <w:sz w:val="16"/>
                        <w:szCs w:val="16"/>
                      </w:rPr>
                      <w:t>294</w:t>
                    </w:r>
                    <w:r>
                      <w:rPr>
                        <w:sz w:val="16"/>
                        <w:szCs w:val="16"/>
                      </w:rPr>
                      <w:tab/>
                    </w:r>
                    <w:r>
                      <w:t>EPSTEIN-BARR, VIRUS, INFECCIONES</w:t>
                    </w:r>
                  </w:p>
                </w:txbxContent>
              </v:textbox>
              <w10:wrap anchorx="page" anchory="page"/>
            </v:shape>
          </w:pict>
        </mc:Fallback>
      </mc:AlternateContent>
    </w:r>
    <w:r>
      <w:rPr>
        <w:noProof/>
      </w:rPr>
      <mc:AlternateContent>
        <mc:Choice Requires="wps">
          <w:drawing>
            <wp:anchor distT="0" distB="0" distL="114300" distR="114300" simplePos="0" relativeHeight="251780096" behindDoc="1" locked="0" layoutInCell="1" allowOverlap="1" wp14:anchorId="0FFF3F69" wp14:editId="4E304D60">
              <wp:simplePos x="0" y="0"/>
              <wp:positionH relativeFrom="page">
                <wp:posOffset>514350</wp:posOffset>
              </wp:positionH>
              <wp:positionV relativeFrom="page">
                <wp:posOffset>414655</wp:posOffset>
              </wp:positionV>
              <wp:extent cx="4358640" cy="0"/>
              <wp:effectExtent l="0" t="0" r="0" b="0"/>
              <wp:wrapNone/>
              <wp:docPr id="848" name="Shape 8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B5A5300" id="_x0000_t32" coordsize="21600,21600" o:spt="32" o:oned="t" path="m,l21600,21600e" filled="f">
              <v:path arrowok="t" fillok="f" o:connecttype="none"/>
              <o:lock v:ext="edit" shapetype="t"/>
            </v:shapetype>
            <v:shape id="Shape 848" o:spid="_x0000_s1026" type="#_x0000_t32" style="position:absolute;margin-left:40.5pt;margin-top:32.65pt;width:343.2pt;height:0;z-index:-2515363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3D7E" w14:textId="77777777" w:rsidR="00093A32" w:rsidRDefault="00093A32">
    <w:pPr>
      <w:spacing w:line="1" w:lineRule="exact"/>
    </w:pPr>
    <w:r>
      <w:rPr>
        <w:noProof/>
      </w:rPr>
      <mc:AlternateContent>
        <mc:Choice Requires="wps">
          <w:drawing>
            <wp:anchor distT="0" distB="0" distL="0" distR="0" simplePos="0" relativeHeight="252019712" behindDoc="1" locked="0" layoutInCell="1" allowOverlap="1" wp14:anchorId="2E15387D" wp14:editId="7F24DA5D">
              <wp:simplePos x="0" y="0"/>
              <wp:positionH relativeFrom="page">
                <wp:posOffset>531495</wp:posOffset>
              </wp:positionH>
              <wp:positionV relativeFrom="page">
                <wp:posOffset>306705</wp:posOffset>
              </wp:positionV>
              <wp:extent cx="3395345" cy="79375"/>
              <wp:effectExtent l="0" t="0" r="0" b="0"/>
              <wp:wrapNone/>
              <wp:docPr id="852" name="Shape 852"/>
              <wp:cNvGraphicFramePr/>
              <a:graphic xmlns:a="http://schemas.openxmlformats.org/drawingml/2006/main">
                <a:graphicData uri="http://schemas.microsoft.com/office/word/2010/wordprocessingShape">
                  <wps:wsp>
                    <wps:cNvSpPr txBox="1"/>
                    <wps:spPr>
                      <a:xfrm>
                        <a:off x="0" y="0"/>
                        <a:ext cx="3395345" cy="79375"/>
                      </a:xfrm>
                      <a:prstGeom prst="rect">
                        <a:avLst/>
                      </a:prstGeom>
                      <a:noFill/>
                    </wps:spPr>
                    <wps:txbx>
                      <w:txbxContent>
                        <w:p w14:paraId="5984EFEC" w14:textId="77777777" w:rsidR="00093A32" w:rsidRDefault="00093A32">
                          <w:pPr>
                            <w:pStyle w:val="Headerorfooter0"/>
                            <w:tabs>
                              <w:tab w:val="right" w:pos="5347"/>
                            </w:tabs>
                          </w:pPr>
                          <w:r>
                            <w:rPr>
                              <w:sz w:val="16"/>
                              <w:szCs w:val="16"/>
                            </w:rPr>
                            <w:t>298</w:t>
                          </w:r>
                          <w:r>
                            <w:rPr>
                              <w:sz w:val="16"/>
                              <w:szCs w:val="16"/>
                            </w:rPr>
                            <w:tab/>
                          </w:r>
                          <w:r>
                            <w:rPr>
                              <w:i/>
                              <w:iCs/>
                              <w:sz w:val="13"/>
                              <w:szCs w:val="13"/>
                            </w:rPr>
                            <w:t>ESCHERICHIA COLI</w:t>
                          </w:r>
                          <w:r>
                            <w:rPr>
                              <w:i/>
                              <w:iCs/>
                            </w:rPr>
                            <w:t>,</w:t>
                          </w:r>
                          <w:r>
                            <w:t xml:space="preserve"> Y OTROS BACILOS GRAMNEGATIVOS</w:t>
                          </w:r>
                        </w:p>
                      </w:txbxContent>
                    </wps:txbx>
                    <wps:bodyPr lIns="0" tIns="0" rIns="0" bIns="0">
                      <a:spAutoFit/>
                    </wps:bodyPr>
                  </wps:wsp>
                </a:graphicData>
              </a:graphic>
            </wp:anchor>
          </w:drawing>
        </mc:Choice>
        <mc:Fallback>
          <w:pict>
            <v:shapetype w14:anchorId="2E15387D" id="_x0000_t202" coordsize="21600,21600" o:spt="202" path="m,l,21600r21600,l21600,xe">
              <v:stroke joinstyle="miter"/>
              <v:path gradientshapeok="t" o:connecttype="rect"/>
            </v:shapetype>
            <v:shape id="Shape 852" o:spid="_x0000_s1163" type="#_x0000_t202" style="position:absolute;margin-left:41.85pt;margin-top:24.15pt;width:267.35pt;height:6.25pt;z-index:-2512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" filled="f" stroked="f">
              <v:textbox style="mso-fit-shape-to-text:t" inset="0,0,0,0">
                <w:txbxContent>
                  <w:p w14:paraId="5984EFEC" w14:textId="77777777" w:rsidR="00093A32" w:rsidRDefault="00093A32">
                    <w:pPr>
                      <w:pStyle w:val="Headerorfooter0"/>
                      <w:tabs>
                        <w:tab w:val="right" w:pos="5347"/>
                      </w:tabs>
                    </w:pPr>
                    <w:r>
                      <w:rPr>
                        <w:sz w:val="16"/>
                        <w:szCs w:val="16"/>
                      </w:rPr>
                      <w:t>298</w:t>
                    </w:r>
                    <w:r>
                      <w:rPr>
                        <w:sz w:val="16"/>
                        <w:szCs w:val="16"/>
                      </w:rPr>
                      <w:tab/>
                    </w:r>
                    <w:r>
                      <w:rPr>
                        <w:i/>
                        <w:iCs/>
                        <w:sz w:val="13"/>
                        <w:szCs w:val="13"/>
                      </w:rPr>
                      <w:t>ESCHERICHIA COLI</w:t>
                    </w:r>
                    <w:r>
                      <w:rPr>
                        <w:i/>
                        <w:iCs/>
                      </w:rPr>
                      <w:t>,</w:t>
                    </w:r>
                    <w:r>
                      <w:t xml:space="preserve"> Y OTROS BACILOS GRAMNEGATIVOS</w:t>
                    </w:r>
                  </w:p>
                </w:txbxContent>
              </v:textbox>
              <w10:wrap anchorx="page" anchory="page"/>
            </v:shape>
          </w:pict>
        </mc:Fallback>
      </mc:AlternateContent>
    </w:r>
    <w:r>
      <w:rPr>
        <w:noProof/>
      </w:rPr>
      <mc:AlternateContent>
        <mc:Choice Requires="wps">
          <w:drawing>
            <wp:anchor distT="0" distB="0" distL="114300" distR="114300" simplePos="0" relativeHeight="251782144" behindDoc="1" locked="0" layoutInCell="1" allowOverlap="1" wp14:anchorId="43DA2283" wp14:editId="226AD7D4">
              <wp:simplePos x="0" y="0"/>
              <wp:positionH relativeFrom="page">
                <wp:posOffset>516255</wp:posOffset>
              </wp:positionH>
              <wp:positionV relativeFrom="page">
                <wp:posOffset>414655</wp:posOffset>
              </wp:positionV>
              <wp:extent cx="4358640" cy="0"/>
              <wp:effectExtent l="0" t="0" r="0" b="0"/>
              <wp:wrapNone/>
              <wp:docPr id="854" name="Shape 8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C56208B" id="_x0000_t32" coordsize="21600,21600" o:spt="32" o:oned="t" path="m,l21600,21600e" filled="f">
              <v:path arrowok="t" fillok="f" o:connecttype="none"/>
              <o:lock v:ext="edit" shapetype="t"/>
            </v:shapetype>
            <v:shape id="Shape 854" o:spid="_x0000_s1026" type="#_x0000_t32" style="position:absolute;margin-left:40.65pt;margin-top:32.65pt;width:343.2pt;height:0;z-index:-2515343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1E38" w14:textId="77777777" w:rsidR="00093A32" w:rsidRDefault="00093A32">
    <w:pPr>
      <w:spacing w:line="1" w:lineRule="exact"/>
    </w:pPr>
    <w:r>
      <w:rPr>
        <w:noProof/>
      </w:rPr>
      <mc:AlternateContent>
        <mc:Choice Requires="wps">
          <w:drawing>
            <wp:anchor distT="0" distB="0" distL="0" distR="0" simplePos="0" relativeHeight="252018688" behindDoc="1" locked="0" layoutInCell="1" allowOverlap="1" wp14:anchorId="77E6AA7E" wp14:editId="672792BD">
              <wp:simplePos x="0" y="0"/>
              <wp:positionH relativeFrom="page">
                <wp:posOffset>531495</wp:posOffset>
              </wp:positionH>
              <wp:positionV relativeFrom="page">
                <wp:posOffset>306705</wp:posOffset>
              </wp:positionV>
              <wp:extent cx="3395345" cy="79375"/>
              <wp:effectExtent l="0" t="0" r="0" b="0"/>
              <wp:wrapNone/>
              <wp:docPr id="849" name="Shape 849"/>
              <wp:cNvGraphicFramePr/>
              <a:graphic xmlns:a="http://schemas.openxmlformats.org/drawingml/2006/main">
                <a:graphicData uri="http://schemas.microsoft.com/office/word/2010/wordprocessingShape">
                  <wps:wsp>
                    <wps:cNvSpPr txBox="1"/>
                    <wps:spPr>
                      <a:xfrm>
                        <a:off x="0" y="0"/>
                        <a:ext cx="3395345" cy="79375"/>
                      </a:xfrm>
                      <a:prstGeom prst="rect">
                        <a:avLst/>
                      </a:prstGeom>
                      <a:noFill/>
                    </wps:spPr>
                    <wps:txbx>
                      <w:txbxContent>
                        <w:p w14:paraId="662172DA" w14:textId="77777777" w:rsidR="00093A32" w:rsidRDefault="00093A32">
                          <w:pPr>
                            <w:pStyle w:val="Headerorfooter0"/>
                            <w:tabs>
                              <w:tab w:val="right" w:pos="5347"/>
                            </w:tabs>
                          </w:pPr>
                          <w:r>
                            <w:rPr>
                              <w:sz w:val="16"/>
                              <w:szCs w:val="16"/>
                            </w:rPr>
                            <w:t>298</w:t>
                          </w:r>
                          <w:r>
                            <w:rPr>
                              <w:sz w:val="16"/>
                              <w:szCs w:val="16"/>
                            </w:rPr>
                            <w:tab/>
                          </w:r>
                          <w:r>
                            <w:rPr>
                              <w:i/>
                              <w:iCs/>
                              <w:sz w:val="13"/>
                              <w:szCs w:val="13"/>
                            </w:rPr>
                            <w:t>ESCHERICHIA COLI</w:t>
                          </w:r>
                          <w:r>
                            <w:rPr>
                              <w:i/>
                              <w:iCs/>
                            </w:rPr>
                            <w:t>,</w:t>
                          </w:r>
                          <w:r>
                            <w:t xml:space="preserve"> Y OTROS BACILOS GRAMNEGATIVOS</w:t>
                          </w:r>
                        </w:p>
                      </w:txbxContent>
                    </wps:txbx>
                    <wps:bodyPr lIns="0" tIns="0" rIns="0" bIns="0">
                      <a:spAutoFit/>
                    </wps:bodyPr>
                  </wps:wsp>
                </a:graphicData>
              </a:graphic>
            </wp:anchor>
          </w:drawing>
        </mc:Choice>
        <mc:Fallback>
          <w:pict>
            <v:shapetype w14:anchorId="77E6AA7E" id="_x0000_t202" coordsize="21600,21600" o:spt="202" path="m,l,21600r21600,l21600,xe">
              <v:stroke joinstyle="miter"/>
              <v:path gradientshapeok="t" o:connecttype="rect"/>
            </v:shapetype>
            <v:shape id="Shape 849" o:spid="_x0000_s1164" type="#_x0000_t202" style="position:absolute;margin-left:41.85pt;margin-top:24.15pt;width:267.35pt;height:6.25pt;z-index:-2512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" filled="f" stroked="f">
              <v:textbox style="mso-fit-shape-to-text:t" inset="0,0,0,0">
                <w:txbxContent>
                  <w:p w14:paraId="662172DA" w14:textId="77777777" w:rsidR="00093A32" w:rsidRDefault="00093A32">
                    <w:pPr>
                      <w:pStyle w:val="Headerorfooter0"/>
                      <w:tabs>
                        <w:tab w:val="right" w:pos="5347"/>
                      </w:tabs>
                    </w:pPr>
                    <w:r>
                      <w:rPr>
                        <w:sz w:val="16"/>
                        <w:szCs w:val="16"/>
                      </w:rPr>
                      <w:t>298</w:t>
                    </w:r>
                    <w:r>
                      <w:rPr>
                        <w:sz w:val="16"/>
                        <w:szCs w:val="16"/>
                      </w:rPr>
                      <w:tab/>
                    </w:r>
                    <w:r>
                      <w:rPr>
                        <w:i/>
                        <w:iCs/>
                        <w:sz w:val="13"/>
                        <w:szCs w:val="13"/>
                      </w:rPr>
                      <w:t>ESCHERICHIA COLI</w:t>
                    </w:r>
                    <w:r>
                      <w:rPr>
                        <w:i/>
                        <w:iCs/>
                      </w:rPr>
                      <w:t>,</w:t>
                    </w:r>
                    <w:r>
                      <w:t xml:space="preserve"> Y OTROS BACILOS GRAMNEGATIVOS</w:t>
                    </w:r>
                  </w:p>
                </w:txbxContent>
              </v:textbox>
              <w10:wrap anchorx="page" anchory="page"/>
            </v:shape>
          </w:pict>
        </mc:Fallback>
      </mc:AlternateContent>
    </w:r>
    <w:r>
      <w:rPr>
        <w:noProof/>
      </w:rPr>
      <mc:AlternateContent>
        <mc:Choice Requires="wps">
          <w:drawing>
            <wp:anchor distT="0" distB="0" distL="114300" distR="114300" simplePos="0" relativeHeight="251781120" behindDoc="1" locked="0" layoutInCell="1" allowOverlap="1" wp14:anchorId="74355D4F" wp14:editId="3E499B2E">
              <wp:simplePos x="0" y="0"/>
              <wp:positionH relativeFrom="page">
                <wp:posOffset>516255</wp:posOffset>
              </wp:positionH>
              <wp:positionV relativeFrom="page">
                <wp:posOffset>414655</wp:posOffset>
              </wp:positionV>
              <wp:extent cx="4358640" cy="0"/>
              <wp:effectExtent l="0" t="0" r="0" b="0"/>
              <wp:wrapNone/>
              <wp:docPr id="851" name="Shape 8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377B11" id="_x0000_t32" coordsize="21600,21600" o:spt="32" o:oned="t" path="m,l21600,21600e" filled="f">
              <v:path arrowok="t" fillok="f" o:connecttype="none"/>
              <o:lock v:ext="edit" shapetype="t"/>
            </v:shapetype>
            <v:shape id="Shape 851" o:spid="_x0000_s1026" type="#_x0000_t32" style="position:absolute;margin-left:40.65pt;margin-top:32.65pt;width:343.2pt;height:0;z-index:-2515353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" strokeweight="1pt">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08BF" w14:textId="77777777" w:rsidR="00093A32" w:rsidRDefault="00093A32">
    <w:pPr>
      <w:spacing w:line="1" w:lineRule="exact"/>
    </w:pPr>
    <w:r>
      <w:rPr>
        <w:noProof/>
      </w:rPr>
      <mc:AlternateContent>
        <mc:Choice Requires="wps">
          <w:drawing>
            <wp:anchor distT="0" distB="0" distL="0" distR="0" simplePos="0" relativeHeight="252020736" behindDoc="1" locked="0" layoutInCell="1" allowOverlap="1" wp14:anchorId="28D31ABD" wp14:editId="45B59522">
              <wp:simplePos x="0" y="0"/>
              <wp:positionH relativeFrom="page">
                <wp:posOffset>537210</wp:posOffset>
              </wp:positionH>
              <wp:positionV relativeFrom="page">
                <wp:posOffset>315595</wp:posOffset>
              </wp:positionV>
              <wp:extent cx="2423160" cy="69850"/>
              <wp:effectExtent l="0" t="0" r="0" b="0"/>
              <wp:wrapNone/>
              <wp:docPr id="855" name="Shape 855"/>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2F17B788" w14:textId="77777777" w:rsidR="00093A32" w:rsidRDefault="00093A32">
                          <w:pPr>
                            <w:pStyle w:val="Headerorfooter0"/>
                            <w:tabs>
                              <w:tab w:val="right" w:pos="3816"/>
                            </w:tabs>
                          </w:pPr>
                          <w:r>
                            <w:rPr>
                              <w:sz w:val="16"/>
                              <w:szCs w:val="16"/>
                            </w:rPr>
                            <w:t>296</w:t>
                          </w:r>
                          <w:r>
                            <w:rPr>
                              <w:sz w:val="16"/>
                              <w:szCs w:val="16"/>
                            </w:rPr>
                            <w:tab/>
                          </w:r>
                          <w:r>
                            <w:t>ESCABIASIS</w:t>
                          </w:r>
                        </w:p>
                      </w:txbxContent>
                    </wps:txbx>
                    <wps:bodyPr lIns="0" tIns="0" rIns="0" bIns="0">
                      <a:spAutoFit/>
                    </wps:bodyPr>
                  </wps:wsp>
                </a:graphicData>
              </a:graphic>
            </wp:anchor>
          </w:drawing>
        </mc:Choice>
        <mc:Fallback>
          <w:pict>
            <v:shapetype w14:anchorId="28D31ABD" id="_x0000_t202" coordsize="21600,21600" o:spt="202" path="m,l,21600r21600,l21600,xe">
              <v:stroke joinstyle="miter"/>
              <v:path gradientshapeok="t" o:connecttype="rect"/>
            </v:shapetype>
            <v:shape id="Shape 855" o:spid="_x0000_s1165" type="#_x0000_t202" style="position:absolute;margin-left:42.3pt;margin-top:24.85pt;width:190.8pt;height:5.5pt;z-index:-2512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" filled="f" stroked="f">
              <v:textbox style="mso-fit-shape-to-text:t" inset="0,0,0,0">
                <w:txbxContent>
                  <w:p w14:paraId="2F17B788" w14:textId="77777777" w:rsidR="00093A32" w:rsidRDefault="00093A32">
                    <w:pPr>
                      <w:pStyle w:val="Headerorfooter0"/>
                      <w:tabs>
                        <w:tab w:val="right" w:pos="3816"/>
                      </w:tabs>
                    </w:pPr>
                    <w:r>
                      <w:rPr>
                        <w:sz w:val="16"/>
                        <w:szCs w:val="16"/>
                      </w:rPr>
                      <w:t>296</w:t>
                    </w:r>
                    <w:r>
                      <w:rPr>
                        <w:sz w:val="16"/>
                        <w:szCs w:val="16"/>
                      </w:rPr>
                      <w:tab/>
                    </w:r>
                    <w:r>
                      <w:t>ESCABIASIS</w:t>
                    </w:r>
                  </w:p>
                </w:txbxContent>
              </v:textbox>
              <w10:wrap anchorx="page" anchory="page"/>
            </v:shape>
          </w:pict>
        </mc:Fallback>
      </mc:AlternateContent>
    </w:r>
    <w:r>
      <w:rPr>
        <w:noProof/>
      </w:rPr>
      <mc:AlternateContent>
        <mc:Choice Requires="wps">
          <w:drawing>
            <wp:anchor distT="0" distB="0" distL="114300" distR="114300" simplePos="0" relativeHeight="251783168" behindDoc="1" locked="0" layoutInCell="1" allowOverlap="1" wp14:anchorId="62271656" wp14:editId="1090CB0B">
              <wp:simplePos x="0" y="0"/>
              <wp:positionH relativeFrom="page">
                <wp:posOffset>521970</wp:posOffset>
              </wp:positionH>
              <wp:positionV relativeFrom="page">
                <wp:posOffset>424180</wp:posOffset>
              </wp:positionV>
              <wp:extent cx="4358640" cy="0"/>
              <wp:effectExtent l="0" t="0" r="0" b="0"/>
              <wp:wrapNone/>
              <wp:docPr id="857" name="Shape 8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0EABE3" id="_x0000_t32" coordsize="21600,21600" o:spt="32" o:oned="t" path="m,l21600,21600e" filled="f">
              <v:path arrowok="t" fillok="f" o:connecttype="none"/>
              <o:lock v:ext="edit" shapetype="t"/>
            </v:shapetype>
            <v:shape id="Shape 857" o:spid="_x0000_s1026" type="#_x0000_t32" style="position:absolute;margin-left:41.1pt;margin-top:33.4pt;width:343.2pt;height:0;z-index:-2515333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JOpa&#10;9tkAAAAIAQAADwAAAAAAAAAAAAAAAADCAwAAZHJzL2Rvd25yZXYueG1sUEsFBgAAAAAEAAQA8wAA&#10;AMgEAAAAAA==&#10;" strokeweight="1pt">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1FF2" w14:textId="77777777" w:rsidR="00093A32" w:rsidRDefault="00093A32">
    <w:pPr>
      <w:spacing w:line="1" w:lineRule="exact"/>
    </w:pPr>
    <w:r>
      <w:rPr>
        <w:noProof/>
      </w:rPr>
      <mc:AlternateContent>
        <mc:Choice Requires="wps">
          <w:drawing>
            <wp:anchor distT="0" distB="0" distL="0" distR="0" simplePos="0" relativeHeight="252022784" behindDoc="1" locked="0" layoutInCell="1" allowOverlap="1" wp14:anchorId="1DCA2AC2" wp14:editId="6FD70C12">
              <wp:simplePos x="0" y="0"/>
              <wp:positionH relativeFrom="page">
                <wp:posOffset>529590</wp:posOffset>
              </wp:positionH>
              <wp:positionV relativeFrom="page">
                <wp:posOffset>306705</wp:posOffset>
              </wp:positionV>
              <wp:extent cx="2795270" cy="79375"/>
              <wp:effectExtent l="0" t="0" r="0" b="0"/>
              <wp:wrapNone/>
              <wp:docPr id="861" name="Shape 861"/>
              <wp:cNvGraphicFramePr/>
              <a:graphic xmlns:a="http://schemas.openxmlformats.org/drawingml/2006/main">
                <a:graphicData uri="http://schemas.microsoft.com/office/word/2010/wordprocessingShape">
                  <wps:wsp>
                    <wps:cNvSpPr txBox="1"/>
                    <wps:spPr>
                      <a:xfrm>
                        <a:off x="0" y="0"/>
                        <a:ext cx="2795270" cy="79375"/>
                      </a:xfrm>
                      <a:prstGeom prst="rect">
                        <a:avLst/>
                      </a:prstGeom>
                      <a:noFill/>
                    </wps:spPr>
                    <wps:txbx>
                      <w:txbxContent>
                        <w:p w14:paraId="6A1FFAFF" w14:textId="77777777" w:rsidR="00093A32" w:rsidRDefault="00093A32">
                          <w:pPr>
                            <w:pStyle w:val="Headerorfooter0"/>
                            <w:tabs>
                              <w:tab w:val="right" w:pos="4402"/>
                            </w:tabs>
                          </w:pPr>
                          <w:r>
                            <w:rPr>
                              <w:sz w:val="16"/>
                              <w:szCs w:val="16"/>
                            </w:rPr>
                            <w:t>300</w:t>
                          </w:r>
                          <w:r>
                            <w:rPr>
                              <w:sz w:val="16"/>
                              <w:szCs w:val="16"/>
                            </w:rPr>
                            <w:tab/>
                          </w:r>
                          <w:r>
                            <w:rPr>
                              <w:i/>
                              <w:iCs/>
                              <w:sz w:val="13"/>
                              <w:szCs w:val="13"/>
                            </w:rPr>
                            <w:t>ESCHERICHIA COLI</w:t>
                          </w:r>
                          <w:r>
                            <w:rPr>
                              <w:i/>
                              <w:iCs/>
                            </w:rPr>
                            <w:t>,</w:t>
                          </w:r>
                          <w:r>
                            <w:t xml:space="preserve"> DIARREA</w:t>
                          </w:r>
                        </w:p>
                      </w:txbxContent>
                    </wps:txbx>
                    <wps:bodyPr lIns="0" tIns="0" rIns="0" bIns="0">
                      <a:spAutoFit/>
                    </wps:bodyPr>
                  </wps:wsp>
                </a:graphicData>
              </a:graphic>
            </wp:anchor>
          </w:drawing>
        </mc:Choice>
        <mc:Fallback>
          <w:pict>
            <v:shapetype w14:anchorId="1DCA2AC2" id="_x0000_t202" coordsize="21600,21600" o:spt="202" path="m,l,21600r21600,l21600,xe">
              <v:stroke joinstyle="miter"/>
              <v:path gradientshapeok="t" o:connecttype="rect"/>
            </v:shapetype>
            <v:shape id="Shape 861" o:spid="_x0000_s1166" type="#_x0000_t202" style="position:absolute;margin-left:41.7pt;margin-top:24.15pt;width:220.1pt;height:6.25pt;z-index:-2512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" filled="f" stroked="f">
              <v:textbox style="mso-fit-shape-to-text:t" inset="0,0,0,0">
                <w:txbxContent>
                  <w:p w14:paraId="6A1FFAFF" w14:textId="77777777" w:rsidR="00093A32" w:rsidRDefault="00093A32">
                    <w:pPr>
                      <w:pStyle w:val="Headerorfooter0"/>
                      <w:tabs>
                        <w:tab w:val="right" w:pos="4402"/>
                      </w:tabs>
                    </w:pPr>
                    <w:r>
                      <w:rPr>
                        <w:sz w:val="16"/>
                        <w:szCs w:val="16"/>
                      </w:rPr>
                      <w:t>300</w:t>
                    </w:r>
                    <w:r>
                      <w:rPr>
                        <w:sz w:val="16"/>
                        <w:szCs w:val="16"/>
                      </w:rPr>
                      <w:tab/>
                    </w:r>
                    <w:r>
                      <w:rPr>
                        <w:i/>
                        <w:iCs/>
                        <w:sz w:val="13"/>
                        <w:szCs w:val="13"/>
                      </w:rPr>
                      <w:t>ESCHERICHIA COLI</w:t>
                    </w:r>
                    <w:r>
                      <w:rPr>
                        <w:i/>
                        <w:iCs/>
                      </w:rPr>
                      <w:t>,</w:t>
                    </w:r>
                    <w:r>
                      <w:t xml:space="preserve"> DIARREA</w:t>
                    </w:r>
                  </w:p>
                </w:txbxContent>
              </v:textbox>
              <w10:wrap anchorx="page" anchory="page"/>
            </v:shape>
          </w:pict>
        </mc:Fallback>
      </mc:AlternateContent>
    </w:r>
    <w:r>
      <w:rPr>
        <w:noProof/>
      </w:rPr>
      <mc:AlternateContent>
        <mc:Choice Requires="wps">
          <w:drawing>
            <wp:anchor distT="0" distB="0" distL="114300" distR="114300" simplePos="0" relativeHeight="251785216" behindDoc="1" locked="0" layoutInCell="1" allowOverlap="1" wp14:anchorId="27F70634" wp14:editId="4AB5AF83">
              <wp:simplePos x="0" y="0"/>
              <wp:positionH relativeFrom="page">
                <wp:posOffset>514350</wp:posOffset>
              </wp:positionH>
              <wp:positionV relativeFrom="page">
                <wp:posOffset>414655</wp:posOffset>
              </wp:positionV>
              <wp:extent cx="4358640" cy="0"/>
              <wp:effectExtent l="0" t="0" r="0" b="0"/>
              <wp:wrapNone/>
              <wp:docPr id="863" name="Shape 8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5903DB3" id="_x0000_t32" coordsize="21600,21600" o:spt="32" o:oned="t" path="m,l21600,21600e" filled="f">
              <v:path arrowok="t" fillok="f" o:connecttype="none"/>
              <o:lock v:ext="edit" shapetype="t"/>
            </v:shapetype>
            <v:shape id="Shape 863" o:spid="_x0000_s1026" type="#_x0000_t32" style="position:absolute;margin-left:40.5pt;margin-top:32.65pt;width:343.2pt;height:0;z-index:-2515312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60A1" w14:textId="77777777" w:rsidR="00093A32" w:rsidRDefault="00093A32">
    <w:pPr>
      <w:spacing w:line="1" w:lineRule="exact"/>
    </w:pPr>
    <w:r>
      <w:rPr>
        <w:noProof/>
      </w:rPr>
      <mc:AlternateContent>
        <mc:Choice Requires="wps">
          <w:drawing>
            <wp:anchor distT="0" distB="0" distL="0" distR="0" simplePos="0" relativeHeight="252021760" behindDoc="1" locked="0" layoutInCell="1" allowOverlap="1" wp14:anchorId="371B1E64" wp14:editId="2669A817">
              <wp:simplePos x="0" y="0"/>
              <wp:positionH relativeFrom="page">
                <wp:posOffset>529590</wp:posOffset>
              </wp:positionH>
              <wp:positionV relativeFrom="page">
                <wp:posOffset>306705</wp:posOffset>
              </wp:positionV>
              <wp:extent cx="2795270" cy="79375"/>
              <wp:effectExtent l="0" t="0" r="0" b="0"/>
              <wp:wrapNone/>
              <wp:docPr id="858" name="Shape 858"/>
              <wp:cNvGraphicFramePr/>
              <a:graphic xmlns:a="http://schemas.openxmlformats.org/drawingml/2006/main">
                <a:graphicData uri="http://schemas.microsoft.com/office/word/2010/wordprocessingShape">
                  <wps:wsp>
                    <wps:cNvSpPr txBox="1"/>
                    <wps:spPr>
                      <a:xfrm>
                        <a:off x="0" y="0"/>
                        <a:ext cx="2795270" cy="79375"/>
                      </a:xfrm>
                      <a:prstGeom prst="rect">
                        <a:avLst/>
                      </a:prstGeom>
                      <a:noFill/>
                    </wps:spPr>
                    <wps:txbx>
                      <w:txbxContent>
                        <w:p w14:paraId="07D87B8E" w14:textId="77777777" w:rsidR="00093A32" w:rsidRDefault="00093A32">
                          <w:pPr>
                            <w:pStyle w:val="Headerorfooter0"/>
                            <w:tabs>
                              <w:tab w:val="right" w:pos="4402"/>
                            </w:tabs>
                          </w:pPr>
                          <w:r>
                            <w:rPr>
                              <w:sz w:val="16"/>
                              <w:szCs w:val="16"/>
                            </w:rPr>
                            <w:t>300</w:t>
                          </w:r>
                          <w:r>
                            <w:rPr>
                              <w:sz w:val="16"/>
                              <w:szCs w:val="16"/>
                            </w:rPr>
                            <w:tab/>
                          </w:r>
                          <w:r>
                            <w:rPr>
                              <w:i/>
                              <w:iCs/>
                              <w:sz w:val="13"/>
                              <w:szCs w:val="13"/>
                            </w:rPr>
                            <w:t>ESCHERICHIA COLI</w:t>
                          </w:r>
                          <w:r>
                            <w:rPr>
                              <w:i/>
                              <w:iCs/>
                            </w:rPr>
                            <w:t>,</w:t>
                          </w:r>
                          <w:r>
                            <w:t xml:space="preserve"> DIARREA</w:t>
                          </w:r>
                        </w:p>
                      </w:txbxContent>
                    </wps:txbx>
                    <wps:bodyPr lIns="0" tIns="0" rIns="0" bIns="0">
                      <a:spAutoFit/>
                    </wps:bodyPr>
                  </wps:wsp>
                </a:graphicData>
              </a:graphic>
            </wp:anchor>
          </w:drawing>
        </mc:Choice>
        <mc:Fallback>
          <w:pict>
            <v:shapetype w14:anchorId="371B1E64" id="_x0000_t202" coordsize="21600,21600" o:spt="202" path="m,l,21600r21600,l21600,xe">
              <v:stroke joinstyle="miter"/>
              <v:path gradientshapeok="t" o:connecttype="rect"/>
            </v:shapetype>
            <v:shape id="Shape 858" o:spid="_x0000_s1167" type="#_x0000_t202" style="position:absolute;margin-left:41.7pt;margin-top:24.15pt;width:220.1pt;height:6.25pt;z-index:-2512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" filled="f" stroked="f">
              <v:textbox style="mso-fit-shape-to-text:t" inset="0,0,0,0">
                <w:txbxContent>
                  <w:p w14:paraId="07D87B8E" w14:textId="77777777" w:rsidR="00093A32" w:rsidRDefault="00093A32">
                    <w:pPr>
                      <w:pStyle w:val="Headerorfooter0"/>
                      <w:tabs>
                        <w:tab w:val="right" w:pos="4402"/>
                      </w:tabs>
                    </w:pPr>
                    <w:r>
                      <w:rPr>
                        <w:sz w:val="16"/>
                        <w:szCs w:val="16"/>
                      </w:rPr>
                      <w:t>300</w:t>
                    </w:r>
                    <w:r>
                      <w:rPr>
                        <w:sz w:val="16"/>
                        <w:szCs w:val="16"/>
                      </w:rPr>
                      <w:tab/>
                    </w:r>
                    <w:r>
                      <w:rPr>
                        <w:i/>
                        <w:iCs/>
                        <w:sz w:val="13"/>
                        <w:szCs w:val="13"/>
                      </w:rPr>
                      <w:t>ESCHERICHIA COLI</w:t>
                    </w:r>
                    <w:r>
                      <w:rPr>
                        <w:i/>
                        <w:iCs/>
                      </w:rPr>
                      <w:t>,</w:t>
                    </w:r>
                    <w:r>
                      <w:t xml:space="preserve"> DIARREA</w:t>
                    </w:r>
                  </w:p>
                </w:txbxContent>
              </v:textbox>
              <w10:wrap anchorx="page" anchory="page"/>
            </v:shape>
          </w:pict>
        </mc:Fallback>
      </mc:AlternateContent>
    </w:r>
    <w:r>
      <w:rPr>
        <w:noProof/>
      </w:rPr>
      <mc:AlternateContent>
        <mc:Choice Requires="wps">
          <w:drawing>
            <wp:anchor distT="0" distB="0" distL="114300" distR="114300" simplePos="0" relativeHeight="251784192" behindDoc="1" locked="0" layoutInCell="1" allowOverlap="1" wp14:anchorId="3E6231F4" wp14:editId="58232EF0">
              <wp:simplePos x="0" y="0"/>
              <wp:positionH relativeFrom="page">
                <wp:posOffset>514350</wp:posOffset>
              </wp:positionH>
              <wp:positionV relativeFrom="page">
                <wp:posOffset>414655</wp:posOffset>
              </wp:positionV>
              <wp:extent cx="4358640" cy="0"/>
              <wp:effectExtent l="0" t="0" r="0" b="0"/>
              <wp:wrapNone/>
              <wp:docPr id="860" name="Shape 8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8B76B51" id="_x0000_t32" coordsize="21600,21600" o:spt="32" o:oned="t" path="m,l21600,21600e" filled="f">
              <v:path arrowok="t" fillok="f" o:connecttype="none"/>
              <o:lock v:ext="edit" shapetype="t"/>
            </v:shapetype>
            <v:shape id="Shape 860" o:spid="_x0000_s1026" type="#_x0000_t32" style="position:absolute;margin-left:40.5pt;margin-top:32.65pt;width:343.2pt;height:0;z-index:-2515322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483A" w14:textId="77777777" w:rsidR="00093A32" w:rsidRDefault="00093A32">
    <w:pPr>
      <w:spacing w:line="1" w:lineRule="exact"/>
    </w:pPr>
    <w:r>
      <w:rPr>
        <w:noProof/>
      </w:rPr>
      <mc:AlternateContent>
        <mc:Choice Requires="wps">
          <w:drawing>
            <wp:anchor distT="0" distB="0" distL="0" distR="0" simplePos="0" relativeHeight="252023808" behindDoc="1" locked="0" layoutInCell="1" allowOverlap="1" wp14:anchorId="58CC8A19" wp14:editId="39DAC3EA">
              <wp:simplePos x="0" y="0"/>
              <wp:positionH relativeFrom="page">
                <wp:posOffset>1459230</wp:posOffset>
              </wp:positionH>
              <wp:positionV relativeFrom="page">
                <wp:posOffset>306705</wp:posOffset>
              </wp:positionV>
              <wp:extent cx="3395345" cy="79375"/>
              <wp:effectExtent l="0" t="0" r="0" b="0"/>
              <wp:wrapNone/>
              <wp:docPr id="864" name="Shape 864"/>
              <wp:cNvGraphicFramePr/>
              <a:graphic xmlns:a="http://schemas.openxmlformats.org/drawingml/2006/main">
                <a:graphicData uri="http://schemas.microsoft.com/office/word/2010/wordprocessingShape">
                  <wps:wsp>
                    <wps:cNvSpPr txBox="1"/>
                    <wps:spPr>
                      <a:xfrm>
                        <a:off x="0" y="0"/>
                        <a:ext cx="3395345" cy="79375"/>
                      </a:xfrm>
                      <a:prstGeom prst="rect">
                        <a:avLst/>
                      </a:prstGeom>
                      <a:noFill/>
                    </wps:spPr>
                    <wps:txbx>
                      <w:txbxContent>
                        <w:p w14:paraId="40A22E4E" w14:textId="77777777" w:rsidR="00093A32" w:rsidRDefault="00093A32">
                          <w:pPr>
                            <w:pStyle w:val="Headerorfooter0"/>
                            <w:tabs>
                              <w:tab w:val="right" w:pos="5347"/>
                            </w:tabs>
                            <w:rPr>
                              <w:sz w:val="16"/>
                              <w:szCs w:val="16"/>
                            </w:rPr>
                          </w:pPr>
                          <w:r>
                            <w:rPr>
                              <w:i/>
                              <w:iCs/>
                              <w:sz w:val="13"/>
                              <w:szCs w:val="13"/>
                            </w:rPr>
                            <w:t>ESCHERICHIA COLI</w:t>
                          </w:r>
                          <w:r>
                            <w:rPr>
                              <w:i/>
                              <w:iCs/>
                            </w:rPr>
                            <w:t>,</w:t>
                          </w:r>
                          <w:r>
                            <w:t xml:space="preserve"> Y OTROS BACILOS GRAMNEGATIVOS</w:t>
                          </w:r>
                          <w:r>
                            <w:tab/>
                          </w:r>
                          <w:r>
                            <w:rPr>
                              <w:sz w:val="16"/>
                              <w:szCs w:val="16"/>
                            </w:rPr>
                            <w:t>299</w:t>
                          </w:r>
                        </w:p>
                      </w:txbxContent>
                    </wps:txbx>
                    <wps:bodyPr lIns="0" tIns="0" rIns="0" bIns="0">
                      <a:spAutoFit/>
                    </wps:bodyPr>
                  </wps:wsp>
                </a:graphicData>
              </a:graphic>
            </wp:anchor>
          </w:drawing>
        </mc:Choice>
        <mc:Fallback>
          <w:pict>
            <v:shapetype w14:anchorId="58CC8A19" id="_x0000_t202" coordsize="21600,21600" o:spt="202" path="m,l,21600r21600,l21600,xe">
              <v:stroke joinstyle="miter"/>
              <v:path gradientshapeok="t" o:connecttype="rect"/>
            </v:shapetype>
            <v:shape id="Shape 864" o:spid="_x0000_s1168" type="#_x0000_t202" style="position:absolute;margin-left:114.9pt;margin-top:24.15pt;width:267.35pt;height:6.25pt;z-index:-2512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" filled="f" stroked="f">
              <v:textbox style="mso-fit-shape-to-text:t" inset="0,0,0,0">
                <w:txbxContent>
                  <w:p w14:paraId="40A22E4E" w14:textId="77777777" w:rsidR="00093A32" w:rsidRDefault="00093A32">
                    <w:pPr>
                      <w:pStyle w:val="Headerorfooter0"/>
                      <w:tabs>
                        <w:tab w:val="right" w:pos="5347"/>
                      </w:tabs>
                      <w:rPr>
                        <w:sz w:val="16"/>
                        <w:szCs w:val="16"/>
                      </w:rPr>
                    </w:pPr>
                    <w:r>
                      <w:rPr>
                        <w:i/>
                        <w:iCs/>
                        <w:sz w:val="13"/>
                        <w:szCs w:val="13"/>
                      </w:rPr>
                      <w:t>ESCHERICHIA COLI</w:t>
                    </w:r>
                    <w:r>
                      <w:rPr>
                        <w:i/>
                        <w:iCs/>
                      </w:rPr>
                      <w:t>,</w:t>
                    </w:r>
                    <w:r>
                      <w:t xml:space="preserve"> Y OTROS BACILOS GRAMNEGATIVOS</w:t>
                    </w:r>
                    <w:r>
                      <w:tab/>
                    </w:r>
                    <w:r>
                      <w:rPr>
                        <w:sz w:val="16"/>
                        <w:szCs w:val="16"/>
                      </w:rPr>
                      <w:t>299</w:t>
                    </w:r>
                  </w:p>
                </w:txbxContent>
              </v:textbox>
              <w10:wrap anchorx="page" anchory="page"/>
            </v:shape>
          </w:pict>
        </mc:Fallback>
      </mc:AlternateContent>
    </w:r>
    <w:r>
      <w:rPr>
        <w:noProof/>
      </w:rPr>
      <mc:AlternateContent>
        <mc:Choice Requires="wps">
          <w:drawing>
            <wp:anchor distT="0" distB="0" distL="114300" distR="114300" simplePos="0" relativeHeight="251786240" behindDoc="1" locked="0" layoutInCell="1" allowOverlap="1" wp14:anchorId="189AB1E4" wp14:editId="01A72F0E">
              <wp:simplePos x="0" y="0"/>
              <wp:positionH relativeFrom="page">
                <wp:posOffset>517525</wp:posOffset>
              </wp:positionH>
              <wp:positionV relativeFrom="page">
                <wp:posOffset>414655</wp:posOffset>
              </wp:positionV>
              <wp:extent cx="4358640" cy="0"/>
              <wp:effectExtent l="0" t="0" r="0" b="0"/>
              <wp:wrapNone/>
              <wp:docPr id="866" name="Shape 8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C39FF2" id="_x0000_t32" coordsize="21600,21600" o:spt="32" o:oned="t" path="m,l21600,21600e" filled="f">
              <v:path arrowok="t" fillok="f" o:connecttype="none"/>
              <o:lock v:ext="edit" shapetype="t"/>
            </v:shapetype>
            <v:shape id="Shape 866" o:spid="_x0000_s1026" type="#_x0000_t32" style="position:absolute;margin-left:40.75pt;margin-top:32.65pt;width:343.2pt;height:0;z-index:-2515302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H6V&#10;x03aAAAACAEAAA8AAAAAAAAAAAAAAAAAwgMAAGRycy9kb3ducmV2LnhtbFBLBQYAAAAABAAEAPMA&#10;AADJBAAAAAA=&#10;" strokeweight="1pt">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D18A" w14:textId="77777777" w:rsidR="00093A32" w:rsidRDefault="00093A32">
    <w:pPr>
      <w:spacing w:line="1" w:lineRule="exact"/>
    </w:pPr>
    <w:r>
      <w:rPr>
        <w:noProof/>
      </w:rPr>
      <mc:AlternateContent>
        <mc:Choice Requires="wps">
          <w:drawing>
            <wp:anchor distT="0" distB="0" distL="0" distR="0" simplePos="0" relativeHeight="252025856" behindDoc="1" locked="0" layoutInCell="1" allowOverlap="1" wp14:anchorId="05C4DA8C" wp14:editId="6C00D1A6">
              <wp:simplePos x="0" y="0"/>
              <wp:positionH relativeFrom="page">
                <wp:posOffset>2053590</wp:posOffset>
              </wp:positionH>
              <wp:positionV relativeFrom="page">
                <wp:posOffset>306705</wp:posOffset>
              </wp:positionV>
              <wp:extent cx="2776855" cy="79375"/>
              <wp:effectExtent l="0" t="0" r="0" b="0"/>
              <wp:wrapNone/>
              <wp:docPr id="870" name="Shape 870"/>
              <wp:cNvGraphicFramePr/>
              <a:graphic xmlns:a="http://schemas.openxmlformats.org/drawingml/2006/main">
                <a:graphicData uri="http://schemas.microsoft.com/office/word/2010/wordprocessingShape">
                  <wps:wsp>
                    <wps:cNvSpPr txBox="1"/>
                    <wps:spPr>
                      <a:xfrm>
                        <a:off x="0" y="0"/>
                        <a:ext cx="2776855" cy="79375"/>
                      </a:xfrm>
                      <a:prstGeom prst="rect">
                        <a:avLst/>
                      </a:prstGeom>
                      <a:noFill/>
                    </wps:spPr>
                    <wps:txbx>
                      <w:txbxContent>
                        <w:p w14:paraId="66669D44" w14:textId="77777777" w:rsidR="00093A32" w:rsidRDefault="00093A32">
                          <w:pPr>
                            <w:pStyle w:val="Headerorfooter0"/>
                            <w:tabs>
                              <w:tab w:val="right" w:pos="4373"/>
                            </w:tabs>
                            <w:rPr>
                              <w:sz w:val="16"/>
                              <w:szCs w:val="16"/>
                            </w:rPr>
                          </w:pPr>
                          <w:r>
                            <w:rPr>
                              <w:i/>
                              <w:iCs/>
                              <w:sz w:val="13"/>
                              <w:szCs w:val="13"/>
                            </w:rPr>
                            <w:t>ESCHERICHIA COLI</w:t>
                          </w:r>
                          <w:r>
                            <w:rPr>
                              <w:i/>
                              <w:iCs/>
                            </w:rPr>
                            <w:t>,</w:t>
                          </w:r>
                          <w:r>
                            <w:t xml:space="preserve"> DIARREA</w:t>
                          </w:r>
                          <w:r>
                            <w:tab/>
                          </w:r>
                          <w:r>
                            <w:rPr>
                              <w:sz w:val="16"/>
                              <w:szCs w:val="16"/>
                            </w:rPr>
                            <w:t>301</w:t>
                          </w:r>
                        </w:p>
                      </w:txbxContent>
                    </wps:txbx>
                    <wps:bodyPr lIns="0" tIns="0" rIns="0" bIns="0">
                      <a:spAutoFit/>
                    </wps:bodyPr>
                  </wps:wsp>
                </a:graphicData>
              </a:graphic>
            </wp:anchor>
          </w:drawing>
        </mc:Choice>
        <mc:Fallback>
          <w:pict>
            <v:shapetype w14:anchorId="05C4DA8C" id="_x0000_t202" coordsize="21600,21600" o:spt="202" path="m,l,21600r21600,l21600,xe">
              <v:stroke joinstyle="miter"/>
              <v:path gradientshapeok="t" o:connecttype="rect"/>
            </v:shapetype>
            <v:shape id="Shape 870" o:spid="_x0000_s1169" type="#_x0000_t202" style="position:absolute;margin-left:161.7pt;margin-top:24.15pt;width:218.65pt;height:6.25pt;z-index:-2512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" filled="f" stroked="f">
              <v:textbox style="mso-fit-shape-to-text:t" inset="0,0,0,0">
                <w:txbxContent>
                  <w:p w14:paraId="66669D44" w14:textId="77777777" w:rsidR="00093A32" w:rsidRDefault="00093A32">
                    <w:pPr>
                      <w:pStyle w:val="Headerorfooter0"/>
                      <w:tabs>
                        <w:tab w:val="right" w:pos="4373"/>
                      </w:tabs>
                      <w:rPr>
                        <w:sz w:val="16"/>
                        <w:szCs w:val="16"/>
                      </w:rPr>
                    </w:pPr>
                    <w:r>
                      <w:rPr>
                        <w:i/>
                        <w:iCs/>
                        <w:sz w:val="13"/>
                        <w:szCs w:val="13"/>
                      </w:rPr>
                      <w:t>ESCHERICHIA COLI</w:t>
                    </w:r>
                    <w:r>
                      <w:rPr>
                        <w:i/>
                        <w:iCs/>
                      </w:rPr>
                      <w:t>,</w:t>
                    </w:r>
                    <w:r>
                      <w:t xml:space="preserve"> DIARREA</w:t>
                    </w:r>
                    <w:r>
                      <w:tab/>
                    </w:r>
                    <w:r>
                      <w:rPr>
                        <w:sz w:val="16"/>
                        <w:szCs w:val="16"/>
                      </w:rPr>
                      <w:t>301</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C9F1" w14:textId="77777777" w:rsidR="00093A32" w:rsidRDefault="00093A32">
    <w:pPr>
      <w:spacing w:line="1" w:lineRule="exact"/>
    </w:pPr>
    <w:r>
      <w:rPr>
        <w:noProof/>
      </w:rPr>
      <mc:AlternateContent>
        <mc:Choice Requires="wps">
          <w:drawing>
            <wp:anchor distT="0" distB="0" distL="0" distR="0" simplePos="0" relativeHeight="252024832" behindDoc="1" locked="0" layoutInCell="1" allowOverlap="1" wp14:anchorId="7677B9C1" wp14:editId="6A1E2A01">
              <wp:simplePos x="0" y="0"/>
              <wp:positionH relativeFrom="page">
                <wp:posOffset>529590</wp:posOffset>
              </wp:positionH>
              <wp:positionV relativeFrom="page">
                <wp:posOffset>306705</wp:posOffset>
              </wp:positionV>
              <wp:extent cx="2795270" cy="79375"/>
              <wp:effectExtent l="0" t="0" r="0" b="0"/>
              <wp:wrapNone/>
              <wp:docPr id="867" name="Shape 867"/>
              <wp:cNvGraphicFramePr/>
              <a:graphic xmlns:a="http://schemas.openxmlformats.org/drawingml/2006/main">
                <a:graphicData uri="http://schemas.microsoft.com/office/word/2010/wordprocessingShape">
                  <wps:wsp>
                    <wps:cNvSpPr txBox="1"/>
                    <wps:spPr>
                      <a:xfrm>
                        <a:off x="0" y="0"/>
                        <a:ext cx="2795270" cy="79375"/>
                      </a:xfrm>
                      <a:prstGeom prst="rect">
                        <a:avLst/>
                      </a:prstGeom>
                      <a:noFill/>
                    </wps:spPr>
                    <wps:txbx>
                      <w:txbxContent>
                        <w:p w14:paraId="2BD511E2" w14:textId="77777777" w:rsidR="00093A32" w:rsidRDefault="00093A32">
                          <w:pPr>
                            <w:pStyle w:val="Headerorfooter0"/>
                            <w:tabs>
                              <w:tab w:val="right" w:pos="4402"/>
                            </w:tabs>
                          </w:pPr>
                          <w:r>
                            <w:rPr>
                              <w:sz w:val="16"/>
                              <w:szCs w:val="16"/>
                            </w:rPr>
                            <w:t>300</w:t>
                          </w:r>
                          <w:r>
                            <w:rPr>
                              <w:sz w:val="16"/>
                              <w:szCs w:val="16"/>
                            </w:rPr>
                            <w:tab/>
                          </w:r>
                          <w:r>
                            <w:rPr>
                              <w:i/>
                              <w:iCs/>
                              <w:sz w:val="13"/>
                              <w:szCs w:val="13"/>
                            </w:rPr>
                            <w:t>ESCHERICHIA COLI</w:t>
                          </w:r>
                          <w:r>
                            <w:rPr>
                              <w:i/>
                              <w:iCs/>
                            </w:rPr>
                            <w:t>,</w:t>
                          </w:r>
                          <w:r>
                            <w:t xml:space="preserve"> DIARREA</w:t>
                          </w:r>
                        </w:p>
                      </w:txbxContent>
                    </wps:txbx>
                    <wps:bodyPr lIns="0" tIns="0" rIns="0" bIns="0">
                      <a:spAutoFit/>
                    </wps:bodyPr>
                  </wps:wsp>
                </a:graphicData>
              </a:graphic>
            </wp:anchor>
          </w:drawing>
        </mc:Choice>
        <mc:Fallback>
          <w:pict>
            <v:shapetype w14:anchorId="7677B9C1" id="_x0000_t202" coordsize="21600,21600" o:spt="202" path="m,l,21600r21600,l21600,xe">
              <v:stroke joinstyle="miter"/>
              <v:path gradientshapeok="t" o:connecttype="rect"/>
            </v:shapetype>
            <v:shape id="Shape 867" o:spid="_x0000_s1170" type="#_x0000_t202" style="position:absolute;margin-left:41.7pt;margin-top:24.15pt;width:220.1pt;height:6.25pt;z-index:-2512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" filled="f" stroked="f">
              <v:textbox style="mso-fit-shape-to-text:t" inset="0,0,0,0">
                <w:txbxContent>
                  <w:p w14:paraId="2BD511E2" w14:textId="77777777" w:rsidR="00093A32" w:rsidRDefault="00093A32">
                    <w:pPr>
                      <w:pStyle w:val="Headerorfooter0"/>
                      <w:tabs>
                        <w:tab w:val="right" w:pos="4402"/>
                      </w:tabs>
                    </w:pPr>
                    <w:r>
                      <w:rPr>
                        <w:sz w:val="16"/>
                        <w:szCs w:val="16"/>
                      </w:rPr>
                      <w:t>300</w:t>
                    </w:r>
                    <w:r>
                      <w:rPr>
                        <w:sz w:val="16"/>
                        <w:szCs w:val="16"/>
                      </w:rPr>
                      <w:tab/>
                    </w:r>
                    <w:r>
                      <w:rPr>
                        <w:i/>
                        <w:iCs/>
                        <w:sz w:val="13"/>
                        <w:szCs w:val="13"/>
                      </w:rPr>
                      <w:t>ESCHERICHIA COLI</w:t>
                    </w:r>
                    <w:r>
                      <w:rPr>
                        <w:i/>
                        <w:iCs/>
                      </w:rPr>
                      <w:t>,</w:t>
                    </w:r>
                    <w:r>
                      <w:t xml:space="preserve"> DIARREA</w:t>
                    </w:r>
                  </w:p>
                </w:txbxContent>
              </v:textbox>
              <w10:wrap anchorx="page" anchory="page"/>
            </v:shape>
          </w:pict>
        </mc:Fallback>
      </mc:AlternateContent>
    </w:r>
    <w:r>
      <w:rPr>
        <w:noProof/>
      </w:rPr>
      <mc:AlternateContent>
        <mc:Choice Requires="wps">
          <w:drawing>
            <wp:anchor distT="0" distB="0" distL="114300" distR="114300" simplePos="0" relativeHeight="251787264" behindDoc="1" locked="0" layoutInCell="1" allowOverlap="1" wp14:anchorId="223E632C" wp14:editId="4E6F5DA9">
              <wp:simplePos x="0" y="0"/>
              <wp:positionH relativeFrom="page">
                <wp:posOffset>514350</wp:posOffset>
              </wp:positionH>
              <wp:positionV relativeFrom="page">
                <wp:posOffset>414655</wp:posOffset>
              </wp:positionV>
              <wp:extent cx="4358640" cy="0"/>
              <wp:effectExtent l="0" t="0" r="0" b="0"/>
              <wp:wrapNone/>
              <wp:docPr id="869" name="Shape 8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E1D7399" id="_x0000_t32" coordsize="21600,21600" o:spt="32" o:oned="t" path="m,l21600,21600e" filled="f">
              <v:path arrowok="t" fillok="f" o:connecttype="none"/>
              <o:lock v:ext="edit" shapetype="t"/>
            </v:shapetype>
            <v:shape id="Shape 869" o:spid="_x0000_s1026" type="#_x0000_t32" style="position:absolute;margin-left:40.5pt;margin-top:32.65pt;width:343.2pt;height:0;z-index:-251529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CFF4" w14:textId="77777777" w:rsidR="00093A32" w:rsidRDefault="00093A32">
    <w:pPr>
      <w:spacing w:line="1" w:lineRule="exact"/>
    </w:pPr>
    <w:r>
      <w:rPr>
        <w:noProof/>
      </w:rPr>
      <mc:AlternateContent>
        <mc:Choice Requires="wps">
          <w:drawing>
            <wp:anchor distT="0" distB="0" distL="0" distR="0" simplePos="0" relativeHeight="252027904" behindDoc="1" locked="0" layoutInCell="1" allowOverlap="1" wp14:anchorId="2168EB99" wp14:editId="5122FFD5">
              <wp:simplePos x="0" y="0"/>
              <wp:positionH relativeFrom="page">
                <wp:posOffset>532765</wp:posOffset>
              </wp:positionH>
              <wp:positionV relativeFrom="page">
                <wp:posOffset>315595</wp:posOffset>
              </wp:positionV>
              <wp:extent cx="2346960" cy="69850"/>
              <wp:effectExtent l="0" t="0" r="0" b="0"/>
              <wp:wrapNone/>
              <wp:docPr id="875" name="Shape 875"/>
              <wp:cNvGraphicFramePr/>
              <a:graphic xmlns:a="http://schemas.openxmlformats.org/drawingml/2006/main">
                <a:graphicData uri="http://schemas.microsoft.com/office/word/2010/wordprocessingShape">
                  <wps:wsp>
                    <wps:cNvSpPr txBox="1"/>
                    <wps:spPr>
                      <a:xfrm>
                        <a:off x="0" y="0"/>
                        <a:ext cx="2346960" cy="69850"/>
                      </a:xfrm>
                      <a:prstGeom prst="rect">
                        <a:avLst/>
                      </a:prstGeom>
                      <a:noFill/>
                    </wps:spPr>
                    <wps:txbx>
                      <w:txbxContent>
                        <w:p w14:paraId="4D455019" w14:textId="77777777" w:rsidR="00093A32" w:rsidRDefault="00093A32">
                          <w:pPr>
                            <w:pStyle w:val="Headerorfooter0"/>
                            <w:tabs>
                              <w:tab w:val="right" w:pos="3696"/>
                            </w:tabs>
                          </w:pPr>
                          <w:r>
                            <w:rPr>
                              <w:sz w:val="16"/>
                              <w:szCs w:val="16"/>
                            </w:rPr>
                            <w:t>494</w:t>
                          </w:r>
                          <w:r>
                            <w:rPr>
                              <w:sz w:val="16"/>
                              <w:szCs w:val="16"/>
                            </w:rPr>
                            <w:tab/>
                          </w:r>
                          <w:r>
                            <w:t>MICOSIS</w:t>
                          </w:r>
                        </w:p>
                      </w:txbxContent>
                    </wps:txbx>
                    <wps:bodyPr lIns="0" tIns="0" rIns="0" bIns="0">
                      <a:spAutoFit/>
                    </wps:bodyPr>
                  </wps:wsp>
                </a:graphicData>
              </a:graphic>
            </wp:anchor>
          </w:drawing>
        </mc:Choice>
        <mc:Fallback>
          <w:pict>
            <v:shapetype w14:anchorId="2168EB99" id="_x0000_t202" coordsize="21600,21600" o:spt="202" path="m,l,21600r21600,l21600,xe">
              <v:stroke joinstyle="miter"/>
              <v:path gradientshapeok="t" o:connecttype="rect"/>
            </v:shapetype>
            <v:shape id="Shape 875" o:spid="_x0000_s1171" type="#_x0000_t202" style="position:absolute;margin-left:41.95pt;margin-top:24.85pt;width:184.8pt;height:5.5pt;z-index:-2512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" filled="f" stroked="f">
              <v:textbox style="mso-fit-shape-to-text:t" inset="0,0,0,0">
                <w:txbxContent>
                  <w:p w14:paraId="4D455019" w14:textId="77777777" w:rsidR="00093A32" w:rsidRDefault="00093A32">
                    <w:pPr>
                      <w:pStyle w:val="Headerorfooter0"/>
                      <w:tabs>
                        <w:tab w:val="right" w:pos="3696"/>
                      </w:tabs>
                    </w:pPr>
                    <w:r>
                      <w:rPr>
                        <w:sz w:val="16"/>
                        <w:szCs w:val="16"/>
                      </w:rPr>
                      <w:t>494</w:t>
                    </w:r>
                    <w:r>
                      <w:rPr>
                        <w:sz w:val="16"/>
                        <w:szCs w:val="16"/>
                      </w:rPr>
                      <w:tab/>
                    </w:r>
                    <w:r>
                      <w:t>MICOSIS</w:t>
                    </w:r>
                  </w:p>
                </w:txbxContent>
              </v:textbox>
              <w10:wrap anchorx="page" anchory="page"/>
            </v:shape>
          </w:pict>
        </mc:Fallback>
      </mc:AlternateContent>
    </w:r>
    <w:r>
      <w:rPr>
        <w:noProof/>
      </w:rPr>
      <mc:AlternateContent>
        <mc:Choice Requires="wps">
          <w:drawing>
            <wp:anchor distT="0" distB="0" distL="114300" distR="114300" simplePos="0" relativeHeight="251789312" behindDoc="1" locked="0" layoutInCell="1" allowOverlap="1" wp14:anchorId="46BD7182" wp14:editId="6CB86DFA">
              <wp:simplePos x="0" y="0"/>
              <wp:positionH relativeFrom="page">
                <wp:posOffset>517525</wp:posOffset>
              </wp:positionH>
              <wp:positionV relativeFrom="page">
                <wp:posOffset>424180</wp:posOffset>
              </wp:positionV>
              <wp:extent cx="4358640" cy="0"/>
              <wp:effectExtent l="0" t="0" r="0" b="0"/>
              <wp:wrapNone/>
              <wp:docPr id="877" name="Shape 87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2FC6D6" id="_x0000_t32" coordsize="21600,21600" o:spt="32" o:oned="t" path="m,l21600,21600e" filled="f">
              <v:path arrowok="t" fillok="f" o:connecttype="none"/>
              <o:lock v:ext="edit" shapetype="t"/>
            </v:shapetype>
            <v:shape id="Shape 877" o:spid="_x0000_s1026" type="#_x0000_t32" style="position:absolute;margin-left:40.75pt;margin-top:33.4pt;width:343.2pt;height:0;z-index:-251527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E9E4" w14:textId="77777777" w:rsidR="00093A32" w:rsidRDefault="00093A32">
    <w:pPr>
      <w:spacing w:line="1" w:lineRule="exact"/>
    </w:pPr>
    <w:r>
      <w:rPr>
        <w:noProof/>
      </w:rPr>
      <mc:AlternateContent>
        <mc:Choice Requires="wps">
          <w:drawing>
            <wp:anchor distT="0" distB="0" distL="0" distR="0" simplePos="0" relativeHeight="252026880" behindDoc="1" locked="0" layoutInCell="1" allowOverlap="1" wp14:anchorId="7A600348" wp14:editId="506ADDE9">
              <wp:simplePos x="0" y="0"/>
              <wp:positionH relativeFrom="page">
                <wp:posOffset>532765</wp:posOffset>
              </wp:positionH>
              <wp:positionV relativeFrom="page">
                <wp:posOffset>315595</wp:posOffset>
              </wp:positionV>
              <wp:extent cx="2346960" cy="69850"/>
              <wp:effectExtent l="0" t="0" r="0" b="0"/>
              <wp:wrapNone/>
              <wp:docPr id="872" name="Shape 872"/>
              <wp:cNvGraphicFramePr/>
              <a:graphic xmlns:a="http://schemas.openxmlformats.org/drawingml/2006/main">
                <a:graphicData uri="http://schemas.microsoft.com/office/word/2010/wordprocessingShape">
                  <wps:wsp>
                    <wps:cNvSpPr txBox="1"/>
                    <wps:spPr>
                      <a:xfrm>
                        <a:off x="0" y="0"/>
                        <a:ext cx="2346960" cy="69850"/>
                      </a:xfrm>
                      <a:prstGeom prst="rect">
                        <a:avLst/>
                      </a:prstGeom>
                      <a:noFill/>
                    </wps:spPr>
                    <wps:txbx>
                      <w:txbxContent>
                        <w:p w14:paraId="6FC745F2" w14:textId="77777777" w:rsidR="00093A32" w:rsidRDefault="00093A32">
                          <w:pPr>
                            <w:pStyle w:val="Headerorfooter0"/>
                            <w:tabs>
                              <w:tab w:val="right" w:pos="3696"/>
                            </w:tabs>
                          </w:pPr>
                          <w:r>
                            <w:rPr>
                              <w:sz w:val="16"/>
                              <w:szCs w:val="16"/>
                            </w:rPr>
                            <w:t>494</w:t>
                          </w:r>
                          <w:r>
                            <w:rPr>
                              <w:sz w:val="16"/>
                              <w:szCs w:val="16"/>
                            </w:rPr>
                            <w:tab/>
                          </w:r>
                          <w:r>
                            <w:t>MICOSIS</w:t>
                          </w:r>
                        </w:p>
                      </w:txbxContent>
                    </wps:txbx>
                    <wps:bodyPr lIns="0" tIns="0" rIns="0" bIns="0">
                      <a:spAutoFit/>
                    </wps:bodyPr>
                  </wps:wsp>
                </a:graphicData>
              </a:graphic>
            </wp:anchor>
          </w:drawing>
        </mc:Choice>
        <mc:Fallback>
          <w:pict>
            <v:shapetype w14:anchorId="7A600348" id="_x0000_t202" coordsize="21600,21600" o:spt="202" path="m,l,21600r21600,l21600,xe">
              <v:stroke joinstyle="miter"/>
              <v:path gradientshapeok="t" o:connecttype="rect"/>
            </v:shapetype>
            <v:shape id="Shape 872" o:spid="_x0000_s1172" type="#_x0000_t202" style="position:absolute;margin-left:41.95pt;margin-top:24.85pt;width:184.8pt;height:5.5pt;z-index:-2512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" filled="f" stroked="f">
              <v:textbox style="mso-fit-shape-to-text:t" inset="0,0,0,0">
                <w:txbxContent>
                  <w:p w14:paraId="6FC745F2" w14:textId="77777777" w:rsidR="00093A32" w:rsidRDefault="00093A32">
                    <w:pPr>
                      <w:pStyle w:val="Headerorfooter0"/>
                      <w:tabs>
                        <w:tab w:val="right" w:pos="3696"/>
                      </w:tabs>
                    </w:pPr>
                    <w:r>
                      <w:rPr>
                        <w:sz w:val="16"/>
                        <w:szCs w:val="16"/>
                      </w:rPr>
                      <w:t>494</w:t>
                    </w:r>
                    <w:r>
                      <w:rPr>
                        <w:sz w:val="16"/>
                        <w:szCs w:val="16"/>
                      </w:rPr>
                      <w:tab/>
                    </w:r>
                    <w:r>
                      <w:t>MICOSIS</w:t>
                    </w:r>
                  </w:p>
                </w:txbxContent>
              </v:textbox>
              <w10:wrap anchorx="page" anchory="page"/>
            </v:shape>
          </w:pict>
        </mc:Fallback>
      </mc:AlternateContent>
    </w:r>
    <w:r>
      <w:rPr>
        <w:noProof/>
      </w:rPr>
      <mc:AlternateContent>
        <mc:Choice Requires="wps">
          <w:drawing>
            <wp:anchor distT="0" distB="0" distL="114300" distR="114300" simplePos="0" relativeHeight="251788288" behindDoc="1" locked="0" layoutInCell="1" allowOverlap="1" wp14:anchorId="2ED01E1E" wp14:editId="01204303">
              <wp:simplePos x="0" y="0"/>
              <wp:positionH relativeFrom="page">
                <wp:posOffset>517525</wp:posOffset>
              </wp:positionH>
              <wp:positionV relativeFrom="page">
                <wp:posOffset>424180</wp:posOffset>
              </wp:positionV>
              <wp:extent cx="4358640" cy="0"/>
              <wp:effectExtent l="0" t="0" r="0" b="0"/>
              <wp:wrapNone/>
              <wp:docPr id="874" name="Shape 87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53C75B3" id="_x0000_t32" coordsize="21600,21600" o:spt="32" o:oned="t" path="m,l21600,21600e" filled="f">
              <v:path arrowok="t" fillok="f" o:connecttype="none"/>
              <o:lock v:ext="edit" shapetype="t"/>
            </v:shapetype>
            <v:shape id="Shape 874" o:spid="_x0000_s1026" type="#_x0000_t32" style="position:absolute;margin-left:40.75pt;margin-top:33.4pt;width:343.2pt;height:0;z-index:-251528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2uAb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cU2&#10;jUkFWRYXRD/P8k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i2&#10;uAbaAAAACAEAAA8AAAAAAAAAAAAAAAAAwgMAAGRycy9kb3ducmV2LnhtbFBLBQYAAAAABAAEAPMA&#10;AADJBAAAAAA=&#10;" strokeweight="1pt">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FCDF" w14:textId="77777777" w:rsidR="00093A32" w:rsidRDefault="00093A32">
    <w:pPr>
      <w:spacing w:line="1" w:lineRule="exact"/>
    </w:pPr>
    <w:r>
      <w:rPr>
        <w:noProof/>
      </w:rPr>
      <mc:AlternateContent>
        <mc:Choice Requires="wps">
          <w:drawing>
            <wp:anchor distT="0" distB="0" distL="0" distR="0" simplePos="0" relativeHeight="252028928" behindDoc="1" locked="0" layoutInCell="1" allowOverlap="1" wp14:anchorId="4DB782F6" wp14:editId="1427EC0A">
              <wp:simplePos x="0" y="0"/>
              <wp:positionH relativeFrom="page">
                <wp:posOffset>2302510</wp:posOffset>
              </wp:positionH>
              <wp:positionV relativeFrom="page">
                <wp:posOffset>315595</wp:posOffset>
              </wp:positionV>
              <wp:extent cx="2545080" cy="69850"/>
              <wp:effectExtent l="0" t="0" r="0" b="0"/>
              <wp:wrapNone/>
              <wp:docPr id="878" name="Shape 878"/>
              <wp:cNvGraphicFramePr/>
              <a:graphic xmlns:a="http://schemas.openxmlformats.org/drawingml/2006/main">
                <a:graphicData uri="http://schemas.microsoft.com/office/word/2010/wordprocessingShape">
                  <wps:wsp>
                    <wps:cNvSpPr txBox="1"/>
                    <wps:spPr>
                      <a:xfrm>
                        <a:off x="0" y="0"/>
                        <a:ext cx="2545080" cy="69850"/>
                      </a:xfrm>
                      <a:prstGeom prst="rect">
                        <a:avLst/>
                      </a:prstGeom>
                      <a:noFill/>
                    </wps:spPr>
                    <wps:txbx>
                      <w:txbxContent>
                        <w:p w14:paraId="25841388" w14:textId="77777777" w:rsidR="00093A32" w:rsidRDefault="00093A32">
                          <w:pPr>
                            <w:pStyle w:val="Headerorfooter0"/>
                            <w:tabs>
                              <w:tab w:val="right" w:pos="4008"/>
                            </w:tabs>
                            <w:rPr>
                              <w:sz w:val="16"/>
                              <w:szCs w:val="16"/>
                            </w:rPr>
                          </w:pPr>
                          <w:r>
                            <w:rPr>
                              <w:i/>
                              <w:iCs/>
                              <w:sz w:val="13"/>
                              <w:szCs w:val="13"/>
                            </w:rPr>
                            <w:t>ESPOROTRICOSIS</w:t>
                          </w:r>
                          <w:r>
                            <w:rPr>
                              <w:i/>
                              <w:iCs/>
                              <w:sz w:val="13"/>
                              <w:szCs w:val="13"/>
                            </w:rPr>
                            <w:tab/>
                          </w:r>
                          <w:r>
                            <w:rPr>
                              <w:sz w:val="16"/>
                              <w:szCs w:val="16"/>
                            </w:rPr>
                            <w:t>305</w:t>
                          </w:r>
                        </w:p>
                      </w:txbxContent>
                    </wps:txbx>
                    <wps:bodyPr lIns="0" tIns="0" rIns="0" bIns="0">
                      <a:spAutoFit/>
                    </wps:bodyPr>
                  </wps:wsp>
                </a:graphicData>
              </a:graphic>
            </wp:anchor>
          </w:drawing>
        </mc:Choice>
        <mc:Fallback>
          <w:pict>
            <v:shapetype w14:anchorId="4DB782F6" id="_x0000_t202" coordsize="21600,21600" o:spt="202" path="m,l,21600r21600,l21600,xe">
              <v:stroke joinstyle="miter"/>
              <v:path gradientshapeok="t" o:connecttype="rect"/>
            </v:shapetype>
            <v:shape id="Shape 878" o:spid="_x0000_s1173" type="#_x0000_t202" style="position:absolute;margin-left:181.3pt;margin-top:24.85pt;width:200.4pt;height:5.5pt;z-index:-2512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" filled="f" stroked="f">
              <v:textbox style="mso-fit-shape-to-text:t" inset="0,0,0,0">
                <w:txbxContent>
                  <w:p w14:paraId="25841388" w14:textId="77777777" w:rsidR="00093A32" w:rsidRDefault="00093A32">
                    <w:pPr>
                      <w:pStyle w:val="Headerorfooter0"/>
                      <w:tabs>
                        <w:tab w:val="right" w:pos="4008"/>
                      </w:tabs>
                      <w:rPr>
                        <w:sz w:val="16"/>
                        <w:szCs w:val="16"/>
                      </w:rPr>
                    </w:pPr>
                    <w:r>
                      <w:rPr>
                        <w:i/>
                        <w:iCs/>
                        <w:sz w:val="13"/>
                        <w:szCs w:val="13"/>
                      </w:rPr>
                      <w:t>ESPOROTRICOSIS</w:t>
                    </w:r>
                    <w:r>
                      <w:rPr>
                        <w:i/>
                        <w:iCs/>
                        <w:sz w:val="13"/>
                        <w:szCs w:val="13"/>
                      </w:rPr>
                      <w:tab/>
                    </w:r>
                    <w:r>
                      <w:rPr>
                        <w:sz w:val="16"/>
                        <w:szCs w:val="16"/>
                      </w:rPr>
                      <w:t>305</w:t>
                    </w:r>
                  </w:p>
                </w:txbxContent>
              </v:textbox>
              <w10:wrap anchorx="page" anchory="page"/>
            </v:shape>
          </w:pict>
        </mc:Fallback>
      </mc:AlternateContent>
    </w:r>
    <w:r>
      <w:rPr>
        <w:noProof/>
      </w:rPr>
      <mc:AlternateContent>
        <mc:Choice Requires="wps">
          <w:drawing>
            <wp:anchor distT="0" distB="0" distL="114300" distR="114300" simplePos="0" relativeHeight="251790336" behindDoc="1" locked="0" layoutInCell="1" allowOverlap="1" wp14:anchorId="5A970450" wp14:editId="6E8D523E">
              <wp:simplePos x="0" y="0"/>
              <wp:positionH relativeFrom="page">
                <wp:posOffset>509905</wp:posOffset>
              </wp:positionH>
              <wp:positionV relativeFrom="page">
                <wp:posOffset>424180</wp:posOffset>
              </wp:positionV>
              <wp:extent cx="4358640" cy="0"/>
              <wp:effectExtent l="0" t="0" r="0" b="0"/>
              <wp:wrapNone/>
              <wp:docPr id="880" name="Shape 88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437B9C" id="_x0000_t32" coordsize="21600,21600" o:spt="32" o:oned="t" path="m,l21600,21600e" filled="f">
              <v:path arrowok="t" fillok="f" o:connecttype="none"/>
              <o:lock v:ext="edit" shapetype="t"/>
            </v:shapetype>
            <v:shape id="Shape 880" o:spid="_x0000_s1026" type="#_x0000_t32" style="position:absolute;margin-left:40.15pt;margin-top:33.4pt;width:343.2pt;height:0;z-index:-251526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" strokeweight="1pt">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04A4" w14:textId="77777777" w:rsidR="00093A32" w:rsidRDefault="00093A32"/>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A2DD" w14:textId="77777777" w:rsidR="00093A32" w:rsidRDefault="00093A32"/>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15AE" w14:textId="77777777" w:rsidR="00093A32" w:rsidRDefault="00093A32">
    <w:pPr>
      <w:spacing w:line="1" w:lineRule="exact"/>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BAEB" w14:textId="77777777" w:rsidR="00093A32" w:rsidRDefault="00093A32">
    <w:pPr>
      <w:spacing w:line="1" w:lineRule="exact"/>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48BB" w14:textId="77777777" w:rsidR="00093A32" w:rsidRDefault="00093A32">
    <w:pPr>
      <w:spacing w:line="1" w:lineRule="exact"/>
    </w:pPr>
    <w:r>
      <w:rPr>
        <w:noProof/>
      </w:rPr>
      <mc:AlternateContent>
        <mc:Choice Requires="wps">
          <w:drawing>
            <wp:anchor distT="0" distB="0" distL="0" distR="0" simplePos="0" relativeHeight="252033024" behindDoc="1" locked="0" layoutInCell="1" allowOverlap="1" wp14:anchorId="40538DB1" wp14:editId="606F97F0">
              <wp:simplePos x="0" y="0"/>
              <wp:positionH relativeFrom="page">
                <wp:posOffset>1944370</wp:posOffset>
              </wp:positionH>
              <wp:positionV relativeFrom="page">
                <wp:posOffset>311150</wp:posOffset>
              </wp:positionV>
              <wp:extent cx="2865120" cy="79375"/>
              <wp:effectExtent l="0" t="0" r="0" b="0"/>
              <wp:wrapNone/>
              <wp:docPr id="888" name="Shape 888"/>
              <wp:cNvGraphicFramePr/>
              <a:graphic xmlns:a="http://schemas.openxmlformats.org/drawingml/2006/main">
                <a:graphicData uri="http://schemas.microsoft.com/office/word/2010/wordprocessingShape">
                  <wps:wsp>
                    <wps:cNvSpPr txBox="1"/>
                    <wps:spPr>
                      <a:xfrm>
                        <a:off x="0" y="0"/>
                        <a:ext cx="2865120" cy="79375"/>
                      </a:xfrm>
                      <a:prstGeom prst="rect">
                        <a:avLst/>
                      </a:prstGeom>
                      <a:noFill/>
                    </wps:spPr>
                    <wps:txbx>
                      <w:txbxContent>
                        <w:p w14:paraId="3A97110A" w14:textId="77777777" w:rsidR="00093A32" w:rsidRDefault="00093A32">
                          <w:pPr>
                            <w:pStyle w:val="Headerorfooter0"/>
                            <w:tabs>
                              <w:tab w:val="right" w:pos="4512"/>
                            </w:tabs>
                            <w:rPr>
                              <w:sz w:val="16"/>
                              <w:szCs w:val="16"/>
                            </w:rPr>
                          </w:pPr>
                          <w:r>
                            <w:rPr>
                              <w:i/>
                              <w:iCs/>
                              <w:sz w:val="13"/>
                              <w:szCs w:val="13"/>
                            </w:rPr>
                            <w:t>GIARDIA LAMBLIA</w:t>
                          </w:r>
                          <w:r>
                            <w:rPr>
                              <w:i/>
                              <w:iCs/>
                            </w:rPr>
                            <w:t>,</w:t>
                          </w:r>
                          <w:r>
                            <w:t xml:space="preserve"> INFECCIONES</w:t>
                          </w:r>
                          <w:r>
                            <w:tab/>
                          </w:r>
                          <w:r>
                            <w:rPr>
                              <w:sz w:val="16"/>
                              <w:szCs w:val="16"/>
                            </w:rPr>
                            <w:t>347</w:t>
                          </w:r>
                        </w:p>
                      </w:txbxContent>
                    </wps:txbx>
                    <wps:bodyPr lIns="0" tIns="0" rIns="0" bIns="0">
                      <a:spAutoFit/>
                    </wps:bodyPr>
                  </wps:wsp>
                </a:graphicData>
              </a:graphic>
            </wp:anchor>
          </w:drawing>
        </mc:Choice>
        <mc:Fallback>
          <w:pict>
            <v:shapetype w14:anchorId="40538DB1" id="_x0000_t202" coordsize="21600,21600" o:spt="202" path="m,l,21600r21600,l21600,xe">
              <v:stroke joinstyle="miter"/>
              <v:path gradientshapeok="t" o:connecttype="rect"/>
            </v:shapetype>
            <v:shape id="Shape 888" o:spid="_x0000_s1176" type="#_x0000_t202" style="position:absolute;margin-left:153.1pt;margin-top:24.5pt;width:225.6pt;height:6.25pt;z-index:-2512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" filled="f" stroked="f">
              <v:textbox style="mso-fit-shape-to-text:t" inset="0,0,0,0">
                <w:txbxContent>
                  <w:p w14:paraId="3A97110A" w14:textId="77777777" w:rsidR="00093A32" w:rsidRDefault="00093A32">
                    <w:pPr>
                      <w:pStyle w:val="Headerorfooter0"/>
                      <w:tabs>
                        <w:tab w:val="right" w:pos="4512"/>
                      </w:tabs>
                      <w:rPr>
                        <w:sz w:val="16"/>
                        <w:szCs w:val="16"/>
                      </w:rPr>
                    </w:pPr>
                    <w:r>
                      <w:rPr>
                        <w:i/>
                        <w:iCs/>
                        <w:sz w:val="13"/>
                        <w:szCs w:val="13"/>
                      </w:rPr>
                      <w:t>GIARDIA LAMBLIA</w:t>
                    </w:r>
                    <w:r>
                      <w:rPr>
                        <w:i/>
                        <w:iCs/>
                      </w:rPr>
                      <w:t>,</w:t>
                    </w:r>
                    <w:r>
                      <w:t xml:space="preserve"> INFECCIONES</w:t>
                    </w:r>
                    <w:r>
                      <w:tab/>
                    </w:r>
                    <w:r>
                      <w:rPr>
                        <w:sz w:val="16"/>
                        <w:szCs w:val="16"/>
                      </w:rPr>
                      <w:t>347</w:t>
                    </w:r>
                  </w:p>
                </w:txbxContent>
              </v:textbox>
              <w10:wrap anchorx="page" anchory="page"/>
            </v:shape>
          </w:pict>
        </mc:Fallback>
      </mc:AlternateContent>
    </w:r>
    <w:r>
      <w:rPr>
        <w:noProof/>
      </w:rPr>
      <mc:AlternateContent>
        <mc:Choice Requires="wps">
          <w:drawing>
            <wp:anchor distT="0" distB="0" distL="114300" distR="114300" simplePos="0" relativeHeight="251792384" behindDoc="1" locked="0" layoutInCell="1" allowOverlap="1" wp14:anchorId="3424CDD2" wp14:editId="02F8BFE5">
              <wp:simplePos x="0" y="0"/>
              <wp:positionH relativeFrom="page">
                <wp:posOffset>472440</wp:posOffset>
              </wp:positionH>
              <wp:positionV relativeFrom="page">
                <wp:posOffset>419100</wp:posOffset>
              </wp:positionV>
              <wp:extent cx="4358640" cy="0"/>
              <wp:effectExtent l="0" t="0" r="0" b="0"/>
              <wp:wrapNone/>
              <wp:docPr id="890" name="Shape 8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56774D" id="_x0000_t32" coordsize="21600,21600" o:spt="32" o:oned="t" path="m,l21600,21600e" filled="f">
              <v:path arrowok="t" fillok="f" o:connecttype="none"/>
              <o:lock v:ext="edit" shapetype="t"/>
            </v:shapetype>
            <v:shape id="Shape 890" o:spid="_x0000_s1026" type="#_x0000_t32" style="position:absolute;margin-left:37.2pt;margin-top:33pt;width:343.2pt;height:0;z-index:-251524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" strokeweight="1pt">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42D7" w14:textId="77777777" w:rsidR="00093A32" w:rsidRDefault="00093A32">
    <w:pPr>
      <w:spacing w:line="1" w:lineRule="exact"/>
    </w:pPr>
    <w:r>
      <w:rPr>
        <w:noProof/>
      </w:rPr>
      <mc:AlternateContent>
        <mc:Choice Requires="wps">
          <w:drawing>
            <wp:anchor distT="0" distB="0" distL="0" distR="0" simplePos="0" relativeHeight="252032000" behindDoc="1" locked="0" layoutInCell="1" allowOverlap="1" wp14:anchorId="1BE65610" wp14:editId="6E805B2F">
              <wp:simplePos x="0" y="0"/>
              <wp:positionH relativeFrom="page">
                <wp:posOffset>1944370</wp:posOffset>
              </wp:positionH>
              <wp:positionV relativeFrom="page">
                <wp:posOffset>311150</wp:posOffset>
              </wp:positionV>
              <wp:extent cx="2865120" cy="79375"/>
              <wp:effectExtent l="0" t="0" r="0" b="0"/>
              <wp:wrapNone/>
              <wp:docPr id="885" name="Shape 885"/>
              <wp:cNvGraphicFramePr/>
              <a:graphic xmlns:a="http://schemas.openxmlformats.org/drawingml/2006/main">
                <a:graphicData uri="http://schemas.microsoft.com/office/word/2010/wordprocessingShape">
                  <wps:wsp>
                    <wps:cNvSpPr txBox="1"/>
                    <wps:spPr>
                      <a:xfrm>
                        <a:off x="0" y="0"/>
                        <a:ext cx="2865120" cy="79375"/>
                      </a:xfrm>
                      <a:prstGeom prst="rect">
                        <a:avLst/>
                      </a:prstGeom>
                      <a:noFill/>
                    </wps:spPr>
                    <wps:txbx>
                      <w:txbxContent>
                        <w:p w14:paraId="4758A5C4" w14:textId="77777777" w:rsidR="00093A32" w:rsidRDefault="00093A32">
                          <w:pPr>
                            <w:pStyle w:val="Headerorfooter0"/>
                            <w:tabs>
                              <w:tab w:val="right" w:pos="4512"/>
                            </w:tabs>
                            <w:rPr>
                              <w:sz w:val="16"/>
                              <w:szCs w:val="16"/>
                            </w:rPr>
                          </w:pPr>
                          <w:r>
                            <w:rPr>
                              <w:i/>
                              <w:iCs/>
                              <w:sz w:val="13"/>
                              <w:szCs w:val="13"/>
                            </w:rPr>
                            <w:t>GIARDIA LAMBLIA</w:t>
                          </w:r>
                          <w:r>
                            <w:rPr>
                              <w:i/>
                              <w:iCs/>
                            </w:rPr>
                            <w:t>,</w:t>
                          </w:r>
                          <w:r>
                            <w:t xml:space="preserve"> INFECCIONES</w:t>
                          </w:r>
                          <w:r>
                            <w:tab/>
                          </w:r>
                          <w:r>
                            <w:rPr>
                              <w:sz w:val="16"/>
                              <w:szCs w:val="16"/>
                            </w:rPr>
                            <w:t>347</w:t>
                          </w:r>
                        </w:p>
                      </w:txbxContent>
                    </wps:txbx>
                    <wps:bodyPr lIns="0" tIns="0" rIns="0" bIns="0">
                      <a:spAutoFit/>
                    </wps:bodyPr>
                  </wps:wsp>
                </a:graphicData>
              </a:graphic>
            </wp:anchor>
          </w:drawing>
        </mc:Choice>
        <mc:Fallback>
          <w:pict>
            <v:shapetype w14:anchorId="1BE65610" id="_x0000_t202" coordsize="21600,21600" o:spt="202" path="m,l,21600r21600,l21600,xe">
              <v:stroke joinstyle="miter"/>
              <v:path gradientshapeok="t" o:connecttype="rect"/>
            </v:shapetype>
            <v:shape id="Shape 885" o:spid="_x0000_s1177" type="#_x0000_t202" style="position:absolute;margin-left:153.1pt;margin-top:24.5pt;width:225.6pt;height:6.25pt;z-index:-2512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" filled="f" stroked="f">
              <v:textbox style="mso-fit-shape-to-text:t" inset="0,0,0,0">
                <w:txbxContent>
                  <w:p w14:paraId="4758A5C4" w14:textId="77777777" w:rsidR="00093A32" w:rsidRDefault="00093A32">
                    <w:pPr>
                      <w:pStyle w:val="Headerorfooter0"/>
                      <w:tabs>
                        <w:tab w:val="right" w:pos="4512"/>
                      </w:tabs>
                      <w:rPr>
                        <w:sz w:val="16"/>
                        <w:szCs w:val="16"/>
                      </w:rPr>
                    </w:pPr>
                    <w:r>
                      <w:rPr>
                        <w:i/>
                        <w:iCs/>
                        <w:sz w:val="13"/>
                        <w:szCs w:val="13"/>
                      </w:rPr>
                      <w:t>GIARDIA LAMBLIA</w:t>
                    </w:r>
                    <w:r>
                      <w:rPr>
                        <w:i/>
                        <w:iCs/>
                      </w:rPr>
                      <w:t>,</w:t>
                    </w:r>
                    <w:r>
                      <w:t xml:space="preserve"> INFECCIONES</w:t>
                    </w:r>
                    <w:r>
                      <w:tab/>
                    </w:r>
                    <w:r>
                      <w:rPr>
                        <w:sz w:val="16"/>
                        <w:szCs w:val="16"/>
                      </w:rPr>
                      <w:t>347</w:t>
                    </w:r>
                  </w:p>
                </w:txbxContent>
              </v:textbox>
              <w10:wrap anchorx="page" anchory="page"/>
            </v:shape>
          </w:pict>
        </mc:Fallback>
      </mc:AlternateContent>
    </w:r>
    <w:r>
      <w:rPr>
        <w:noProof/>
      </w:rPr>
      <mc:AlternateContent>
        <mc:Choice Requires="wps">
          <w:drawing>
            <wp:anchor distT="0" distB="0" distL="114300" distR="114300" simplePos="0" relativeHeight="251791360" behindDoc="1" locked="0" layoutInCell="1" allowOverlap="1" wp14:anchorId="4D3713D5" wp14:editId="5500B2A9">
              <wp:simplePos x="0" y="0"/>
              <wp:positionH relativeFrom="page">
                <wp:posOffset>472440</wp:posOffset>
              </wp:positionH>
              <wp:positionV relativeFrom="page">
                <wp:posOffset>419100</wp:posOffset>
              </wp:positionV>
              <wp:extent cx="4358640" cy="0"/>
              <wp:effectExtent l="0" t="0" r="0" b="0"/>
              <wp:wrapNone/>
              <wp:docPr id="887" name="Shape 8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33B364F" id="_x0000_t32" coordsize="21600,21600" o:spt="32" o:oned="t" path="m,l21600,21600e" filled="f">
              <v:path arrowok="t" fillok="f" o:connecttype="none"/>
              <o:lock v:ext="edit" shapetype="t"/>
            </v:shapetype>
            <v:shape id="Shape 887" o:spid="_x0000_s1026" type="#_x0000_t32" style="position:absolute;margin-left:37.2pt;margin-top:33pt;width:343.2pt;height:0;z-index:-251525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" strokeweight="1pt">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BD7B" w14:textId="77777777" w:rsidR="00093A32" w:rsidRDefault="00093A32">
    <w:pPr>
      <w:spacing w:line="1" w:lineRule="exact"/>
    </w:pPr>
    <w:r>
      <w:rPr>
        <w:noProof/>
      </w:rPr>
      <mc:AlternateContent>
        <mc:Choice Requires="wps">
          <w:drawing>
            <wp:anchor distT="0" distB="0" distL="0" distR="0" simplePos="0" relativeHeight="252034048" behindDoc="1" locked="0" layoutInCell="1" allowOverlap="1" wp14:anchorId="16D2E6E5" wp14:editId="33F0AF71">
              <wp:simplePos x="0" y="0"/>
              <wp:positionH relativeFrom="page">
                <wp:posOffset>488950</wp:posOffset>
              </wp:positionH>
              <wp:positionV relativeFrom="page">
                <wp:posOffset>311150</wp:posOffset>
              </wp:positionV>
              <wp:extent cx="2868295" cy="79375"/>
              <wp:effectExtent l="0" t="0" r="0" b="0"/>
              <wp:wrapNone/>
              <wp:docPr id="891" name="Shape 891"/>
              <wp:cNvGraphicFramePr/>
              <a:graphic xmlns:a="http://schemas.openxmlformats.org/drawingml/2006/main">
                <a:graphicData uri="http://schemas.microsoft.com/office/word/2010/wordprocessingShape">
                  <wps:wsp>
                    <wps:cNvSpPr txBox="1"/>
                    <wps:spPr>
                      <a:xfrm>
                        <a:off x="0" y="0"/>
                        <a:ext cx="2868295" cy="79375"/>
                      </a:xfrm>
                      <a:prstGeom prst="rect">
                        <a:avLst/>
                      </a:prstGeom>
                      <a:noFill/>
                    </wps:spPr>
                    <wps:txbx>
                      <w:txbxContent>
                        <w:p w14:paraId="51B85D79" w14:textId="77777777" w:rsidR="00093A32" w:rsidRDefault="00093A32">
                          <w:pPr>
                            <w:pStyle w:val="Headerorfooter0"/>
                            <w:tabs>
                              <w:tab w:val="right" w:pos="4517"/>
                            </w:tabs>
                          </w:pPr>
                          <w:r>
                            <w:rPr>
                              <w:sz w:val="16"/>
                              <w:szCs w:val="16"/>
                            </w:rPr>
                            <w:t>346</w:t>
                          </w:r>
                          <w:r>
                            <w:rPr>
                              <w:sz w:val="16"/>
                              <w:szCs w:val="16"/>
                            </w:rPr>
                            <w:tab/>
                          </w:r>
                          <w:r>
                            <w:rPr>
                              <w:i/>
                              <w:iCs/>
                              <w:sz w:val="13"/>
                              <w:szCs w:val="13"/>
                            </w:rPr>
                            <w:t>GIARDIA LAMBLIA</w:t>
                          </w:r>
                          <w:r>
                            <w:rPr>
                              <w:i/>
                              <w:iCs/>
                            </w:rPr>
                            <w:t>,</w:t>
                          </w:r>
                          <w:r>
                            <w:t xml:space="preserve"> INFECCIONES</w:t>
                          </w:r>
                        </w:p>
                      </w:txbxContent>
                    </wps:txbx>
                    <wps:bodyPr lIns="0" tIns="0" rIns="0" bIns="0">
                      <a:spAutoFit/>
                    </wps:bodyPr>
                  </wps:wsp>
                </a:graphicData>
              </a:graphic>
            </wp:anchor>
          </w:drawing>
        </mc:Choice>
        <mc:Fallback>
          <w:pict>
            <v:shapetype w14:anchorId="16D2E6E5" id="_x0000_t202" coordsize="21600,21600" o:spt="202" path="m,l,21600r21600,l21600,xe">
              <v:stroke joinstyle="miter"/>
              <v:path gradientshapeok="t" o:connecttype="rect"/>
            </v:shapetype>
            <v:shape id="Shape 891" o:spid="_x0000_s1178" type="#_x0000_t202" style="position:absolute;margin-left:38.5pt;margin-top:24.5pt;width:225.85pt;height:6.25pt;z-index:-2512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" filled="f" stroked="f">
              <v:textbox style="mso-fit-shape-to-text:t" inset="0,0,0,0">
                <w:txbxContent>
                  <w:p w14:paraId="51B85D79" w14:textId="77777777" w:rsidR="00093A32" w:rsidRDefault="00093A32">
                    <w:pPr>
                      <w:pStyle w:val="Headerorfooter0"/>
                      <w:tabs>
                        <w:tab w:val="right" w:pos="4517"/>
                      </w:tabs>
                    </w:pPr>
                    <w:r>
                      <w:rPr>
                        <w:sz w:val="16"/>
                        <w:szCs w:val="16"/>
                      </w:rPr>
                      <w:t>346</w:t>
                    </w:r>
                    <w:r>
                      <w:rPr>
                        <w:sz w:val="16"/>
                        <w:szCs w:val="16"/>
                      </w:rPr>
                      <w:tab/>
                    </w:r>
                    <w:r>
                      <w:rPr>
                        <w:i/>
                        <w:iCs/>
                        <w:sz w:val="13"/>
                        <w:szCs w:val="13"/>
                      </w:rPr>
                      <w:t>GIARDIA LAMBLIA</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93408" behindDoc="1" locked="0" layoutInCell="1" allowOverlap="1" wp14:anchorId="33874A22" wp14:editId="6833CA26">
              <wp:simplePos x="0" y="0"/>
              <wp:positionH relativeFrom="page">
                <wp:posOffset>473710</wp:posOffset>
              </wp:positionH>
              <wp:positionV relativeFrom="page">
                <wp:posOffset>419100</wp:posOffset>
              </wp:positionV>
              <wp:extent cx="4358640" cy="0"/>
              <wp:effectExtent l="0" t="0" r="0" b="0"/>
              <wp:wrapNone/>
              <wp:docPr id="893" name="Shape 8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A25039" id="_x0000_t32" coordsize="21600,21600" o:spt="32" o:oned="t" path="m,l21600,21600e" filled="f">
              <v:path arrowok="t" fillok="f" o:connecttype="none"/>
              <o:lock v:ext="edit" shapetype="t"/>
            </v:shapetype>
            <v:shape id="Shape 893" o:spid="_x0000_s1026" type="#_x0000_t32" style="position:absolute;margin-left:37.3pt;margin-top:33pt;width:343.2pt;height:0;z-index:-251523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" strokeweight="1pt">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D24D" w14:textId="77777777" w:rsidR="00093A32" w:rsidRDefault="00093A32">
    <w:pPr>
      <w:spacing w:line="1" w:lineRule="exact"/>
    </w:pPr>
    <w:r>
      <w:rPr>
        <w:noProof/>
      </w:rPr>
      <mc:AlternateContent>
        <mc:Choice Requires="wps">
          <w:drawing>
            <wp:anchor distT="0" distB="0" distL="0" distR="0" simplePos="0" relativeHeight="252036096" behindDoc="1" locked="0" layoutInCell="1" allowOverlap="1" wp14:anchorId="25DEFECE" wp14:editId="76E1E6FF">
              <wp:simplePos x="0" y="0"/>
              <wp:positionH relativeFrom="page">
                <wp:posOffset>488950</wp:posOffset>
              </wp:positionH>
              <wp:positionV relativeFrom="page">
                <wp:posOffset>311150</wp:posOffset>
              </wp:positionV>
              <wp:extent cx="2785745" cy="79375"/>
              <wp:effectExtent l="0" t="0" r="0" b="0"/>
              <wp:wrapNone/>
              <wp:docPr id="897" name="Shape 897"/>
              <wp:cNvGraphicFramePr/>
              <a:graphic xmlns:a="http://schemas.openxmlformats.org/drawingml/2006/main">
                <a:graphicData uri="http://schemas.microsoft.com/office/word/2010/wordprocessingShape">
                  <wps:wsp>
                    <wps:cNvSpPr txBox="1"/>
                    <wps:spPr>
                      <a:xfrm>
                        <a:off x="0" y="0"/>
                        <a:ext cx="2785745" cy="79375"/>
                      </a:xfrm>
                      <a:prstGeom prst="rect">
                        <a:avLst/>
                      </a:prstGeom>
                      <a:noFill/>
                    </wps:spPr>
                    <wps:txbx>
                      <w:txbxContent>
                        <w:p w14:paraId="3B5FF205" w14:textId="77777777" w:rsidR="00093A32" w:rsidRDefault="00093A32">
                          <w:pPr>
                            <w:pStyle w:val="Headerorfooter0"/>
                            <w:tabs>
                              <w:tab w:val="right" w:pos="4387"/>
                            </w:tabs>
                          </w:pPr>
                          <w:r>
                            <w:rPr>
                              <w:sz w:val="16"/>
                              <w:szCs w:val="16"/>
                            </w:rPr>
                            <w:t>348</w:t>
                          </w:r>
                          <w:r>
                            <w:rPr>
                              <w:sz w:val="16"/>
                              <w:szCs w:val="16"/>
                            </w:rPr>
                            <w:tab/>
                          </w:r>
                          <w:r>
                            <w:t>GONOCOCOS, INFECCIONES</w:t>
                          </w:r>
                        </w:p>
                      </w:txbxContent>
                    </wps:txbx>
                    <wps:bodyPr lIns="0" tIns="0" rIns="0" bIns="0">
                      <a:spAutoFit/>
                    </wps:bodyPr>
                  </wps:wsp>
                </a:graphicData>
              </a:graphic>
            </wp:anchor>
          </w:drawing>
        </mc:Choice>
        <mc:Fallback>
          <w:pict>
            <v:shapetype w14:anchorId="25DEFECE" id="_x0000_t202" coordsize="21600,21600" o:spt="202" path="m,l,21600r21600,l21600,xe">
              <v:stroke joinstyle="miter"/>
              <v:path gradientshapeok="t" o:connecttype="rect"/>
            </v:shapetype>
            <v:shape id="Shape 897" o:spid="_x0000_s1179" type="#_x0000_t202" style="position:absolute;margin-left:38.5pt;margin-top:24.5pt;width:219.35pt;height:6.25pt;z-index:-2512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" filled="f" stroked="f">
              <v:textbox style="mso-fit-shape-to-text:t" inset="0,0,0,0">
                <w:txbxContent>
                  <w:p w14:paraId="3B5FF205" w14:textId="77777777" w:rsidR="00093A32" w:rsidRDefault="00093A32">
                    <w:pPr>
                      <w:pStyle w:val="Headerorfooter0"/>
                      <w:tabs>
                        <w:tab w:val="right" w:pos="4387"/>
                      </w:tabs>
                    </w:pPr>
                    <w:r>
                      <w:rPr>
                        <w:sz w:val="16"/>
                        <w:szCs w:val="16"/>
                      </w:rPr>
                      <w:t>348</w:t>
                    </w:r>
                    <w:r>
                      <w:rPr>
                        <w:sz w:val="16"/>
                        <w:szCs w:val="16"/>
                      </w:rPr>
                      <w:tab/>
                    </w:r>
                    <w:r>
                      <w:t>GONOCOCOS, INFECCIONES</w:t>
                    </w:r>
                  </w:p>
                </w:txbxContent>
              </v:textbox>
              <w10:wrap anchorx="page" anchory="page"/>
            </v:shape>
          </w:pict>
        </mc:Fallback>
      </mc:AlternateContent>
    </w:r>
    <w:r>
      <w:rPr>
        <w:noProof/>
      </w:rPr>
      <mc:AlternateContent>
        <mc:Choice Requires="wps">
          <w:drawing>
            <wp:anchor distT="0" distB="0" distL="114300" distR="114300" simplePos="0" relativeHeight="251795456" behindDoc="1" locked="0" layoutInCell="1" allowOverlap="1" wp14:anchorId="5367AD63" wp14:editId="4B738668">
              <wp:simplePos x="0" y="0"/>
              <wp:positionH relativeFrom="page">
                <wp:posOffset>473710</wp:posOffset>
              </wp:positionH>
              <wp:positionV relativeFrom="page">
                <wp:posOffset>419100</wp:posOffset>
              </wp:positionV>
              <wp:extent cx="4358640" cy="0"/>
              <wp:effectExtent l="0" t="0" r="0" b="0"/>
              <wp:wrapNone/>
              <wp:docPr id="899" name="Shape 8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A60519" id="_x0000_t32" coordsize="21600,21600" o:spt="32" o:oned="t" path="m,l21600,21600e" filled="f">
              <v:path arrowok="t" fillok="f" o:connecttype="none"/>
              <o:lock v:ext="edit" shapetype="t"/>
            </v:shapetype>
            <v:shape id="Shape 899" o:spid="_x0000_s1026" type="#_x0000_t32" style="position:absolute;margin-left:37.3pt;margin-top:33pt;width:343.2pt;height:0;z-index:-251521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" strokeweight="1pt">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707" w14:textId="77777777" w:rsidR="00093A32" w:rsidRDefault="00093A32">
    <w:pPr>
      <w:spacing w:line="1" w:lineRule="exact"/>
    </w:pPr>
    <w:r>
      <w:rPr>
        <w:noProof/>
      </w:rPr>
      <mc:AlternateContent>
        <mc:Choice Requires="wps">
          <w:drawing>
            <wp:anchor distT="0" distB="0" distL="0" distR="0" simplePos="0" relativeHeight="252035072" behindDoc="1" locked="0" layoutInCell="1" allowOverlap="1" wp14:anchorId="29F81CA6" wp14:editId="2E6FD01E">
              <wp:simplePos x="0" y="0"/>
              <wp:positionH relativeFrom="page">
                <wp:posOffset>488950</wp:posOffset>
              </wp:positionH>
              <wp:positionV relativeFrom="page">
                <wp:posOffset>311150</wp:posOffset>
              </wp:positionV>
              <wp:extent cx="2785745" cy="79375"/>
              <wp:effectExtent l="0" t="0" r="0" b="0"/>
              <wp:wrapNone/>
              <wp:docPr id="894" name="Shape 894"/>
              <wp:cNvGraphicFramePr/>
              <a:graphic xmlns:a="http://schemas.openxmlformats.org/drawingml/2006/main">
                <a:graphicData uri="http://schemas.microsoft.com/office/word/2010/wordprocessingShape">
                  <wps:wsp>
                    <wps:cNvSpPr txBox="1"/>
                    <wps:spPr>
                      <a:xfrm>
                        <a:off x="0" y="0"/>
                        <a:ext cx="2785745" cy="79375"/>
                      </a:xfrm>
                      <a:prstGeom prst="rect">
                        <a:avLst/>
                      </a:prstGeom>
                      <a:noFill/>
                    </wps:spPr>
                    <wps:txbx>
                      <w:txbxContent>
                        <w:p w14:paraId="739DEECA" w14:textId="77777777" w:rsidR="00093A32" w:rsidRDefault="00093A32">
                          <w:pPr>
                            <w:pStyle w:val="Headerorfooter0"/>
                            <w:tabs>
                              <w:tab w:val="right" w:pos="4387"/>
                            </w:tabs>
                          </w:pPr>
                          <w:r>
                            <w:rPr>
                              <w:sz w:val="16"/>
                              <w:szCs w:val="16"/>
                            </w:rPr>
                            <w:t>348</w:t>
                          </w:r>
                          <w:r>
                            <w:rPr>
                              <w:sz w:val="16"/>
                              <w:szCs w:val="16"/>
                            </w:rPr>
                            <w:tab/>
                          </w:r>
                          <w:r>
                            <w:t>GONOCOCOS, INFECCIONES</w:t>
                          </w:r>
                        </w:p>
                      </w:txbxContent>
                    </wps:txbx>
                    <wps:bodyPr lIns="0" tIns="0" rIns="0" bIns="0">
                      <a:spAutoFit/>
                    </wps:bodyPr>
                  </wps:wsp>
                </a:graphicData>
              </a:graphic>
            </wp:anchor>
          </w:drawing>
        </mc:Choice>
        <mc:Fallback>
          <w:pict>
            <v:shapetype w14:anchorId="29F81CA6" id="_x0000_t202" coordsize="21600,21600" o:spt="202" path="m,l,21600r21600,l21600,xe">
              <v:stroke joinstyle="miter"/>
              <v:path gradientshapeok="t" o:connecttype="rect"/>
            </v:shapetype>
            <v:shape id="Shape 894" o:spid="_x0000_s1180" type="#_x0000_t202" style="position:absolute;margin-left:38.5pt;margin-top:24.5pt;width:219.35pt;height:6.25pt;z-index:-2512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" filled="f" stroked="f">
              <v:textbox style="mso-fit-shape-to-text:t" inset="0,0,0,0">
                <w:txbxContent>
                  <w:p w14:paraId="739DEECA" w14:textId="77777777" w:rsidR="00093A32" w:rsidRDefault="00093A32">
                    <w:pPr>
                      <w:pStyle w:val="Headerorfooter0"/>
                      <w:tabs>
                        <w:tab w:val="right" w:pos="4387"/>
                      </w:tabs>
                    </w:pPr>
                    <w:r>
                      <w:rPr>
                        <w:sz w:val="16"/>
                        <w:szCs w:val="16"/>
                      </w:rPr>
                      <w:t>348</w:t>
                    </w:r>
                    <w:r>
                      <w:rPr>
                        <w:sz w:val="16"/>
                        <w:szCs w:val="16"/>
                      </w:rPr>
                      <w:tab/>
                    </w:r>
                    <w:r>
                      <w:t>GONOCOCOS, INFECCIONES</w:t>
                    </w:r>
                  </w:p>
                </w:txbxContent>
              </v:textbox>
              <w10:wrap anchorx="page" anchory="page"/>
            </v:shape>
          </w:pict>
        </mc:Fallback>
      </mc:AlternateContent>
    </w:r>
    <w:r>
      <w:rPr>
        <w:noProof/>
      </w:rPr>
      <mc:AlternateContent>
        <mc:Choice Requires="wps">
          <w:drawing>
            <wp:anchor distT="0" distB="0" distL="114300" distR="114300" simplePos="0" relativeHeight="251794432" behindDoc="1" locked="0" layoutInCell="1" allowOverlap="1" wp14:anchorId="128FD123" wp14:editId="3256F512">
              <wp:simplePos x="0" y="0"/>
              <wp:positionH relativeFrom="page">
                <wp:posOffset>473710</wp:posOffset>
              </wp:positionH>
              <wp:positionV relativeFrom="page">
                <wp:posOffset>419100</wp:posOffset>
              </wp:positionV>
              <wp:extent cx="4358640" cy="0"/>
              <wp:effectExtent l="0" t="0" r="0" b="0"/>
              <wp:wrapNone/>
              <wp:docPr id="896" name="Shape 8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27DC269" id="_x0000_t32" coordsize="21600,21600" o:spt="32" o:oned="t" path="m,l21600,21600e" filled="f">
              <v:path arrowok="t" fillok="f" o:connecttype="none"/>
              <o:lock v:ext="edit" shapetype="t"/>
            </v:shapetype>
            <v:shape id="Shape 896" o:spid="_x0000_s1026" type="#_x0000_t32" style="position:absolute;margin-left:37.3pt;margin-top:33pt;width:343.2pt;height:0;z-index:-251522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" strokeweight="1pt">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34FE" w14:textId="77777777" w:rsidR="00093A32" w:rsidRDefault="00093A32">
    <w:pPr>
      <w:spacing w:line="1" w:lineRule="exact"/>
    </w:pPr>
    <w:r>
      <w:rPr>
        <w:noProof/>
      </w:rPr>
      <mc:AlternateContent>
        <mc:Choice Requires="wps">
          <w:drawing>
            <wp:anchor distT="0" distB="0" distL="0" distR="0" simplePos="0" relativeHeight="252038144" behindDoc="1" locked="0" layoutInCell="1" allowOverlap="1" wp14:anchorId="4D0486B6" wp14:editId="41B0BF6C">
              <wp:simplePos x="0" y="0"/>
              <wp:positionH relativeFrom="page">
                <wp:posOffset>2028190</wp:posOffset>
              </wp:positionH>
              <wp:positionV relativeFrom="page">
                <wp:posOffset>311150</wp:posOffset>
              </wp:positionV>
              <wp:extent cx="2782570" cy="79375"/>
              <wp:effectExtent l="0" t="0" r="0" b="0"/>
              <wp:wrapNone/>
              <wp:docPr id="903" name="Shape 903"/>
              <wp:cNvGraphicFramePr/>
              <a:graphic xmlns:a="http://schemas.openxmlformats.org/drawingml/2006/main">
                <a:graphicData uri="http://schemas.microsoft.com/office/word/2010/wordprocessingShape">
                  <wps:wsp>
                    <wps:cNvSpPr txBox="1"/>
                    <wps:spPr>
                      <a:xfrm>
                        <a:off x="0" y="0"/>
                        <a:ext cx="2782570" cy="79375"/>
                      </a:xfrm>
                      <a:prstGeom prst="rect">
                        <a:avLst/>
                      </a:prstGeom>
                      <a:noFill/>
                    </wps:spPr>
                    <wps:txbx>
                      <w:txbxContent>
                        <w:p w14:paraId="56D2469E" w14:textId="77777777" w:rsidR="00093A32" w:rsidRDefault="00093A32">
                          <w:pPr>
                            <w:pStyle w:val="Headerorfooter0"/>
                            <w:tabs>
                              <w:tab w:val="right" w:pos="4382"/>
                            </w:tabs>
                            <w:rPr>
                              <w:sz w:val="16"/>
                              <w:szCs w:val="16"/>
                            </w:rPr>
                          </w:pPr>
                          <w:r>
                            <w:t>GONOCOCOS, INFECCIONES</w:t>
                          </w:r>
                          <w:r>
                            <w:tab/>
                          </w:r>
                          <w:r>
                            <w:rPr>
                              <w:sz w:val="16"/>
                              <w:szCs w:val="16"/>
                            </w:rPr>
                            <w:t>349</w:t>
                          </w:r>
                        </w:p>
                      </w:txbxContent>
                    </wps:txbx>
                    <wps:bodyPr lIns="0" tIns="0" rIns="0" bIns="0">
                      <a:spAutoFit/>
                    </wps:bodyPr>
                  </wps:wsp>
                </a:graphicData>
              </a:graphic>
            </wp:anchor>
          </w:drawing>
        </mc:Choice>
        <mc:Fallback>
          <w:pict>
            <v:shapetype w14:anchorId="4D0486B6" id="_x0000_t202" coordsize="21600,21600" o:spt="202" path="m,l,21600r21600,l21600,xe">
              <v:stroke joinstyle="miter"/>
              <v:path gradientshapeok="t" o:connecttype="rect"/>
            </v:shapetype>
            <v:shape id="Shape 903" o:spid="_x0000_s1181" type="#_x0000_t202" style="position:absolute;margin-left:159.7pt;margin-top:24.5pt;width:219.1pt;height:6.25pt;z-index:-2512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" filled="f" stroked="f">
              <v:textbox style="mso-fit-shape-to-text:t" inset="0,0,0,0">
                <w:txbxContent>
                  <w:p w14:paraId="56D2469E" w14:textId="77777777" w:rsidR="00093A32" w:rsidRDefault="00093A32">
                    <w:pPr>
                      <w:pStyle w:val="Headerorfooter0"/>
                      <w:tabs>
                        <w:tab w:val="right" w:pos="4382"/>
                      </w:tabs>
                      <w:rPr>
                        <w:sz w:val="16"/>
                        <w:szCs w:val="16"/>
                      </w:rPr>
                    </w:pPr>
                    <w:r>
                      <w:t>GONOCOCOS, INFECCIONES</w:t>
                    </w:r>
                    <w:r>
                      <w:tab/>
                    </w:r>
                    <w:r>
                      <w:rPr>
                        <w:sz w:val="16"/>
                        <w:szCs w:val="16"/>
                      </w:rPr>
                      <w:t>349</w:t>
                    </w:r>
                  </w:p>
                </w:txbxContent>
              </v:textbox>
              <w10:wrap anchorx="page" anchory="page"/>
            </v:shape>
          </w:pict>
        </mc:Fallback>
      </mc:AlternateContent>
    </w:r>
    <w:r>
      <w:rPr>
        <w:noProof/>
      </w:rPr>
      <mc:AlternateContent>
        <mc:Choice Requires="wps">
          <w:drawing>
            <wp:anchor distT="0" distB="0" distL="114300" distR="114300" simplePos="0" relativeHeight="251797504" behindDoc="1" locked="0" layoutInCell="1" allowOverlap="1" wp14:anchorId="34AC5AC4" wp14:editId="5322E473">
              <wp:simplePos x="0" y="0"/>
              <wp:positionH relativeFrom="page">
                <wp:posOffset>473710</wp:posOffset>
              </wp:positionH>
              <wp:positionV relativeFrom="page">
                <wp:posOffset>419100</wp:posOffset>
              </wp:positionV>
              <wp:extent cx="4358640" cy="0"/>
              <wp:effectExtent l="0" t="0" r="0" b="0"/>
              <wp:wrapNone/>
              <wp:docPr id="905" name="Shape 90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52D8BE" id="_x0000_t32" coordsize="21600,21600" o:spt="32" o:oned="t" path="m,l21600,21600e" filled="f">
              <v:path arrowok="t" fillok="f" o:connecttype="none"/>
              <o:lock v:ext="edit" shapetype="t"/>
            </v:shapetype>
            <v:shape id="Shape 905" o:spid="_x0000_s1026" type="#_x0000_t32" style="position:absolute;margin-left:37.3pt;margin-top:33pt;width:343.2pt;height:0;z-index:-251518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" strokeweight="1pt">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8935" w14:textId="77777777" w:rsidR="00093A32" w:rsidRDefault="00093A32">
    <w:pPr>
      <w:spacing w:line="1" w:lineRule="exact"/>
    </w:pPr>
    <w:r>
      <w:rPr>
        <w:noProof/>
      </w:rPr>
      <mc:AlternateContent>
        <mc:Choice Requires="wps">
          <w:drawing>
            <wp:anchor distT="0" distB="0" distL="0" distR="0" simplePos="0" relativeHeight="252037120" behindDoc="1" locked="0" layoutInCell="1" allowOverlap="1" wp14:anchorId="7CA2E20C" wp14:editId="0FC6D123">
              <wp:simplePos x="0" y="0"/>
              <wp:positionH relativeFrom="page">
                <wp:posOffset>488950</wp:posOffset>
              </wp:positionH>
              <wp:positionV relativeFrom="page">
                <wp:posOffset>311150</wp:posOffset>
              </wp:positionV>
              <wp:extent cx="2785745" cy="79375"/>
              <wp:effectExtent l="0" t="0" r="0" b="0"/>
              <wp:wrapNone/>
              <wp:docPr id="900" name="Shape 900"/>
              <wp:cNvGraphicFramePr/>
              <a:graphic xmlns:a="http://schemas.openxmlformats.org/drawingml/2006/main">
                <a:graphicData uri="http://schemas.microsoft.com/office/word/2010/wordprocessingShape">
                  <wps:wsp>
                    <wps:cNvSpPr txBox="1"/>
                    <wps:spPr>
                      <a:xfrm>
                        <a:off x="0" y="0"/>
                        <a:ext cx="2785745" cy="79375"/>
                      </a:xfrm>
                      <a:prstGeom prst="rect">
                        <a:avLst/>
                      </a:prstGeom>
                      <a:noFill/>
                    </wps:spPr>
                    <wps:txbx>
                      <w:txbxContent>
                        <w:p w14:paraId="09C0ED95" w14:textId="77777777" w:rsidR="00093A32" w:rsidRDefault="00093A32">
                          <w:pPr>
                            <w:pStyle w:val="Headerorfooter0"/>
                            <w:tabs>
                              <w:tab w:val="right" w:pos="4387"/>
                            </w:tabs>
                          </w:pPr>
                          <w:r>
                            <w:rPr>
                              <w:sz w:val="16"/>
                              <w:szCs w:val="16"/>
                            </w:rPr>
                            <w:t>348</w:t>
                          </w:r>
                          <w:r>
                            <w:rPr>
                              <w:sz w:val="16"/>
                              <w:szCs w:val="16"/>
                            </w:rPr>
                            <w:tab/>
                          </w:r>
                          <w:r>
                            <w:t>GONOCOCOS, INFECCIONES</w:t>
                          </w:r>
                        </w:p>
                      </w:txbxContent>
                    </wps:txbx>
                    <wps:bodyPr lIns="0" tIns="0" rIns="0" bIns="0">
                      <a:spAutoFit/>
                    </wps:bodyPr>
                  </wps:wsp>
                </a:graphicData>
              </a:graphic>
            </wp:anchor>
          </w:drawing>
        </mc:Choice>
        <mc:Fallback>
          <w:pict>
            <v:shapetype w14:anchorId="7CA2E20C" id="_x0000_t202" coordsize="21600,21600" o:spt="202" path="m,l,21600r21600,l21600,xe">
              <v:stroke joinstyle="miter"/>
              <v:path gradientshapeok="t" o:connecttype="rect"/>
            </v:shapetype>
            <v:shape id="Shape 900" o:spid="_x0000_s1182" type="#_x0000_t202" style="position:absolute;margin-left:38.5pt;margin-top:24.5pt;width:219.35pt;height:6.25pt;z-index:-2512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" filled="f" stroked="f">
              <v:textbox style="mso-fit-shape-to-text:t" inset="0,0,0,0">
                <w:txbxContent>
                  <w:p w14:paraId="09C0ED95" w14:textId="77777777" w:rsidR="00093A32" w:rsidRDefault="00093A32">
                    <w:pPr>
                      <w:pStyle w:val="Headerorfooter0"/>
                      <w:tabs>
                        <w:tab w:val="right" w:pos="4387"/>
                      </w:tabs>
                    </w:pPr>
                    <w:r>
                      <w:rPr>
                        <w:sz w:val="16"/>
                        <w:szCs w:val="16"/>
                      </w:rPr>
                      <w:t>348</w:t>
                    </w:r>
                    <w:r>
                      <w:rPr>
                        <w:sz w:val="16"/>
                        <w:szCs w:val="16"/>
                      </w:rPr>
                      <w:tab/>
                    </w:r>
                    <w:r>
                      <w:t>GONOCOCOS, INFECCIONES</w:t>
                    </w:r>
                  </w:p>
                </w:txbxContent>
              </v:textbox>
              <w10:wrap anchorx="page" anchory="page"/>
            </v:shape>
          </w:pict>
        </mc:Fallback>
      </mc:AlternateContent>
    </w:r>
    <w:r>
      <w:rPr>
        <w:noProof/>
      </w:rPr>
      <mc:AlternateContent>
        <mc:Choice Requires="wps">
          <w:drawing>
            <wp:anchor distT="0" distB="0" distL="114300" distR="114300" simplePos="0" relativeHeight="251796480" behindDoc="1" locked="0" layoutInCell="1" allowOverlap="1" wp14:anchorId="5951D90C" wp14:editId="34007714">
              <wp:simplePos x="0" y="0"/>
              <wp:positionH relativeFrom="page">
                <wp:posOffset>473710</wp:posOffset>
              </wp:positionH>
              <wp:positionV relativeFrom="page">
                <wp:posOffset>419100</wp:posOffset>
              </wp:positionV>
              <wp:extent cx="4358640" cy="0"/>
              <wp:effectExtent l="0" t="0" r="0" b="0"/>
              <wp:wrapNone/>
              <wp:docPr id="902" name="Shape 90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CB99A7" id="_x0000_t32" coordsize="21600,21600" o:spt="32" o:oned="t" path="m,l21600,21600e" filled="f">
              <v:path arrowok="t" fillok="f" o:connecttype="none"/>
              <o:lock v:ext="edit" shapetype="t"/>
            </v:shapetype>
            <v:shape id="Shape 902" o:spid="_x0000_s1026" type="#_x0000_t32" style="position:absolute;margin-left:37.3pt;margin-top:33pt;width:343.2pt;height:0;z-index:-251520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" strokeweight="1pt">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2111" w14:textId="77777777" w:rsidR="00093A32" w:rsidRDefault="00093A32">
    <w:pPr>
      <w:spacing w:line="1" w:lineRule="exact"/>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75FD" w14:textId="77777777" w:rsidR="00093A32" w:rsidRDefault="00093A32">
    <w:pPr>
      <w:spacing w:line="1" w:lineRule="exact"/>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180D" w14:textId="77777777" w:rsidR="00093A32" w:rsidRDefault="00093A32">
    <w:pPr>
      <w:spacing w:line="1" w:lineRule="exact"/>
    </w:pPr>
    <w:r>
      <w:rPr>
        <w:noProof/>
      </w:rPr>
      <mc:AlternateContent>
        <mc:Choice Requires="wps">
          <w:drawing>
            <wp:anchor distT="0" distB="0" distL="0" distR="0" simplePos="0" relativeHeight="252040192" behindDoc="1" locked="0" layoutInCell="1" allowOverlap="1" wp14:anchorId="10E50C51" wp14:editId="3E162EEE">
              <wp:simplePos x="0" y="0"/>
              <wp:positionH relativeFrom="page">
                <wp:posOffset>2221230</wp:posOffset>
              </wp:positionH>
              <wp:positionV relativeFrom="page">
                <wp:posOffset>313690</wp:posOffset>
              </wp:positionV>
              <wp:extent cx="2667000" cy="69850"/>
              <wp:effectExtent l="0" t="0" r="0" b="0"/>
              <wp:wrapNone/>
              <wp:docPr id="919" name="Shape 919"/>
              <wp:cNvGraphicFramePr/>
              <a:graphic xmlns:a="http://schemas.openxmlformats.org/drawingml/2006/main">
                <a:graphicData uri="http://schemas.microsoft.com/office/word/2010/wordprocessingShape">
                  <wps:wsp>
                    <wps:cNvSpPr txBox="1"/>
                    <wps:spPr>
                      <a:xfrm>
                        <a:off x="0" y="0"/>
                        <a:ext cx="2667000" cy="69850"/>
                      </a:xfrm>
                      <a:prstGeom prst="rect">
                        <a:avLst/>
                      </a:prstGeom>
                      <a:noFill/>
                    </wps:spPr>
                    <wps:txbx>
                      <w:txbxContent>
                        <w:p w14:paraId="12BF9E7A" w14:textId="77777777" w:rsidR="00093A32" w:rsidRDefault="00093A32">
                          <w:pPr>
                            <w:pStyle w:val="Headerorfooter0"/>
                            <w:tabs>
                              <w:tab w:val="right" w:pos="4200"/>
                            </w:tabs>
                            <w:rPr>
                              <w:sz w:val="16"/>
                              <w:szCs w:val="16"/>
                            </w:rPr>
                          </w:pPr>
                          <w:r>
                            <w:t>GRANULOMA INGUINAL</w:t>
                          </w:r>
                          <w:r>
                            <w:tab/>
                          </w:r>
                          <w:r>
                            <w:rPr>
                              <w:sz w:val="16"/>
                              <w:szCs w:val="16"/>
                            </w:rPr>
                            <w:t>355</w:t>
                          </w:r>
                        </w:p>
                      </w:txbxContent>
                    </wps:txbx>
                    <wps:bodyPr lIns="0" tIns="0" rIns="0" bIns="0">
                      <a:spAutoFit/>
                    </wps:bodyPr>
                  </wps:wsp>
                </a:graphicData>
              </a:graphic>
            </wp:anchor>
          </w:drawing>
        </mc:Choice>
        <mc:Fallback>
          <w:pict>
            <v:shapetype w14:anchorId="10E50C51" id="_x0000_t202" coordsize="21600,21600" o:spt="202" path="m,l,21600r21600,l21600,xe">
              <v:stroke joinstyle="miter"/>
              <v:path gradientshapeok="t" o:connecttype="rect"/>
            </v:shapetype>
            <v:shape id="Shape 919" o:spid="_x0000_s1183" type="#_x0000_t202" style="position:absolute;margin-left:174.9pt;margin-top:24.7pt;width:210pt;height:5.5pt;z-index:-2512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JEcfgEAAPwCAAAOAAAAZHJzL2Uyb0RvYy54bWysUttOwzAMfUfiH6K8s5YJ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" filled="f" stroked="f">
              <v:textbox style="mso-fit-shape-to-text:t" inset="0,0,0,0">
                <w:txbxContent>
                  <w:p w14:paraId="12BF9E7A" w14:textId="77777777" w:rsidR="00093A32" w:rsidRDefault="00093A32">
                    <w:pPr>
                      <w:pStyle w:val="Headerorfooter0"/>
                      <w:tabs>
                        <w:tab w:val="right" w:pos="4200"/>
                      </w:tabs>
                      <w:rPr>
                        <w:sz w:val="16"/>
                        <w:szCs w:val="16"/>
                      </w:rPr>
                    </w:pPr>
                    <w:r>
                      <w:t>GRANULOMA INGUINAL</w:t>
                    </w:r>
                    <w:r>
                      <w:tab/>
                    </w:r>
                    <w:r>
                      <w:rPr>
                        <w:sz w:val="16"/>
                        <w:szCs w:val="16"/>
                      </w:rPr>
                      <w:t>355</w:t>
                    </w:r>
                  </w:p>
                </w:txbxContent>
              </v:textbox>
              <w10:wrap anchorx="page" anchory="page"/>
            </v:shape>
          </w:pict>
        </mc:Fallback>
      </mc:AlternateContent>
    </w:r>
    <w:r>
      <w:rPr>
        <w:noProof/>
      </w:rPr>
      <mc:AlternateContent>
        <mc:Choice Requires="wps">
          <w:drawing>
            <wp:anchor distT="0" distB="0" distL="114300" distR="114300" simplePos="0" relativeHeight="251799552" behindDoc="1" locked="0" layoutInCell="1" allowOverlap="1" wp14:anchorId="74134071" wp14:editId="219C230B">
              <wp:simplePos x="0" y="0"/>
              <wp:positionH relativeFrom="page">
                <wp:posOffset>551180</wp:posOffset>
              </wp:positionH>
              <wp:positionV relativeFrom="page">
                <wp:posOffset>422275</wp:posOffset>
              </wp:positionV>
              <wp:extent cx="4358640" cy="0"/>
              <wp:effectExtent l="0" t="0" r="0" b="0"/>
              <wp:wrapNone/>
              <wp:docPr id="921" name="Shape 92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CA290A1" id="_x0000_t32" coordsize="21600,21600" o:spt="32" o:oned="t" path="m,l21600,21600e" filled="f">
              <v:path arrowok="t" fillok="f" o:connecttype="none"/>
              <o:lock v:ext="edit" shapetype="t"/>
            </v:shapetype>
            <v:shape id="Shape 921" o:spid="_x0000_s1026" type="#_x0000_t32" style="position:absolute;margin-left:43.4pt;margin-top:33.25pt;width:343.2pt;height:0;z-index:-251516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P8E&#10;bSzaAAAACAEAAA8AAAAAAAAAAAAAAAAAwgMAAGRycy9kb3ducmV2LnhtbFBLBQYAAAAABAAEAPMA&#10;AADJBAAAAAA=&#10;" strokeweight="1pt">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6ED20" w14:textId="77777777" w:rsidR="00093A32" w:rsidRDefault="00093A32">
    <w:pPr>
      <w:spacing w:line="1" w:lineRule="exact"/>
    </w:pPr>
    <w:r>
      <w:rPr>
        <w:noProof/>
      </w:rPr>
      <mc:AlternateContent>
        <mc:Choice Requires="wps">
          <w:drawing>
            <wp:anchor distT="0" distB="0" distL="0" distR="0" simplePos="0" relativeHeight="252039168" behindDoc="1" locked="0" layoutInCell="1" allowOverlap="1" wp14:anchorId="7DF9175D" wp14:editId="580237BB">
              <wp:simplePos x="0" y="0"/>
              <wp:positionH relativeFrom="page">
                <wp:posOffset>2221230</wp:posOffset>
              </wp:positionH>
              <wp:positionV relativeFrom="page">
                <wp:posOffset>313690</wp:posOffset>
              </wp:positionV>
              <wp:extent cx="2667000" cy="69850"/>
              <wp:effectExtent l="0" t="0" r="0" b="0"/>
              <wp:wrapNone/>
              <wp:docPr id="916" name="Shape 916"/>
              <wp:cNvGraphicFramePr/>
              <a:graphic xmlns:a="http://schemas.openxmlformats.org/drawingml/2006/main">
                <a:graphicData uri="http://schemas.microsoft.com/office/word/2010/wordprocessingShape">
                  <wps:wsp>
                    <wps:cNvSpPr txBox="1"/>
                    <wps:spPr>
                      <a:xfrm>
                        <a:off x="0" y="0"/>
                        <a:ext cx="2667000" cy="69850"/>
                      </a:xfrm>
                      <a:prstGeom prst="rect">
                        <a:avLst/>
                      </a:prstGeom>
                      <a:noFill/>
                    </wps:spPr>
                    <wps:txbx>
                      <w:txbxContent>
                        <w:p w14:paraId="22CA29A2" w14:textId="77777777" w:rsidR="00093A32" w:rsidRDefault="00093A32">
                          <w:pPr>
                            <w:pStyle w:val="Headerorfooter0"/>
                            <w:tabs>
                              <w:tab w:val="right" w:pos="4200"/>
                            </w:tabs>
                            <w:rPr>
                              <w:sz w:val="16"/>
                              <w:szCs w:val="16"/>
                            </w:rPr>
                          </w:pPr>
                          <w:r>
                            <w:t>GRANULOMA INGUINAL</w:t>
                          </w:r>
                          <w:r>
                            <w:tab/>
                          </w:r>
                          <w:r>
                            <w:rPr>
                              <w:sz w:val="16"/>
                              <w:szCs w:val="16"/>
                            </w:rPr>
                            <w:t>355</w:t>
                          </w:r>
                        </w:p>
                      </w:txbxContent>
                    </wps:txbx>
                    <wps:bodyPr lIns="0" tIns="0" rIns="0" bIns="0">
                      <a:spAutoFit/>
                    </wps:bodyPr>
                  </wps:wsp>
                </a:graphicData>
              </a:graphic>
            </wp:anchor>
          </w:drawing>
        </mc:Choice>
        <mc:Fallback>
          <w:pict>
            <v:shapetype w14:anchorId="7DF9175D" id="_x0000_t202" coordsize="21600,21600" o:spt="202" path="m,l,21600r21600,l21600,xe">
              <v:stroke joinstyle="miter"/>
              <v:path gradientshapeok="t" o:connecttype="rect"/>
            </v:shapetype>
            <v:shape id="Shape 916" o:spid="_x0000_s1184" type="#_x0000_t202" style="position:absolute;margin-left:174.9pt;margin-top:24.7pt;width:210pt;height:5.5pt;z-index:-2512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bfwEAAPwCAAAOAAAAZHJzL2Uyb0RvYy54bWysUttOwzAMfUfiH6K8s5YJ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" filled="f" stroked="f">
              <v:textbox style="mso-fit-shape-to-text:t" inset="0,0,0,0">
                <w:txbxContent>
                  <w:p w14:paraId="22CA29A2" w14:textId="77777777" w:rsidR="00093A32" w:rsidRDefault="00093A32">
                    <w:pPr>
                      <w:pStyle w:val="Headerorfooter0"/>
                      <w:tabs>
                        <w:tab w:val="right" w:pos="4200"/>
                      </w:tabs>
                      <w:rPr>
                        <w:sz w:val="16"/>
                        <w:szCs w:val="16"/>
                      </w:rPr>
                    </w:pPr>
                    <w:r>
                      <w:t>GRANULOMA INGUINAL</w:t>
                    </w:r>
                    <w:r>
                      <w:tab/>
                    </w:r>
                    <w:r>
                      <w:rPr>
                        <w:sz w:val="16"/>
                        <w:szCs w:val="16"/>
                      </w:rPr>
                      <w:t>355</w:t>
                    </w:r>
                  </w:p>
                </w:txbxContent>
              </v:textbox>
              <w10:wrap anchorx="page" anchory="page"/>
            </v:shape>
          </w:pict>
        </mc:Fallback>
      </mc:AlternateContent>
    </w:r>
    <w:r>
      <w:rPr>
        <w:noProof/>
      </w:rPr>
      <mc:AlternateContent>
        <mc:Choice Requires="wps">
          <w:drawing>
            <wp:anchor distT="0" distB="0" distL="114300" distR="114300" simplePos="0" relativeHeight="251798528" behindDoc="1" locked="0" layoutInCell="1" allowOverlap="1" wp14:anchorId="6820DEF7" wp14:editId="5016A85C">
              <wp:simplePos x="0" y="0"/>
              <wp:positionH relativeFrom="page">
                <wp:posOffset>551180</wp:posOffset>
              </wp:positionH>
              <wp:positionV relativeFrom="page">
                <wp:posOffset>422275</wp:posOffset>
              </wp:positionV>
              <wp:extent cx="4358640" cy="0"/>
              <wp:effectExtent l="0" t="0" r="0" b="0"/>
              <wp:wrapNone/>
              <wp:docPr id="918" name="Shape 91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A51931" id="_x0000_t32" coordsize="21600,21600" o:spt="32" o:oned="t" path="m,l21600,21600e" filled="f">
              <v:path arrowok="t" fillok="f" o:connecttype="none"/>
              <o:lock v:ext="edit" shapetype="t"/>
            </v:shapetype>
            <v:shape id="Shape 918" o:spid="_x0000_s1026" type="#_x0000_t32" style="position:absolute;margin-left:43.4pt;margin-top:33.25pt;width:343.2pt;height:0;z-index:-251517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P8E&#10;bSzaAAAACAEAAA8AAAAAAAAAAAAAAAAAwgMAAGRycy9kb3ducmV2LnhtbFBLBQYAAAAABAAEAPMA&#10;AADJBAAAAAA=&#10;" strokeweight="1pt">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849A" w14:textId="77777777" w:rsidR="00093A32" w:rsidRDefault="00093A32">
    <w:pPr>
      <w:spacing w:line="1" w:lineRule="exact"/>
    </w:pPr>
    <w:r>
      <w:rPr>
        <w:noProof/>
      </w:rPr>
      <mc:AlternateContent>
        <mc:Choice Requires="wps">
          <w:drawing>
            <wp:anchor distT="0" distB="0" distL="0" distR="0" simplePos="0" relativeHeight="252042240" behindDoc="1" locked="0" layoutInCell="1" allowOverlap="1" wp14:anchorId="1045AA37" wp14:editId="5B9FBCD2">
              <wp:simplePos x="0" y="0"/>
              <wp:positionH relativeFrom="page">
                <wp:posOffset>1785620</wp:posOffset>
              </wp:positionH>
              <wp:positionV relativeFrom="page">
                <wp:posOffset>304800</wp:posOffset>
              </wp:positionV>
              <wp:extent cx="3090545" cy="79375"/>
              <wp:effectExtent l="0" t="0" r="0" b="0"/>
              <wp:wrapNone/>
              <wp:docPr id="925" name="Shape 925"/>
              <wp:cNvGraphicFramePr/>
              <a:graphic xmlns:a="http://schemas.openxmlformats.org/drawingml/2006/main">
                <a:graphicData uri="http://schemas.microsoft.com/office/word/2010/wordprocessingShape">
                  <wps:wsp>
                    <wps:cNvSpPr txBox="1"/>
                    <wps:spPr>
                      <a:xfrm>
                        <a:off x="0" y="0"/>
                        <a:ext cx="3090545" cy="79375"/>
                      </a:xfrm>
                      <a:prstGeom prst="rect">
                        <a:avLst/>
                      </a:prstGeom>
                      <a:noFill/>
                    </wps:spPr>
                    <wps:txbx>
                      <w:txbxContent>
                        <w:p w14:paraId="210198E2" w14:textId="77777777" w:rsidR="00093A32" w:rsidRDefault="00093A32">
                          <w:pPr>
                            <w:pStyle w:val="Headerorfooter0"/>
                            <w:tabs>
                              <w:tab w:val="right" w:pos="4867"/>
                            </w:tabs>
                            <w:rPr>
                              <w:sz w:val="16"/>
                              <w:szCs w:val="16"/>
                            </w:rPr>
                          </w:pPr>
                          <w:r>
                            <w:rPr>
                              <w:i/>
                              <w:iCs/>
                              <w:sz w:val="13"/>
                              <w:szCs w:val="13"/>
                            </w:rPr>
                            <w:t>HAEMOPHILUS INFLUENZAE</w:t>
                          </w:r>
                          <w:r>
                            <w:rPr>
                              <w:i/>
                              <w:iCs/>
                            </w:rPr>
                            <w:t>,</w:t>
                          </w:r>
                          <w:r>
                            <w:t xml:space="preserve"> INFECCIONES</w:t>
                          </w:r>
                          <w:r>
                            <w:tab/>
                          </w:r>
                          <w:r>
                            <w:rPr>
                              <w:sz w:val="16"/>
                              <w:szCs w:val="16"/>
                            </w:rPr>
                            <w:t>357</w:t>
                          </w:r>
                        </w:p>
                      </w:txbxContent>
                    </wps:txbx>
                    <wps:bodyPr lIns="0" tIns="0" rIns="0" bIns="0">
                      <a:spAutoFit/>
                    </wps:bodyPr>
                  </wps:wsp>
                </a:graphicData>
              </a:graphic>
            </wp:anchor>
          </w:drawing>
        </mc:Choice>
        <mc:Fallback>
          <w:pict>
            <v:shapetype w14:anchorId="1045AA37" id="_x0000_t202" coordsize="21600,21600" o:spt="202" path="m,l,21600r21600,l21600,xe">
              <v:stroke joinstyle="miter"/>
              <v:path gradientshapeok="t" o:connecttype="rect"/>
            </v:shapetype>
            <v:shape id="Shape 925" o:spid="_x0000_s1185" type="#_x0000_t202" style="position:absolute;margin-left:140.6pt;margin-top:24pt;width:243.35pt;height:6.25pt;z-index:-2512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" filled="f" stroked="f">
              <v:textbox style="mso-fit-shape-to-text:t" inset="0,0,0,0">
                <w:txbxContent>
                  <w:p w14:paraId="210198E2" w14:textId="77777777" w:rsidR="00093A32" w:rsidRDefault="00093A32">
                    <w:pPr>
                      <w:pStyle w:val="Headerorfooter0"/>
                      <w:tabs>
                        <w:tab w:val="right" w:pos="4867"/>
                      </w:tabs>
                      <w:rPr>
                        <w:sz w:val="16"/>
                        <w:szCs w:val="16"/>
                      </w:rPr>
                    </w:pPr>
                    <w:r>
                      <w:rPr>
                        <w:i/>
                        <w:iCs/>
                        <w:sz w:val="13"/>
                        <w:szCs w:val="13"/>
                      </w:rPr>
                      <w:t>HAEMOPHILUS INFLUENZAE</w:t>
                    </w:r>
                    <w:r>
                      <w:rPr>
                        <w:i/>
                        <w:iCs/>
                      </w:rPr>
                      <w:t>,</w:t>
                    </w:r>
                    <w:r>
                      <w:t xml:space="preserve"> INFECCIONES</w:t>
                    </w:r>
                    <w:r>
                      <w:tab/>
                    </w:r>
                    <w:r>
                      <w:rPr>
                        <w:sz w:val="16"/>
                        <w:szCs w:val="16"/>
                      </w:rPr>
                      <w:t>357</w:t>
                    </w:r>
                  </w:p>
                </w:txbxContent>
              </v:textbox>
              <w10:wrap anchorx="page" anchory="page"/>
            </v:shape>
          </w:pict>
        </mc:Fallback>
      </mc:AlternateContent>
    </w:r>
    <w:r>
      <w:rPr>
        <w:noProof/>
      </w:rPr>
      <mc:AlternateContent>
        <mc:Choice Requires="wps">
          <w:drawing>
            <wp:anchor distT="0" distB="0" distL="114300" distR="114300" simplePos="0" relativeHeight="251801600" behindDoc="1" locked="0" layoutInCell="1" allowOverlap="1" wp14:anchorId="1A1BB103" wp14:editId="33628912">
              <wp:simplePos x="0" y="0"/>
              <wp:positionH relativeFrom="page">
                <wp:posOffset>538480</wp:posOffset>
              </wp:positionH>
              <wp:positionV relativeFrom="page">
                <wp:posOffset>412750</wp:posOffset>
              </wp:positionV>
              <wp:extent cx="4358640" cy="0"/>
              <wp:effectExtent l="0" t="0" r="0" b="0"/>
              <wp:wrapNone/>
              <wp:docPr id="927" name="Shape 92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DCC352" id="_x0000_t32" coordsize="21600,21600" o:spt="32" o:oned="t" path="m,l21600,21600e" filled="f">
              <v:path arrowok="t" fillok="f" o:connecttype="none"/>
              <o:lock v:ext="edit" shapetype="t"/>
            </v:shapetype>
            <v:shape id="Shape 927" o:spid="_x0000_s1026" type="#_x0000_t32" style="position:absolute;margin-left:42.4pt;margin-top:32.5pt;width:343.2pt;height:0;z-index:-251514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A7b&#10;OdXaAAAACAEAAA8AAAAAAAAAAAAAAAAAwgMAAGRycy9kb3ducmV2LnhtbFBLBQYAAAAABAAEAPMA&#10;AADJBAAAAAA=&#10;" strokeweight="1pt">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58A1" w14:textId="77777777" w:rsidR="00093A32" w:rsidRDefault="00093A32">
    <w:pPr>
      <w:spacing w:line="1" w:lineRule="exact"/>
    </w:pPr>
    <w:r>
      <w:rPr>
        <w:noProof/>
      </w:rPr>
      <mc:AlternateContent>
        <mc:Choice Requires="wps">
          <w:drawing>
            <wp:anchor distT="0" distB="0" distL="0" distR="0" simplePos="0" relativeHeight="252041216" behindDoc="1" locked="0" layoutInCell="1" allowOverlap="1" wp14:anchorId="66314E3B" wp14:editId="0C930D58">
              <wp:simplePos x="0" y="0"/>
              <wp:positionH relativeFrom="page">
                <wp:posOffset>1785620</wp:posOffset>
              </wp:positionH>
              <wp:positionV relativeFrom="page">
                <wp:posOffset>304800</wp:posOffset>
              </wp:positionV>
              <wp:extent cx="3090545" cy="79375"/>
              <wp:effectExtent l="0" t="0" r="0" b="0"/>
              <wp:wrapNone/>
              <wp:docPr id="922" name="Shape 922"/>
              <wp:cNvGraphicFramePr/>
              <a:graphic xmlns:a="http://schemas.openxmlformats.org/drawingml/2006/main">
                <a:graphicData uri="http://schemas.microsoft.com/office/word/2010/wordprocessingShape">
                  <wps:wsp>
                    <wps:cNvSpPr txBox="1"/>
                    <wps:spPr>
                      <a:xfrm>
                        <a:off x="0" y="0"/>
                        <a:ext cx="3090545" cy="79375"/>
                      </a:xfrm>
                      <a:prstGeom prst="rect">
                        <a:avLst/>
                      </a:prstGeom>
                      <a:noFill/>
                    </wps:spPr>
                    <wps:txbx>
                      <w:txbxContent>
                        <w:p w14:paraId="6534171D" w14:textId="77777777" w:rsidR="00093A32" w:rsidRDefault="00093A32">
                          <w:pPr>
                            <w:pStyle w:val="Headerorfooter0"/>
                            <w:tabs>
                              <w:tab w:val="right" w:pos="4867"/>
                            </w:tabs>
                            <w:rPr>
                              <w:sz w:val="16"/>
                              <w:szCs w:val="16"/>
                            </w:rPr>
                          </w:pPr>
                          <w:r>
                            <w:rPr>
                              <w:i/>
                              <w:iCs/>
                              <w:sz w:val="13"/>
                              <w:szCs w:val="13"/>
                            </w:rPr>
                            <w:t>HAEMOPHILUS INFLUENZAE</w:t>
                          </w:r>
                          <w:r>
                            <w:rPr>
                              <w:i/>
                              <w:iCs/>
                            </w:rPr>
                            <w:t>,</w:t>
                          </w:r>
                          <w:r>
                            <w:t xml:space="preserve"> INFECCIONES</w:t>
                          </w:r>
                          <w:r>
                            <w:tab/>
                          </w:r>
                          <w:r>
                            <w:rPr>
                              <w:sz w:val="16"/>
                              <w:szCs w:val="16"/>
                            </w:rPr>
                            <w:t>357</w:t>
                          </w:r>
                        </w:p>
                      </w:txbxContent>
                    </wps:txbx>
                    <wps:bodyPr lIns="0" tIns="0" rIns="0" bIns="0">
                      <a:spAutoFit/>
                    </wps:bodyPr>
                  </wps:wsp>
                </a:graphicData>
              </a:graphic>
            </wp:anchor>
          </w:drawing>
        </mc:Choice>
        <mc:Fallback>
          <w:pict>
            <v:shapetype w14:anchorId="66314E3B" id="_x0000_t202" coordsize="21600,21600" o:spt="202" path="m,l,21600r21600,l21600,xe">
              <v:stroke joinstyle="miter"/>
              <v:path gradientshapeok="t" o:connecttype="rect"/>
            </v:shapetype>
            <v:shape id="Shape 922" o:spid="_x0000_s1186" type="#_x0000_t202" style="position:absolute;margin-left:140.6pt;margin-top:24pt;width:243.35pt;height:6.25pt;z-index:-2512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" filled="f" stroked="f">
              <v:textbox style="mso-fit-shape-to-text:t" inset="0,0,0,0">
                <w:txbxContent>
                  <w:p w14:paraId="6534171D" w14:textId="77777777" w:rsidR="00093A32" w:rsidRDefault="00093A32">
                    <w:pPr>
                      <w:pStyle w:val="Headerorfooter0"/>
                      <w:tabs>
                        <w:tab w:val="right" w:pos="4867"/>
                      </w:tabs>
                      <w:rPr>
                        <w:sz w:val="16"/>
                        <w:szCs w:val="16"/>
                      </w:rPr>
                    </w:pPr>
                    <w:r>
                      <w:rPr>
                        <w:i/>
                        <w:iCs/>
                        <w:sz w:val="13"/>
                        <w:szCs w:val="13"/>
                      </w:rPr>
                      <w:t>HAEMOPHILUS INFLUENZAE</w:t>
                    </w:r>
                    <w:r>
                      <w:rPr>
                        <w:i/>
                        <w:iCs/>
                      </w:rPr>
                      <w:t>,</w:t>
                    </w:r>
                    <w:r>
                      <w:t xml:space="preserve"> INFECCIONES</w:t>
                    </w:r>
                    <w:r>
                      <w:tab/>
                    </w:r>
                    <w:r>
                      <w:rPr>
                        <w:sz w:val="16"/>
                        <w:szCs w:val="16"/>
                      </w:rPr>
                      <w:t>357</w:t>
                    </w:r>
                  </w:p>
                </w:txbxContent>
              </v:textbox>
              <w10:wrap anchorx="page" anchory="page"/>
            </v:shape>
          </w:pict>
        </mc:Fallback>
      </mc:AlternateContent>
    </w:r>
    <w:r>
      <w:rPr>
        <w:noProof/>
      </w:rPr>
      <mc:AlternateContent>
        <mc:Choice Requires="wps">
          <w:drawing>
            <wp:anchor distT="0" distB="0" distL="114300" distR="114300" simplePos="0" relativeHeight="251800576" behindDoc="1" locked="0" layoutInCell="1" allowOverlap="1" wp14:anchorId="0073AFA1" wp14:editId="712571FA">
              <wp:simplePos x="0" y="0"/>
              <wp:positionH relativeFrom="page">
                <wp:posOffset>538480</wp:posOffset>
              </wp:positionH>
              <wp:positionV relativeFrom="page">
                <wp:posOffset>412750</wp:posOffset>
              </wp:positionV>
              <wp:extent cx="4358640" cy="0"/>
              <wp:effectExtent l="0" t="0" r="0" b="0"/>
              <wp:wrapNone/>
              <wp:docPr id="924" name="Shape 92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D2D97D" id="_x0000_t32" coordsize="21600,21600" o:spt="32" o:oned="t" path="m,l21600,21600e" filled="f">
              <v:path arrowok="t" fillok="f" o:connecttype="none"/>
              <o:lock v:ext="edit" shapetype="t"/>
            </v:shapetype>
            <v:shape id="Shape 924" o:spid="_x0000_s1026" type="#_x0000_t32" style="position:absolute;margin-left:42.4pt;margin-top:32.5pt;width:343.2pt;height:0;z-index:-251515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A7b&#10;OdXaAAAACAEAAA8AAAAAAAAAAAAAAAAAwgMAAGRycy9kb3ducmV2LnhtbFBLBQYAAAAABAAEAPMA&#10;AADJBAAAAAA=&#10;" strokeweight="1pt">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372B" w14:textId="77777777" w:rsidR="00093A32" w:rsidRDefault="00093A32">
    <w:pPr>
      <w:spacing w:line="1" w:lineRule="exact"/>
    </w:pPr>
    <w:r>
      <w:rPr>
        <w:noProof/>
      </w:rPr>
      <mc:AlternateContent>
        <mc:Choice Requires="wps">
          <w:drawing>
            <wp:anchor distT="0" distB="0" distL="0" distR="0" simplePos="0" relativeHeight="252043264" behindDoc="1" locked="0" layoutInCell="1" allowOverlap="1" wp14:anchorId="44927065" wp14:editId="40EE9959">
              <wp:simplePos x="0" y="0"/>
              <wp:positionH relativeFrom="page">
                <wp:posOffset>555625</wp:posOffset>
              </wp:positionH>
              <wp:positionV relativeFrom="page">
                <wp:posOffset>313690</wp:posOffset>
              </wp:positionV>
              <wp:extent cx="2673350" cy="69850"/>
              <wp:effectExtent l="0" t="0" r="0" b="0"/>
              <wp:wrapNone/>
              <wp:docPr id="928" name="Shape 928"/>
              <wp:cNvGraphicFramePr/>
              <a:graphic xmlns:a="http://schemas.openxmlformats.org/drawingml/2006/main">
                <a:graphicData uri="http://schemas.microsoft.com/office/word/2010/wordprocessingShape">
                  <wps:wsp>
                    <wps:cNvSpPr txBox="1"/>
                    <wps:spPr>
                      <a:xfrm>
                        <a:off x="0" y="0"/>
                        <a:ext cx="2673350" cy="69850"/>
                      </a:xfrm>
                      <a:prstGeom prst="rect">
                        <a:avLst/>
                      </a:prstGeom>
                      <a:noFill/>
                    </wps:spPr>
                    <wps:txbx>
                      <w:txbxContent>
                        <w:p w14:paraId="16F71061" w14:textId="77777777" w:rsidR="00093A32" w:rsidRDefault="00093A32">
                          <w:pPr>
                            <w:pStyle w:val="Headerorfooter0"/>
                            <w:tabs>
                              <w:tab w:val="right" w:pos="4210"/>
                            </w:tabs>
                          </w:pPr>
                          <w:r>
                            <w:rPr>
                              <w:sz w:val="16"/>
                              <w:szCs w:val="16"/>
                            </w:rPr>
                            <w:t>356</w:t>
                          </w:r>
                          <w:r>
                            <w:rPr>
                              <w:sz w:val="16"/>
                              <w:szCs w:val="16"/>
                            </w:rPr>
                            <w:tab/>
                          </w:r>
                          <w:r>
                            <w:t>GRANULOMA INGUINAL</w:t>
                          </w:r>
                        </w:p>
                      </w:txbxContent>
                    </wps:txbx>
                    <wps:bodyPr lIns="0" tIns="0" rIns="0" bIns="0">
                      <a:spAutoFit/>
                    </wps:bodyPr>
                  </wps:wsp>
                </a:graphicData>
              </a:graphic>
            </wp:anchor>
          </w:drawing>
        </mc:Choice>
        <mc:Fallback>
          <w:pict>
            <v:shapetype w14:anchorId="44927065" id="_x0000_t202" coordsize="21600,21600" o:spt="202" path="m,l,21600r21600,l21600,xe">
              <v:stroke joinstyle="miter"/>
              <v:path gradientshapeok="t" o:connecttype="rect"/>
            </v:shapetype>
            <v:shape id="Shape 928" o:spid="_x0000_s1187" type="#_x0000_t202" style="position:absolute;margin-left:43.75pt;margin-top:24.7pt;width:210.5pt;height:5.5pt;z-index:-2512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" filled="f" stroked="f">
              <v:textbox style="mso-fit-shape-to-text:t" inset="0,0,0,0">
                <w:txbxContent>
                  <w:p w14:paraId="16F71061" w14:textId="77777777" w:rsidR="00093A32" w:rsidRDefault="00093A32">
                    <w:pPr>
                      <w:pStyle w:val="Headerorfooter0"/>
                      <w:tabs>
                        <w:tab w:val="right" w:pos="4210"/>
                      </w:tabs>
                    </w:pPr>
                    <w:r>
                      <w:rPr>
                        <w:sz w:val="16"/>
                        <w:szCs w:val="16"/>
                      </w:rPr>
                      <w:t>356</w:t>
                    </w:r>
                    <w:r>
                      <w:rPr>
                        <w:sz w:val="16"/>
                        <w:szCs w:val="16"/>
                      </w:rPr>
                      <w:tab/>
                    </w:r>
                    <w:r>
                      <w:t>GRANULOMA INGUINAL</w:t>
                    </w:r>
                  </w:p>
                </w:txbxContent>
              </v:textbox>
              <w10:wrap anchorx="page" anchory="page"/>
            </v:shape>
          </w:pict>
        </mc:Fallback>
      </mc:AlternateContent>
    </w:r>
    <w:r>
      <w:rPr>
        <w:noProof/>
      </w:rPr>
      <mc:AlternateContent>
        <mc:Choice Requires="wps">
          <w:drawing>
            <wp:anchor distT="0" distB="0" distL="114300" distR="114300" simplePos="0" relativeHeight="251802624" behindDoc="1" locked="0" layoutInCell="1" allowOverlap="1" wp14:anchorId="1C7DD030" wp14:editId="21A887A6">
              <wp:simplePos x="0" y="0"/>
              <wp:positionH relativeFrom="page">
                <wp:posOffset>540385</wp:posOffset>
              </wp:positionH>
              <wp:positionV relativeFrom="page">
                <wp:posOffset>422275</wp:posOffset>
              </wp:positionV>
              <wp:extent cx="4358640" cy="0"/>
              <wp:effectExtent l="0" t="0" r="0" b="0"/>
              <wp:wrapNone/>
              <wp:docPr id="930" name="Shape 93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CB73D53" id="_x0000_t32" coordsize="21600,21600" o:spt="32" o:oned="t" path="m,l21600,21600e" filled="f">
              <v:path arrowok="t" fillok="f" o:connecttype="none"/>
              <o:lock v:ext="edit" shapetype="t"/>
            </v:shapetype>
            <v:shape id="Shape 930" o:spid="_x0000_s1026" type="#_x0000_t32" style="position:absolute;margin-left:42.55pt;margin-top:33.25pt;width:343.2pt;height:0;z-index:-251513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" strokeweight="1pt">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E0E1" w14:textId="77777777" w:rsidR="00093A32" w:rsidRDefault="00093A32">
    <w:pPr>
      <w:spacing w:line="1" w:lineRule="exact"/>
    </w:pPr>
    <w:r>
      <w:rPr>
        <w:noProof/>
      </w:rPr>
      <mc:AlternateContent>
        <mc:Choice Requires="wps">
          <w:drawing>
            <wp:anchor distT="0" distB="0" distL="0" distR="0" simplePos="0" relativeHeight="252045312" behindDoc="1" locked="0" layoutInCell="1" allowOverlap="1" wp14:anchorId="5968A659" wp14:editId="1EC28345">
              <wp:simplePos x="0" y="0"/>
              <wp:positionH relativeFrom="page">
                <wp:posOffset>1785620</wp:posOffset>
              </wp:positionH>
              <wp:positionV relativeFrom="page">
                <wp:posOffset>304800</wp:posOffset>
              </wp:positionV>
              <wp:extent cx="3090545" cy="79375"/>
              <wp:effectExtent l="0" t="0" r="0" b="0"/>
              <wp:wrapNone/>
              <wp:docPr id="934" name="Shape 934"/>
              <wp:cNvGraphicFramePr/>
              <a:graphic xmlns:a="http://schemas.openxmlformats.org/drawingml/2006/main">
                <a:graphicData uri="http://schemas.microsoft.com/office/word/2010/wordprocessingShape">
                  <wps:wsp>
                    <wps:cNvSpPr txBox="1"/>
                    <wps:spPr>
                      <a:xfrm>
                        <a:off x="0" y="0"/>
                        <a:ext cx="3090545" cy="79375"/>
                      </a:xfrm>
                      <a:prstGeom prst="rect">
                        <a:avLst/>
                      </a:prstGeom>
                      <a:noFill/>
                    </wps:spPr>
                    <wps:txbx>
                      <w:txbxContent>
                        <w:p w14:paraId="5EC62E62" w14:textId="77777777" w:rsidR="00093A32" w:rsidRDefault="00093A32">
                          <w:pPr>
                            <w:pStyle w:val="Headerorfooter0"/>
                            <w:tabs>
                              <w:tab w:val="right" w:pos="4867"/>
                            </w:tabs>
                            <w:rPr>
                              <w:sz w:val="16"/>
                              <w:szCs w:val="16"/>
                            </w:rPr>
                          </w:pPr>
                          <w:r>
                            <w:rPr>
                              <w:i/>
                              <w:iCs/>
                              <w:sz w:val="13"/>
                              <w:szCs w:val="13"/>
                            </w:rPr>
                            <w:t>HAEMOPHILUS INFLUENZAE</w:t>
                          </w:r>
                          <w:r>
                            <w:rPr>
                              <w:i/>
                              <w:iCs/>
                            </w:rPr>
                            <w:t>,</w:t>
                          </w:r>
                          <w:r>
                            <w:t xml:space="preserve"> INFECCIONES</w:t>
                          </w:r>
                          <w:r>
                            <w:tab/>
                          </w:r>
                          <w:r>
                            <w:rPr>
                              <w:sz w:val="16"/>
                              <w:szCs w:val="16"/>
                            </w:rPr>
                            <w:t>357</w:t>
                          </w:r>
                        </w:p>
                      </w:txbxContent>
                    </wps:txbx>
                    <wps:bodyPr lIns="0" tIns="0" rIns="0" bIns="0">
                      <a:spAutoFit/>
                    </wps:bodyPr>
                  </wps:wsp>
                </a:graphicData>
              </a:graphic>
            </wp:anchor>
          </w:drawing>
        </mc:Choice>
        <mc:Fallback>
          <w:pict>
            <v:shapetype w14:anchorId="5968A659" id="_x0000_t202" coordsize="21600,21600" o:spt="202" path="m,l,21600r21600,l21600,xe">
              <v:stroke joinstyle="miter"/>
              <v:path gradientshapeok="t" o:connecttype="rect"/>
            </v:shapetype>
            <v:shape id="Shape 934" o:spid="_x0000_s1188" type="#_x0000_t202" style="position:absolute;margin-left:140.6pt;margin-top:24pt;width:243.35pt;height:6.25pt;z-index:-2512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" filled="f" stroked="f">
              <v:textbox style="mso-fit-shape-to-text:t" inset="0,0,0,0">
                <w:txbxContent>
                  <w:p w14:paraId="5EC62E62" w14:textId="77777777" w:rsidR="00093A32" w:rsidRDefault="00093A32">
                    <w:pPr>
                      <w:pStyle w:val="Headerorfooter0"/>
                      <w:tabs>
                        <w:tab w:val="right" w:pos="4867"/>
                      </w:tabs>
                      <w:rPr>
                        <w:sz w:val="16"/>
                        <w:szCs w:val="16"/>
                      </w:rPr>
                    </w:pPr>
                    <w:r>
                      <w:rPr>
                        <w:i/>
                        <w:iCs/>
                        <w:sz w:val="13"/>
                        <w:szCs w:val="13"/>
                      </w:rPr>
                      <w:t>HAEMOPHILUS INFLUENZAE</w:t>
                    </w:r>
                    <w:r>
                      <w:rPr>
                        <w:i/>
                        <w:iCs/>
                      </w:rPr>
                      <w:t>,</w:t>
                    </w:r>
                    <w:r>
                      <w:t xml:space="preserve"> INFECCIONES</w:t>
                    </w:r>
                    <w:r>
                      <w:tab/>
                    </w:r>
                    <w:r>
                      <w:rPr>
                        <w:sz w:val="16"/>
                        <w:szCs w:val="16"/>
                      </w:rPr>
                      <w:t>357</w:t>
                    </w:r>
                  </w:p>
                </w:txbxContent>
              </v:textbox>
              <w10:wrap anchorx="page" anchory="page"/>
            </v:shape>
          </w:pict>
        </mc:Fallback>
      </mc:AlternateContent>
    </w:r>
    <w:r>
      <w:rPr>
        <w:noProof/>
      </w:rPr>
      <mc:AlternateContent>
        <mc:Choice Requires="wps">
          <w:drawing>
            <wp:anchor distT="0" distB="0" distL="114300" distR="114300" simplePos="0" relativeHeight="251804672" behindDoc="1" locked="0" layoutInCell="1" allowOverlap="1" wp14:anchorId="2732A6DD" wp14:editId="5D3839FC">
              <wp:simplePos x="0" y="0"/>
              <wp:positionH relativeFrom="page">
                <wp:posOffset>538480</wp:posOffset>
              </wp:positionH>
              <wp:positionV relativeFrom="page">
                <wp:posOffset>412750</wp:posOffset>
              </wp:positionV>
              <wp:extent cx="4358640" cy="0"/>
              <wp:effectExtent l="0" t="0" r="0" b="0"/>
              <wp:wrapNone/>
              <wp:docPr id="936" name="Shape 9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4BC775" id="_x0000_t32" coordsize="21600,21600" o:spt="32" o:oned="t" path="m,l21600,21600e" filled="f">
              <v:path arrowok="t" fillok="f" o:connecttype="none"/>
              <o:lock v:ext="edit" shapetype="t"/>
            </v:shapetype>
            <v:shape id="Shape 936" o:spid="_x0000_s1026" type="#_x0000_t32" style="position:absolute;margin-left:42.4pt;margin-top:32.5pt;width:343.2pt;height:0;z-index:-251511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A7b&#10;OdXaAAAACAEAAA8AAAAAAAAAAAAAAAAAwgMAAGRycy9kb3ducmV2LnhtbFBLBQYAAAAABAAEAPMA&#10;AADJBAAAAAA=&#10;" strokeweight="1pt">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24F1" w14:textId="77777777" w:rsidR="00093A32" w:rsidRDefault="00093A32">
    <w:pPr>
      <w:spacing w:line="1" w:lineRule="exact"/>
    </w:pPr>
    <w:r>
      <w:rPr>
        <w:noProof/>
      </w:rPr>
      <mc:AlternateContent>
        <mc:Choice Requires="wps">
          <w:drawing>
            <wp:anchor distT="0" distB="0" distL="0" distR="0" simplePos="0" relativeHeight="252044288" behindDoc="1" locked="0" layoutInCell="1" allowOverlap="1" wp14:anchorId="5115603F" wp14:editId="3C1A39B6">
              <wp:simplePos x="0" y="0"/>
              <wp:positionH relativeFrom="page">
                <wp:posOffset>551180</wp:posOffset>
              </wp:positionH>
              <wp:positionV relativeFrom="page">
                <wp:posOffset>304800</wp:posOffset>
              </wp:positionV>
              <wp:extent cx="3090545" cy="79375"/>
              <wp:effectExtent l="0" t="0" r="0" b="0"/>
              <wp:wrapNone/>
              <wp:docPr id="931" name="Shape 931"/>
              <wp:cNvGraphicFramePr/>
              <a:graphic xmlns:a="http://schemas.openxmlformats.org/drawingml/2006/main">
                <a:graphicData uri="http://schemas.microsoft.com/office/word/2010/wordprocessingShape">
                  <wps:wsp>
                    <wps:cNvSpPr txBox="1"/>
                    <wps:spPr>
                      <a:xfrm>
                        <a:off x="0" y="0"/>
                        <a:ext cx="3090545" cy="79375"/>
                      </a:xfrm>
                      <a:prstGeom prst="rect">
                        <a:avLst/>
                      </a:prstGeom>
                      <a:noFill/>
                    </wps:spPr>
                    <wps:txbx>
                      <w:txbxContent>
                        <w:p w14:paraId="173DF5A1" w14:textId="77777777" w:rsidR="00093A32" w:rsidRDefault="00093A32">
                          <w:pPr>
                            <w:pStyle w:val="Headerorfooter0"/>
                            <w:tabs>
                              <w:tab w:val="right" w:pos="4867"/>
                            </w:tabs>
                          </w:pPr>
                          <w:r>
                            <w:rPr>
                              <w:sz w:val="16"/>
                              <w:szCs w:val="16"/>
                            </w:rPr>
                            <w:t>358</w:t>
                          </w:r>
                          <w:r>
                            <w:rPr>
                              <w:sz w:val="16"/>
                              <w:szCs w:val="16"/>
                            </w:rPr>
                            <w:tab/>
                          </w:r>
                          <w:r>
                            <w:rPr>
                              <w:i/>
                              <w:iCs/>
                              <w:sz w:val="13"/>
                              <w:szCs w:val="13"/>
                            </w:rPr>
                            <w:t>HAEMOPHILUS INFLUENZAE</w:t>
                          </w:r>
                          <w:r>
                            <w:rPr>
                              <w:i/>
                              <w:iCs/>
                            </w:rPr>
                            <w:t>,</w:t>
                          </w:r>
                          <w:r>
                            <w:t xml:space="preserve"> INFECCIONES</w:t>
                          </w:r>
                        </w:p>
                      </w:txbxContent>
                    </wps:txbx>
                    <wps:bodyPr lIns="0" tIns="0" rIns="0" bIns="0">
                      <a:spAutoFit/>
                    </wps:bodyPr>
                  </wps:wsp>
                </a:graphicData>
              </a:graphic>
            </wp:anchor>
          </w:drawing>
        </mc:Choice>
        <mc:Fallback>
          <w:pict>
            <v:shapetype w14:anchorId="5115603F" id="_x0000_t202" coordsize="21600,21600" o:spt="202" path="m,l,21600r21600,l21600,xe">
              <v:stroke joinstyle="miter"/>
              <v:path gradientshapeok="t" o:connecttype="rect"/>
            </v:shapetype>
            <v:shape id="Shape 931" o:spid="_x0000_s1189" type="#_x0000_t202" style="position:absolute;margin-left:43.4pt;margin-top:24pt;width:243.35pt;height:6.25pt;z-index:-2512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" filled="f" stroked="f">
              <v:textbox style="mso-fit-shape-to-text:t" inset="0,0,0,0">
                <w:txbxContent>
                  <w:p w14:paraId="173DF5A1" w14:textId="77777777" w:rsidR="00093A32" w:rsidRDefault="00093A32">
                    <w:pPr>
                      <w:pStyle w:val="Headerorfooter0"/>
                      <w:tabs>
                        <w:tab w:val="right" w:pos="4867"/>
                      </w:tabs>
                    </w:pPr>
                    <w:r>
                      <w:rPr>
                        <w:sz w:val="16"/>
                        <w:szCs w:val="16"/>
                      </w:rPr>
                      <w:t>358</w:t>
                    </w:r>
                    <w:r>
                      <w:rPr>
                        <w:sz w:val="16"/>
                        <w:szCs w:val="16"/>
                      </w:rPr>
                      <w:tab/>
                    </w:r>
                    <w:r>
                      <w:rPr>
                        <w:i/>
                        <w:iCs/>
                        <w:sz w:val="13"/>
                        <w:szCs w:val="13"/>
                      </w:rPr>
                      <w:t>HAEMOPHILUS INFLUENZAE</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03648" behindDoc="1" locked="0" layoutInCell="1" allowOverlap="1" wp14:anchorId="5524D960" wp14:editId="01B4250D">
              <wp:simplePos x="0" y="0"/>
              <wp:positionH relativeFrom="page">
                <wp:posOffset>535940</wp:posOffset>
              </wp:positionH>
              <wp:positionV relativeFrom="page">
                <wp:posOffset>412750</wp:posOffset>
              </wp:positionV>
              <wp:extent cx="4358640" cy="0"/>
              <wp:effectExtent l="0" t="0" r="0" b="0"/>
              <wp:wrapNone/>
              <wp:docPr id="933" name="Shape 9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6E63CB9" id="_x0000_t32" coordsize="21600,21600" o:spt="32" o:oned="t" path="m,l21600,21600e" filled="f">
              <v:path arrowok="t" fillok="f" o:connecttype="none"/>
              <o:lock v:ext="edit" shapetype="t"/>
            </v:shapetype>
            <v:shape id="Shape 933" o:spid="_x0000_s1026" type="#_x0000_t32" style="position:absolute;margin-left:42.2pt;margin-top:32.5pt;width:343.2pt;height:0;z-index:-251512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" strokeweight="1pt">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1D2C" w14:textId="77777777" w:rsidR="00093A32" w:rsidRDefault="00093A32">
    <w:pPr>
      <w:spacing w:line="1" w:lineRule="exact"/>
    </w:pPr>
    <w:r>
      <w:rPr>
        <w:noProof/>
      </w:rPr>
      <mc:AlternateContent>
        <mc:Choice Requires="wps">
          <w:drawing>
            <wp:anchor distT="0" distB="0" distL="0" distR="0" simplePos="0" relativeHeight="252047360" behindDoc="1" locked="0" layoutInCell="1" allowOverlap="1" wp14:anchorId="76FE09C9" wp14:editId="0ACA485B">
              <wp:simplePos x="0" y="0"/>
              <wp:positionH relativeFrom="page">
                <wp:posOffset>1890395</wp:posOffset>
              </wp:positionH>
              <wp:positionV relativeFrom="page">
                <wp:posOffset>289560</wp:posOffset>
              </wp:positionV>
              <wp:extent cx="2983865" cy="94615"/>
              <wp:effectExtent l="0" t="0" r="0" b="0"/>
              <wp:wrapNone/>
              <wp:docPr id="940" name="Shape 940"/>
              <wp:cNvGraphicFramePr/>
              <a:graphic xmlns:a="http://schemas.openxmlformats.org/drawingml/2006/main">
                <a:graphicData uri="http://schemas.microsoft.com/office/word/2010/wordprocessingShape">
                  <wps:wsp>
                    <wps:cNvSpPr txBox="1"/>
                    <wps:spPr>
                      <a:xfrm>
                        <a:off x="0" y="0"/>
                        <a:ext cx="2983865" cy="94615"/>
                      </a:xfrm>
                      <a:prstGeom prst="rect">
                        <a:avLst/>
                      </a:prstGeom>
                      <a:noFill/>
                    </wps:spPr>
                    <wps:txbx>
                      <w:txbxContent>
                        <w:p w14:paraId="3908C6C8"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wps:txbx>
                    <wps:bodyPr lIns="0" tIns="0" rIns="0" bIns="0">
                      <a:spAutoFit/>
                    </wps:bodyPr>
                  </wps:wsp>
                </a:graphicData>
              </a:graphic>
            </wp:anchor>
          </w:drawing>
        </mc:Choice>
        <mc:Fallback>
          <w:pict>
            <v:shapetype w14:anchorId="76FE09C9" id="_x0000_t202" coordsize="21600,21600" o:spt="202" path="m,l,21600r21600,l21600,xe">
              <v:stroke joinstyle="miter"/>
              <v:path gradientshapeok="t" o:connecttype="rect"/>
            </v:shapetype>
            <v:shape id="Shape 940" o:spid="_x0000_s1190" type="#_x0000_t202" style="position:absolute;margin-left:148.85pt;margin-top:22.8pt;width:234.95pt;height:7.45pt;z-index:-2512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T+FgAEAAPwCAAAOAAAAZHJzL2Uyb0RvYy54bWysUttOwzAMfUfiH6K8s24Dpl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" filled="f" stroked="f">
              <v:textbox style="mso-fit-shape-to-text:t" inset="0,0,0,0">
                <w:txbxContent>
                  <w:p w14:paraId="3908C6C8"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v:textbox>
              <w10:wrap anchorx="page" anchory="page"/>
            </v:shape>
          </w:pict>
        </mc:Fallback>
      </mc:AlternateContent>
    </w:r>
    <w:r>
      <w:rPr>
        <w:noProof/>
      </w:rPr>
      <mc:AlternateContent>
        <mc:Choice Requires="wps">
          <w:drawing>
            <wp:anchor distT="0" distB="0" distL="114300" distR="114300" simplePos="0" relativeHeight="251806720" behindDoc="1" locked="0" layoutInCell="1" allowOverlap="1" wp14:anchorId="0D46777F" wp14:editId="6362EB99">
              <wp:simplePos x="0" y="0"/>
              <wp:positionH relativeFrom="page">
                <wp:posOffset>537210</wp:posOffset>
              </wp:positionH>
              <wp:positionV relativeFrom="page">
                <wp:posOffset>412750</wp:posOffset>
              </wp:positionV>
              <wp:extent cx="4358640" cy="0"/>
              <wp:effectExtent l="0" t="0" r="0" b="0"/>
              <wp:wrapNone/>
              <wp:docPr id="942" name="Shape 9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4C9D34A" id="_x0000_t32" coordsize="21600,21600" o:spt="32" o:oned="t" path="m,l21600,21600e" filled="f">
              <v:path arrowok="t" fillok="f" o:connecttype="none"/>
              <o:lock v:ext="edit" shapetype="t"/>
            </v:shapetype>
            <v:shape id="Shape 942" o:spid="_x0000_s1026" type="#_x0000_t32" style="position:absolute;margin-left:42.3pt;margin-top:32.5pt;width:343.2pt;height:0;z-index:-251509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JG5&#10;4X7aAAAACAEAAA8AAAAAAAAAAAAAAAAAwgMAAGRycy9kb3ducmV2LnhtbFBLBQYAAAAABAAEAPMA&#10;AADJBAAAAAA=&#10;" strokeweight="1pt">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7938" w14:textId="77777777" w:rsidR="00093A32" w:rsidRDefault="00093A32">
    <w:pPr>
      <w:spacing w:line="1" w:lineRule="exact"/>
    </w:pPr>
    <w:r>
      <w:rPr>
        <w:noProof/>
      </w:rPr>
      <mc:AlternateContent>
        <mc:Choice Requires="wps">
          <w:drawing>
            <wp:anchor distT="0" distB="0" distL="0" distR="0" simplePos="0" relativeHeight="252046336" behindDoc="1" locked="0" layoutInCell="1" allowOverlap="1" wp14:anchorId="64F529B7" wp14:editId="2C4E4938">
              <wp:simplePos x="0" y="0"/>
              <wp:positionH relativeFrom="page">
                <wp:posOffset>1890395</wp:posOffset>
              </wp:positionH>
              <wp:positionV relativeFrom="page">
                <wp:posOffset>289560</wp:posOffset>
              </wp:positionV>
              <wp:extent cx="2983865" cy="94615"/>
              <wp:effectExtent l="0" t="0" r="0" b="0"/>
              <wp:wrapNone/>
              <wp:docPr id="937" name="Shape 937"/>
              <wp:cNvGraphicFramePr/>
              <a:graphic xmlns:a="http://schemas.openxmlformats.org/drawingml/2006/main">
                <a:graphicData uri="http://schemas.microsoft.com/office/word/2010/wordprocessingShape">
                  <wps:wsp>
                    <wps:cNvSpPr txBox="1"/>
                    <wps:spPr>
                      <a:xfrm>
                        <a:off x="0" y="0"/>
                        <a:ext cx="2983865" cy="94615"/>
                      </a:xfrm>
                      <a:prstGeom prst="rect">
                        <a:avLst/>
                      </a:prstGeom>
                      <a:noFill/>
                    </wps:spPr>
                    <wps:txbx>
                      <w:txbxContent>
                        <w:p w14:paraId="4E28799F"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wps:txbx>
                    <wps:bodyPr lIns="0" tIns="0" rIns="0" bIns="0">
                      <a:spAutoFit/>
                    </wps:bodyPr>
                  </wps:wsp>
                </a:graphicData>
              </a:graphic>
            </wp:anchor>
          </w:drawing>
        </mc:Choice>
        <mc:Fallback>
          <w:pict>
            <v:shapetype w14:anchorId="64F529B7" id="_x0000_t202" coordsize="21600,21600" o:spt="202" path="m,l,21600r21600,l21600,xe">
              <v:stroke joinstyle="miter"/>
              <v:path gradientshapeok="t" o:connecttype="rect"/>
            </v:shapetype>
            <v:shape id="Shape 937" o:spid="_x0000_s1191" type="#_x0000_t202" style="position:absolute;margin-left:148.85pt;margin-top:22.8pt;width:234.95pt;height:7.45pt;z-index:-2512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" filled="f" stroked="f">
              <v:textbox style="mso-fit-shape-to-text:t" inset="0,0,0,0">
                <w:txbxContent>
                  <w:p w14:paraId="4E28799F"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v:textbox>
              <w10:wrap anchorx="page" anchory="page"/>
            </v:shape>
          </w:pict>
        </mc:Fallback>
      </mc:AlternateContent>
    </w:r>
    <w:r>
      <w:rPr>
        <w:noProof/>
      </w:rPr>
      <mc:AlternateContent>
        <mc:Choice Requires="wps">
          <w:drawing>
            <wp:anchor distT="0" distB="0" distL="114300" distR="114300" simplePos="0" relativeHeight="251805696" behindDoc="1" locked="0" layoutInCell="1" allowOverlap="1" wp14:anchorId="525BA6DC" wp14:editId="211D24A2">
              <wp:simplePos x="0" y="0"/>
              <wp:positionH relativeFrom="page">
                <wp:posOffset>537210</wp:posOffset>
              </wp:positionH>
              <wp:positionV relativeFrom="page">
                <wp:posOffset>412750</wp:posOffset>
              </wp:positionV>
              <wp:extent cx="4358640" cy="0"/>
              <wp:effectExtent l="0" t="0" r="0" b="0"/>
              <wp:wrapNone/>
              <wp:docPr id="939" name="Shape 9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85CDA2" id="_x0000_t32" coordsize="21600,21600" o:spt="32" o:oned="t" path="m,l21600,21600e" filled="f">
              <v:path arrowok="t" fillok="f" o:connecttype="none"/>
              <o:lock v:ext="edit" shapetype="t"/>
            </v:shapetype>
            <v:shape id="Shape 939" o:spid="_x0000_s1026" type="#_x0000_t32" style="position:absolute;margin-left:42.3pt;margin-top:32.5pt;width:343.2pt;height:0;z-index:-251510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JG5&#10;4X7aAAAACAEAAA8AAAAAAAAAAAAAAAAAwgMAAGRycy9kb3ducmV2LnhtbFBLBQYAAAAABAAEAPMA&#10;AADJBAAAAAA=&#10;" strokeweight="1pt">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4E53" w14:textId="77777777" w:rsidR="00093A32" w:rsidRDefault="00093A32">
    <w:pPr>
      <w:spacing w:line="1" w:lineRule="exact"/>
    </w:pPr>
    <w:r>
      <w:rPr>
        <w:noProof/>
      </w:rPr>
      <mc:AlternateContent>
        <mc:Choice Requires="wps">
          <w:drawing>
            <wp:anchor distT="0" distB="0" distL="0" distR="0" simplePos="0" relativeHeight="252049408" behindDoc="1" locked="0" layoutInCell="1" allowOverlap="1" wp14:anchorId="7613251A" wp14:editId="578356DF">
              <wp:simplePos x="0" y="0"/>
              <wp:positionH relativeFrom="page">
                <wp:posOffset>1890395</wp:posOffset>
              </wp:positionH>
              <wp:positionV relativeFrom="page">
                <wp:posOffset>289560</wp:posOffset>
              </wp:positionV>
              <wp:extent cx="2983865" cy="94615"/>
              <wp:effectExtent l="0" t="0" r="0" b="0"/>
              <wp:wrapNone/>
              <wp:docPr id="946" name="Shape 946"/>
              <wp:cNvGraphicFramePr/>
              <a:graphic xmlns:a="http://schemas.openxmlformats.org/drawingml/2006/main">
                <a:graphicData uri="http://schemas.microsoft.com/office/word/2010/wordprocessingShape">
                  <wps:wsp>
                    <wps:cNvSpPr txBox="1"/>
                    <wps:spPr>
                      <a:xfrm>
                        <a:off x="0" y="0"/>
                        <a:ext cx="2983865" cy="94615"/>
                      </a:xfrm>
                      <a:prstGeom prst="rect">
                        <a:avLst/>
                      </a:prstGeom>
                      <a:noFill/>
                    </wps:spPr>
                    <wps:txbx>
                      <w:txbxContent>
                        <w:p w14:paraId="71A22433"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wps:txbx>
                    <wps:bodyPr lIns="0" tIns="0" rIns="0" bIns="0">
                      <a:spAutoFit/>
                    </wps:bodyPr>
                  </wps:wsp>
                </a:graphicData>
              </a:graphic>
            </wp:anchor>
          </w:drawing>
        </mc:Choice>
        <mc:Fallback>
          <w:pict>
            <v:shapetype w14:anchorId="7613251A" id="_x0000_t202" coordsize="21600,21600" o:spt="202" path="m,l,21600r21600,l21600,xe">
              <v:stroke joinstyle="miter"/>
              <v:path gradientshapeok="t" o:connecttype="rect"/>
            </v:shapetype>
            <v:shape id="Shape 946" o:spid="_x0000_s1192" type="#_x0000_t202" style="position:absolute;margin-left:148.85pt;margin-top:22.8pt;width:234.95pt;height:7.45pt;z-index:-2512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" filled="f" stroked="f">
              <v:textbox style="mso-fit-shape-to-text:t" inset="0,0,0,0">
                <w:txbxContent>
                  <w:p w14:paraId="71A22433"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v:textbox>
              <w10:wrap anchorx="page" anchory="page"/>
            </v:shape>
          </w:pict>
        </mc:Fallback>
      </mc:AlternateContent>
    </w:r>
    <w:r>
      <w:rPr>
        <w:noProof/>
      </w:rPr>
      <mc:AlternateContent>
        <mc:Choice Requires="wps">
          <w:drawing>
            <wp:anchor distT="0" distB="0" distL="114300" distR="114300" simplePos="0" relativeHeight="251808768" behindDoc="1" locked="0" layoutInCell="1" allowOverlap="1" wp14:anchorId="64A88FBD" wp14:editId="319F20A0">
              <wp:simplePos x="0" y="0"/>
              <wp:positionH relativeFrom="page">
                <wp:posOffset>537210</wp:posOffset>
              </wp:positionH>
              <wp:positionV relativeFrom="page">
                <wp:posOffset>412750</wp:posOffset>
              </wp:positionV>
              <wp:extent cx="4358640" cy="0"/>
              <wp:effectExtent l="0" t="0" r="0" b="0"/>
              <wp:wrapNone/>
              <wp:docPr id="948" name="Shape 9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48E6C0" id="_x0000_t32" coordsize="21600,21600" o:spt="32" o:oned="t" path="m,l21600,21600e" filled="f">
              <v:path arrowok="t" fillok="f" o:connecttype="none"/>
              <o:lock v:ext="edit" shapetype="t"/>
            </v:shapetype>
            <v:shape id="Shape 948" o:spid="_x0000_s1026" type="#_x0000_t32" style="position:absolute;margin-left:42.3pt;margin-top:32.5pt;width:343.2pt;height:0;z-index:-251507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JG5&#10;4X7aAAAACAEAAA8AAAAAAAAAAAAAAAAAwgMAAGRycy9kb3ducmV2LnhtbFBLBQYAAAAABAAEAPMA&#10;AADJBAAAAAA=&#10;" strokeweight="1pt">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956D" w14:textId="77777777" w:rsidR="00093A32" w:rsidRDefault="00093A32">
    <w:pPr>
      <w:spacing w:line="1" w:lineRule="exact"/>
    </w:pPr>
    <w:r>
      <w:rPr>
        <w:noProof/>
      </w:rPr>
      <mc:AlternateContent>
        <mc:Choice Requires="wps">
          <w:drawing>
            <wp:anchor distT="0" distB="0" distL="0" distR="0" simplePos="0" relativeHeight="252048384" behindDoc="1" locked="0" layoutInCell="1" allowOverlap="1" wp14:anchorId="40B3613B" wp14:editId="3CA5FCBC">
              <wp:simplePos x="0" y="0"/>
              <wp:positionH relativeFrom="page">
                <wp:posOffset>1890395</wp:posOffset>
              </wp:positionH>
              <wp:positionV relativeFrom="page">
                <wp:posOffset>289560</wp:posOffset>
              </wp:positionV>
              <wp:extent cx="2983865" cy="94615"/>
              <wp:effectExtent l="0" t="0" r="0" b="0"/>
              <wp:wrapNone/>
              <wp:docPr id="943" name="Shape 943"/>
              <wp:cNvGraphicFramePr/>
              <a:graphic xmlns:a="http://schemas.openxmlformats.org/drawingml/2006/main">
                <a:graphicData uri="http://schemas.microsoft.com/office/word/2010/wordprocessingShape">
                  <wps:wsp>
                    <wps:cNvSpPr txBox="1"/>
                    <wps:spPr>
                      <a:xfrm>
                        <a:off x="0" y="0"/>
                        <a:ext cx="2983865" cy="94615"/>
                      </a:xfrm>
                      <a:prstGeom prst="rect">
                        <a:avLst/>
                      </a:prstGeom>
                      <a:noFill/>
                    </wps:spPr>
                    <wps:txbx>
                      <w:txbxContent>
                        <w:p w14:paraId="465F3A99"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wps:txbx>
                    <wps:bodyPr lIns="0" tIns="0" rIns="0" bIns="0">
                      <a:spAutoFit/>
                    </wps:bodyPr>
                  </wps:wsp>
                </a:graphicData>
              </a:graphic>
            </wp:anchor>
          </w:drawing>
        </mc:Choice>
        <mc:Fallback>
          <w:pict>
            <v:shapetype w14:anchorId="40B3613B" id="_x0000_t202" coordsize="21600,21600" o:spt="202" path="m,l,21600r21600,l21600,xe">
              <v:stroke joinstyle="miter"/>
              <v:path gradientshapeok="t" o:connecttype="rect"/>
            </v:shapetype>
            <v:shape id="Shape 943" o:spid="_x0000_s1193" type="#_x0000_t202" style="position:absolute;margin-left:148.85pt;margin-top:22.8pt;width:234.95pt;height:7.45pt;z-index:-2512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" filled="f" stroked="f">
              <v:textbox style="mso-fit-shape-to-text:t" inset="0,0,0,0">
                <w:txbxContent>
                  <w:p w14:paraId="465F3A99" w14:textId="77777777" w:rsidR="00093A32" w:rsidRDefault="00093A32">
                    <w:pPr>
                      <w:pStyle w:val="Headerorfooter0"/>
                      <w:tabs>
                        <w:tab w:val="right" w:pos="4699"/>
                      </w:tabs>
                      <w:rPr>
                        <w:sz w:val="16"/>
                        <w:szCs w:val="16"/>
                      </w:rPr>
                    </w:pPr>
                    <w:r>
                      <w:t>HANTA, VIRUS, SÍNDROME PULMONAR</w:t>
                    </w:r>
                    <w:r>
                      <w:tab/>
                    </w:r>
                    <w:r>
                      <w:rPr>
                        <w:sz w:val="16"/>
                        <w:szCs w:val="16"/>
                      </w:rPr>
                      <w:t>365</w:t>
                    </w:r>
                  </w:p>
                </w:txbxContent>
              </v:textbox>
              <w10:wrap anchorx="page" anchory="page"/>
            </v:shape>
          </w:pict>
        </mc:Fallback>
      </mc:AlternateContent>
    </w:r>
    <w:r>
      <w:rPr>
        <w:noProof/>
      </w:rPr>
      <mc:AlternateContent>
        <mc:Choice Requires="wps">
          <w:drawing>
            <wp:anchor distT="0" distB="0" distL="114300" distR="114300" simplePos="0" relativeHeight="251807744" behindDoc="1" locked="0" layoutInCell="1" allowOverlap="1" wp14:anchorId="46DD8C24" wp14:editId="3C5624BC">
              <wp:simplePos x="0" y="0"/>
              <wp:positionH relativeFrom="page">
                <wp:posOffset>537210</wp:posOffset>
              </wp:positionH>
              <wp:positionV relativeFrom="page">
                <wp:posOffset>412750</wp:posOffset>
              </wp:positionV>
              <wp:extent cx="4358640" cy="0"/>
              <wp:effectExtent l="0" t="0" r="0" b="0"/>
              <wp:wrapNone/>
              <wp:docPr id="945" name="Shape 9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734469B" id="_x0000_t32" coordsize="21600,21600" o:spt="32" o:oned="t" path="m,l21600,21600e" filled="f">
              <v:path arrowok="t" fillok="f" o:connecttype="none"/>
              <o:lock v:ext="edit" shapetype="t"/>
            </v:shapetype>
            <v:shape id="Shape 945" o:spid="_x0000_s1026" type="#_x0000_t32" style="position:absolute;margin-left:42.3pt;margin-top:32.5pt;width:343.2pt;height:0;z-index:-251508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JG5&#10;4X7aAAAACAEAAA8AAAAAAAAAAAAAAAAAwgMAAGRycy9kb3ducmV2LnhtbFBLBQYAAAAABAAEAPMA&#10;AADJBAAAAAA=&#10;" strokeweight="1pt">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07C7" w14:textId="77777777" w:rsidR="00093A32" w:rsidRDefault="00093A32">
    <w:pPr>
      <w:spacing w:line="1" w:lineRule="exact"/>
    </w:pPr>
    <w:r>
      <w:rPr>
        <w:noProof/>
      </w:rPr>
      <mc:AlternateContent>
        <mc:Choice Requires="wps">
          <w:drawing>
            <wp:anchor distT="0" distB="0" distL="0" distR="0" simplePos="0" relativeHeight="252050432" behindDoc="1" locked="0" layoutInCell="1" allowOverlap="1" wp14:anchorId="4FCC0A1A" wp14:editId="61AC5E10">
              <wp:simplePos x="0" y="0"/>
              <wp:positionH relativeFrom="page">
                <wp:posOffset>567690</wp:posOffset>
              </wp:positionH>
              <wp:positionV relativeFrom="page">
                <wp:posOffset>289560</wp:posOffset>
              </wp:positionV>
              <wp:extent cx="2993390" cy="94615"/>
              <wp:effectExtent l="0" t="0" r="0" b="0"/>
              <wp:wrapNone/>
              <wp:docPr id="949" name="Shape 949"/>
              <wp:cNvGraphicFramePr/>
              <a:graphic xmlns:a="http://schemas.openxmlformats.org/drawingml/2006/main">
                <a:graphicData uri="http://schemas.microsoft.com/office/word/2010/wordprocessingShape">
                  <wps:wsp>
                    <wps:cNvSpPr txBox="1"/>
                    <wps:spPr>
                      <a:xfrm>
                        <a:off x="0" y="0"/>
                        <a:ext cx="2993390" cy="94615"/>
                      </a:xfrm>
                      <a:prstGeom prst="rect">
                        <a:avLst/>
                      </a:prstGeom>
                      <a:noFill/>
                    </wps:spPr>
                    <wps:txbx>
                      <w:txbxContent>
                        <w:p w14:paraId="1AE0DA0C" w14:textId="77777777" w:rsidR="00093A32" w:rsidRDefault="00093A32">
                          <w:pPr>
                            <w:pStyle w:val="Headerorfooter0"/>
                            <w:tabs>
                              <w:tab w:val="right" w:pos="4714"/>
                            </w:tabs>
                          </w:pPr>
                          <w:r>
                            <w:rPr>
                              <w:sz w:val="16"/>
                              <w:szCs w:val="16"/>
                            </w:rPr>
                            <w:t>366</w:t>
                          </w:r>
                          <w:r>
                            <w:rPr>
                              <w:sz w:val="16"/>
                              <w:szCs w:val="16"/>
                            </w:rPr>
                            <w:tab/>
                          </w:r>
                          <w:r>
                            <w:t>HANTA, VIRUS, SÍNDROME PULMONAR</w:t>
                          </w:r>
                        </w:p>
                      </w:txbxContent>
                    </wps:txbx>
                    <wps:bodyPr lIns="0" tIns="0" rIns="0" bIns="0">
                      <a:spAutoFit/>
                    </wps:bodyPr>
                  </wps:wsp>
                </a:graphicData>
              </a:graphic>
            </wp:anchor>
          </w:drawing>
        </mc:Choice>
        <mc:Fallback>
          <w:pict>
            <v:shapetype w14:anchorId="4FCC0A1A" id="_x0000_t202" coordsize="21600,21600" o:spt="202" path="m,l,21600r21600,l21600,xe">
              <v:stroke joinstyle="miter"/>
              <v:path gradientshapeok="t" o:connecttype="rect"/>
            </v:shapetype>
            <v:shape id="Shape 949" o:spid="_x0000_s1194" type="#_x0000_t202" style="position:absolute;margin-left:44.7pt;margin-top:22.8pt;width:235.7pt;height:7.45pt;z-index:-2512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" filled="f" stroked="f">
              <v:textbox style="mso-fit-shape-to-text:t" inset="0,0,0,0">
                <w:txbxContent>
                  <w:p w14:paraId="1AE0DA0C" w14:textId="77777777" w:rsidR="00093A32" w:rsidRDefault="00093A32">
                    <w:pPr>
                      <w:pStyle w:val="Headerorfooter0"/>
                      <w:tabs>
                        <w:tab w:val="right" w:pos="4714"/>
                      </w:tabs>
                    </w:pPr>
                    <w:r>
                      <w:rPr>
                        <w:sz w:val="16"/>
                        <w:szCs w:val="16"/>
                      </w:rPr>
                      <w:t>366</w:t>
                    </w:r>
                    <w:r>
                      <w:rPr>
                        <w:sz w:val="16"/>
                        <w:szCs w:val="16"/>
                      </w:rPr>
                      <w:tab/>
                    </w:r>
                    <w:r>
                      <w:t>HANTA, VIRUS, SÍNDROME PULMONAR</w:t>
                    </w:r>
                  </w:p>
                </w:txbxContent>
              </v:textbox>
              <w10:wrap anchorx="page" anchory="page"/>
            </v:shape>
          </w:pict>
        </mc:Fallback>
      </mc:AlternateContent>
    </w:r>
    <w:r>
      <w:rPr>
        <w:noProof/>
      </w:rPr>
      <mc:AlternateContent>
        <mc:Choice Requires="wps">
          <w:drawing>
            <wp:anchor distT="0" distB="0" distL="114300" distR="114300" simplePos="0" relativeHeight="251809792" behindDoc="1" locked="0" layoutInCell="1" allowOverlap="1" wp14:anchorId="2CA164C1" wp14:editId="46A30AE4">
              <wp:simplePos x="0" y="0"/>
              <wp:positionH relativeFrom="page">
                <wp:posOffset>552450</wp:posOffset>
              </wp:positionH>
              <wp:positionV relativeFrom="page">
                <wp:posOffset>412750</wp:posOffset>
              </wp:positionV>
              <wp:extent cx="4358640" cy="0"/>
              <wp:effectExtent l="0" t="0" r="0" b="0"/>
              <wp:wrapNone/>
              <wp:docPr id="951" name="Shape 9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41220F" id="_x0000_t32" coordsize="21600,21600" o:spt="32" o:oned="t" path="m,l21600,21600e" filled="f">
              <v:path arrowok="t" fillok="f" o:connecttype="none"/>
              <o:lock v:ext="edit" shapetype="t"/>
            </v:shapetype>
            <v:shape id="Shape 951" o:spid="_x0000_s1026" type="#_x0000_t32" style="position:absolute;margin-left:43.5pt;margin-top:32.5pt;width:343.2pt;height:0;z-index:-251506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A3&#10;x/Df2wAAAAgBAAAPAAAAAAAAAAAAAAAAAMIDAABkcnMvZG93bnJldi54bWxQSwUGAAAAAAQABADz&#10;AAAAygQAAAAA&#10;" strokeweight="1pt">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0E31" w14:textId="77777777" w:rsidR="00093A32" w:rsidRDefault="00093A32">
    <w:pPr>
      <w:spacing w:line="1" w:lineRule="exact"/>
    </w:pPr>
    <w:r>
      <w:rPr>
        <w:noProof/>
      </w:rPr>
      <mc:AlternateContent>
        <mc:Choice Requires="wps">
          <w:drawing>
            <wp:anchor distT="0" distB="0" distL="0" distR="0" simplePos="0" relativeHeight="252052480" behindDoc="1" locked="0" layoutInCell="1" allowOverlap="1" wp14:anchorId="77E5B14E" wp14:editId="41CFED6E">
              <wp:simplePos x="0" y="0"/>
              <wp:positionH relativeFrom="page">
                <wp:posOffset>560070</wp:posOffset>
              </wp:positionH>
              <wp:positionV relativeFrom="page">
                <wp:posOffset>304800</wp:posOffset>
              </wp:positionV>
              <wp:extent cx="2995930" cy="79375"/>
              <wp:effectExtent l="0" t="0" r="0" b="0"/>
              <wp:wrapNone/>
              <wp:docPr id="955" name="Shape 955"/>
              <wp:cNvGraphicFramePr/>
              <a:graphic xmlns:a="http://schemas.openxmlformats.org/drawingml/2006/main">
                <a:graphicData uri="http://schemas.microsoft.com/office/word/2010/wordprocessingShape">
                  <wps:wsp>
                    <wps:cNvSpPr txBox="1"/>
                    <wps:spPr>
                      <a:xfrm>
                        <a:off x="0" y="0"/>
                        <a:ext cx="2995930" cy="79375"/>
                      </a:xfrm>
                      <a:prstGeom prst="rect">
                        <a:avLst/>
                      </a:prstGeom>
                      <a:noFill/>
                    </wps:spPr>
                    <wps:txbx>
                      <w:txbxContent>
                        <w:p w14:paraId="5A3AD438" w14:textId="77777777" w:rsidR="00093A32" w:rsidRDefault="00093A32">
                          <w:pPr>
                            <w:pStyle w:val="Headerorfooter0"/>
                            <w:tabs>
                              <w:tab w:val="right" w:pos="4718"/>
                            </w:tabs>
                          </w:pPr>
                          <w:r>
                            <w:rPr>
                              <w:sz w:val="16"/>
                              <w:szCs w:val="16"/>
                            </w:rPr>
                            <w:t>368</w:t>
                          </w:r>
                          <w:r>
                            <w:rPr>
                              <w:sz w:val="16"/>
                              <w:szCs w:val="16"/>
                            </w:rPr>
                            <w:tab/>
                          </w:r>
                          <w:r>
                            <w:rPr>
                              <w:i/>
                              <w:iCs/>
                              <w:sz w:val="13"/>
                              <w:szCs w:val="13"/>
                            </w:rPr>
                            <w:t>HELICOBACTER PYLORI,</w:t>
                          </w:r>
                          <w:r>
                            <w:t xml:space="preserve"> INFECCIONES</w:t>
                          </w:r>
                        </w:p>
                      </w:txbxContent>
                    </wps:txbx>
                    <wps:bodyPr lIns="0" tIns="0" rIns="0" bIns="0">
                      <a:spAutoFit/>
                    </wps:bodyPr>
                  </wps:wsp>
                </a:graphicData>
              </a:graphic>
            </wp:anchor>
          </w:drawing>
        </mc:Choice>
        <mc:Fallback>
          <w:pict>
            <v:shapetype w14:anchorId="77E5B14E" id="_x0000_t202" coordsize="21600,21600" o:spt="202" path="m,l,21600r21600,l21600,xe">
              <v:stroke joinstyle="miter"/>
              <v:path gradientshapeok="t" o:connecttype="rect"/>
            </v:shapetype>
            <v:shape id="Shape 955" o:spid="_x0000_s1195" type="#_x0000_t202" style="position:absolute;margin-left:44.1pt;margin-top:24pt;width:235.9pt;height:6.25pt;z-index:-2512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" filled="f" stroked="f">
              <v:textbox style="mso-fit-shape-to-text:t" inset="0,0,0,0">
                <w:txbxContent>
                  <w:p w14:paraId="5A3AD438" w14:textId="77777777" w:rsidR="00093A32" w:rsidRDefault="00093A32">
                    <w:pPr>
                      <w:pStyle w:val="Headerorfooter0"/>
                      <w:tabs>
                        <w:tab w:val="right" w:pos="4718"/>
                      </w:tabs>
                    </w:pPr>
                    <w:r>
                      <w:rPr>
                        <w:sz w:val="16"/>
                        <w:szCs w:val="16"/>
                      </w:rPr>
                      <w:t>368</w:t>
                    </w:r>
                    <w:r>
                      <w:rPr>
                        <w:sz w:val="16"/>
                        <w:szCs w:val="16"/>
                      </w:rPr>
                      <w:tab/>
                    </w:r>
                    <w:r>
                      <w:rPr>
                        <w:i/>
                        <w:iCs/>
                        <w:sz w:val="13"/>
                        <w:szCs w:val="13"/>
                      </w:rPr>
                      <w:t>HELICOBACTER PYLORI,</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11840" behindDoc="1" locked="0" layoutInCell="1" allowOverlap="1" wp14:anchorId="60D4649C" wp14:editId="4F2491BB">
              <wp:simplePos x="0" y="0"/>
              <wp:positionH relativeFrom="page">
                <wp:posOffset>544830</wp:posOffset>
              </wp:positionH>
              <wp:positionV relativeFrom="page">
                <wp:posOffset>412750</wp:posOffset>
              </wp:positionV>
              <wp:extent cx="4358640" cy="0"/>
              <wp:effectExtent l="0" t="0" r="0" b="0"/>
              <wp:wrapNone/>
              <wp:docPr id="957" name="Shape 9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EC65EA5" id="_x0000_t32" coordsize="21600,21600" o:spt="32" o:oned="t" path="m,l21600,21600e" filled="f">
              <v:path arrowok="t" fillok="f" o:connecttype="none"/>
              <o:lock v:ext="edit" shapetype="t"/>
            </v:shapetype>
            <v:shape id="Shape 957" o:spid="_x0000_s1026" type="#_x0000_t32" style="position:absolute;margin-left:42.9pt;margin-top:32.5pt;width:343.2pt;height:0;z-index:-251504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GX0&#10;cXTaAAAACAEAAA8AAAAAAAAAAAAAAAAAwgMAAGRycy9kb3ducmV2LnhtbFBLBQYAAAAABAAEAPMA&#10;AADJBAAAAAA=&#10;" strokeweight="1pt">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B833" w14:textId="77777777" w:rsidR="00093A32" w:rsidRDefault="00093A32">
    <w:pPr>
      <w:spacing w:line="1" w:lineRule="exact"/>
    </w:pPr>
    <w:r>
      <w:rPr>
        <w:noProof/>
      </w:rPr>
      <mc:AlternateContent>
        <mc:Choice Requires="wps">
          <w:drawing>
            <wp:anchor distT="0" distB="0" distL="0" distR="0" simplePos="0" relativeHeight="252051456" behindDoc="1" locked="0" layoutInCell="1" allowOverlap="1" wp14:anchorId="48F7A3B3" wp14:editId="5F4FF207">
              <wp:simplePos x="0" y="0"/>
              <wp:positionH relativeFrom="page">
                <wp:posOffset>560070</wp:posOffset>
              </wp:positionH>
              <wp:positionV relativeFrom="page">
                <wp:posOffset>304800</wp:posOffset>
              </wp:positionV>
              <wp:extent cx="2995930" cy="79375"/>
              <wp:effectExtent l="0" t="0" r="0" b="0"/>
              <wp:wrapNone/>
              <wp:docPr id="952" name="Shape 952"/>
              <wp:cNvGraphicFramePr/>
              <a:graphic xmlns:a="http://schemas.openxmlformats.org/drawingml/2006/main">
                <a:graphicData uri="http://schemas.microsoft.com/office/word/2010/wordprocessingShape">
                  <wps:wsp>
                    <wps:cNvSpPr txBox="1"/>
                    <wps:spPr>
                      <a:xfrm>
                        <a:off x="0" y="0"/>
                        <a:ext cx="2995930" cy="79375"/>
                      </a:xfrm>
                      <a:prstGeom prst="rect">
                        <a:avLst/>
                      </a:prstGeom>
                      <a:noFill/>
                    </wps:spPr>
                    <wps:txbx>
                      <w:txbxContent>
                        <w:p w14:paraId="0EFB30FC" w14:textId="77777777" w:rsidR="00093A32" w:rsidRDefault="00093A32">
                          <w:pPr>
                            <w:pStyle w:val="Headerorfooter0"/>
                            <w:tabs>
                              <w:tab w:val="right" w:pos="4718"/>
                            </w:tabs>
                          </w:pPr>
                          <w:r>
                            <w:rPr>
                              <w:sz w:val="16"/>
                              <w:szCs w:val="16"/>
                            </w:rPr>
                            <w:t>368</w:t>
                          </w:r>
                          <w:r>
                            <w:rPr>
                              <w:sz w:val="16"/>
                              <w:szCs w:val="16"/>
                            </w:rPr>
                            <w:tab/>
                          </w:r>
                          <w:r>
                            <w:rPr>
                              <w:i/>
                              <w:iCs/>
                              <w:sz w:val="13"/>
                              <w:szCs w:val="13"/>
                            </w:rPr>
                            <w:t>HELICOBACTER PYLORI,</w:t>
                          </w:r>
                          <w:r>
                            <w:t xml:space="preserve"> INFECCIONES</w:t>
                          </w:r>
                        </w:p>
                      </w:txbxContent>
                    </wps:txbx>
                    <wps:bodyPr lIns="0" tIns="0" rIns="0" bIns="0">
                      <a:spAutoFit/>
                    </wps:bodyPr>
                  </wps:wsp>
                </a:graphicData>
              </a:graphic>
            </wp:anchor>
          </w:drawing>
        </mc:Choice>
        <mc:Fallback>
          <w:pict>
            <v:shapetype w14:anchorId="48F7A3B3" id="_x0000_t202" coordsize="21600,21600" o:spt="202" path="m,l,21600r21600,l21600,xe">
              <v:stroke joinstyle="miter"/>
              <v:path gradientshapeok="t" o:connecttype="rect"/>
            </v:shapetype>
            <v:shape id="Shape 952" o:spid="_x0000_s1196" type="#_x0000_t202" style="position:absolute;margin-left:44.1pt;margin-top:24pt;width:235.9pt;height:6.25pt;z-index:-2512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" filled="f" stroked="f">
              <v:textbox style="mso-fit-shape-to-text:t" inset="0,0,0,0">
                <w:txbxContent>
                  <w:p w14:paraId="0EFB30FC" w14:textId="77777777" w:rsidR="00093A32" w:rsidRDefault="00093A32">
                    <w:pPr>
                      <w:pStyle w:val="Headerorfooter0"/>
                      <w:tabs>
                        <w:tab w:val="right" w:pos="4718"/>
                      </w:tabs>
                    </w:pPr>
                    <w:r>
                      <w:rPr>
                        <w:sz w:val="16"/>
                        <w:szCs w:val="16"/>
                      </w:rPr>
                      <w:t>368</w:t>
                    </w:r>
                    <w:r>
                      <w:rPr>
                        <w:sz w:val="16"/>
                        <w:szCs w:val="16"/>
                      </w:rPr>
                      <w:tab/>
                    </w:r>
                    <w:r>
                      <w:rPr>
                        <w:i/>
                        <w:iCs/>
                        <w:sz w:val="13"/>
                        <w:szCs w:val="13"/>
                      </w:rPr>
                      <w:t>HELICOBACTER PYLORI,</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10816" behindDoc="1" locked="0" layoutInCell="1" allowOverlap="1" wp14:anchorId="1904D4E1" wp14:editId="69678983">
              <wp:simplePos x="0" y="0"/>
              <wp:positionH relativeFrom="page">
                <wp:posOffset>544830</wp:posOffset>
              </wp:positionH>
              <wp:positionV relativeFrom="page">
                <wp:posOffset>412750</wp:posOffset>
              </wp:positionV>
              <wp:extent cx="4358640" cy="0"/>
              <wp:effectExtent l="0" t="0" r="0" b="0"/>
              <wp:wrapNone/>
              <wp:docPr id="954" name="Shape 9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475AAB0" id="_x0000_t32" coordsize="21600,21600" o:spt="32" o:oned="t" path="m,l21600,21600e" filled="f">
              <v:path arrowok="t" fillok="f" o:connecttype="none"/>
              <o:lock v:ext="edit" shapetype="t"/>
            </v:shapetype>
            <v:shape id="Shape 954" o:spid="_x0000_s1026" type="#_x0000_t32" style="position:absolute;margin-left:42.9pt;margin-top:32.5pt;width:343.2pt;height:0;z-index:-251505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GX0&#10;cXTaAAAACAEAAA8AAAAAAAAAAAAAAAAAwgMAAGRycy9kb3ducmV2LnhtbFBLBQYAAAAABAAEAPMA&#10;AADJBAAAAAA=&#10;" strokeweight="1pt">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666C" w14:textId="77777777" w:rsidR="00093A32" w:rsidRDefault="00093A32">
    <w:pPr>
      <w:spacing w:line="1" w:lineRule="exact"/>
    </w:pPr>
    <w:r>
      <w:rPr>
        <w:noProof/>
      </w:rPr>
      <mc:AlternateContent>
        <mc:Choice Requires="wps">
          <w:drawing>
            <wp:anchor distT="0" distB="0" distL="0" distR="0" simplePos="0" relativeHeight="252054528" behindDoc="1" locked="0" layoutInCell="1" allowOverlap="1" wp14:anchorId="44135542" wp14:editId="34BAA9AE">
              <wp:simplePos x="0" y="0"/>
              <wp:positionH relativeFrom="page">
                <wp:posOffset>1736725</wp:posOffset>
              </wp:positionH>
              <wp:positionV relativeFrom="page">
                <wp:posOffset>289560</wp:posOffset>
              </wp:positionV>
              <wp:extent cx="3151505" cy="94615"/>
              <wp:effectExtent l="0" t="0" r="0" b="0"/>
              <wp:wrapNone/>
              <wp:docPr id="961" name="Shape 961"/>
              <wp:cNvGraphicFramePr/>
              <a:graphic xmlns:a="http://schemas.openxmlformats.org/drawingml/2006/main">
                <a:graphicData uri="http://schemas.microsoft.com/office/word/2010/wordprocessingShape">
                  <wps:wsp>
                    <wps:cNvSpPr txBox="1"/>
                    <wps:spPr>
                      <a:xfrm>
                        <a:off x="0" y="0"/>
                        <a:ext cx="3151505" cy="94615"/>
                      </a:xfrm>
                      <a:prstGeom prst="rect">
                        <a:avLst/>
                      </a:prstGeom>
                      <a:noFill/>
                    </wps:spPr>
                    <wps:txbx>
                      <w:txbxContent>
                        <w:p w14:paraId="0347B9BB" w14:textId="77777777" w:rsidR="00093A32" w:rsidRDefault="00093A32">
                          <w:pPr>
                            <w:pStyle w:val="Headerorfooter0"/>
                            <w:tabs>
                              <w:tab w:val="right" w:pos="4963"/>
                            </w:tabs>
                            <w:rPr>
                              <w:sz w:val="16"/>
                              <w:szCs w:val="16"/>
                            </w:rPr>
                          </w:pPr>
                          <w:r>
                            <w:t>HEMORRÁGICAS, FIEBRES, POR ARENAVIRUS</w:t>
                          </w:r>
                          <w:r>
                            <w:tab/>
                          </w:r>
                          <w:r>
                            <w:rPr>
                              <w:sz w:val="16"/>
                              <w:szCs w:val="16"/>
                            </w:rPr>
                            <w:t>369</w:t>
                          </w:r>
                        </w:p>
                      </w:txbxContent>
                    </wps:txbx>
                    <wps:bodyPr lIns="0" tIns="0" rIns="0" bIns="0">
                      <a:spAutoFit/>
                    </wps:bodyPr>
                  </wps:wsp>
                </a:graphicData>
              </a:graphic>
            </wp:anchor>
          </w:drawing>
        </mc:Choice>
        <mc:Fallback>
          <w:pict>
            <v:shapetype w14:anchorId="44135542" id="_x0000_t202" coordsize="21600,21600" o:spt="202" path="m,l,21600r21600,l21600,xe">
              <v:stroke joinstyle="miter"/>
              <v:path gradientshapeok="t" o:connecttype="rect"/>
            </v:shapetype>
            <v:shape id="Shape 961" o:spid="_x0000_s1197" type="#_x0000_t202" style="position:absolute;margin-left:136.75pt;margin-top:22.8pt;width:248.15pt;height:7.45pt;z-index:-2512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" filled="f" stroked="f">
              <v:textbox style="mso-fit-shape-to-text:t" inset="0,0,0,0">
                <w:txbxContent>
                  <w:p w14:paraId="0347B9BB" w14:textId="77777777" w:rsidR="00093A32" w:rsidRDefault="00093A32">
                    <w:pPr>
                      <w:pStyle w:val="Headerorfooter0"/>
                      <w:tabs>
                        <w:tab w:val="right" w:pos="4963"/>
                      </w:tabs>
                      <w:rPr>
                        <w:sz w:val="16"/>
                        <w:szCs w:val="16"/>
                      </w:rPr>
                    </w:pPr>
                    <w:r>
                      <w:t>HEMORRÁGICAS, FIEBRES, POR ARENAVIRUS</w:t>
                    </w:r>
                    <w:r>
                      <w:tab/>
                    </w:r>
                    <w:r>
                      <w:rPr>
                        <w:sz w:val="16"/>
                        <w:szCs w:val="16"/>
                      </w:rPr>
                      <w:t>369</w:t>
                    </w:r>
                  </w:p>
                </w:txbxContent>
              </v:textbox>
              <w10:wrap anchorx="page" anchory="page"/>
            </v:shape>
          </w:pict>
        </mc:Fallback>
      </mc:AlternateContent>
    </w:r>
    <w:r>
      <w:rPr>
        <w:noProof/>
      </w:rPr>
      <mc:AlternateContent>
        <mc:Choice Requires="wps">
          <w:drawing>
            <wp:anchor distT="0" distB="0" distL="114300" distR="114300" simplePos="0" relativeHeight="251813888" behindDoc="1" locked="0" layoutInCell="1" allowOverlap="1" wp14:anchorId="780C56D8" wp14:editId="0C6C861F">
              <wp:simplePos x="0" y="0"/>
              <wp:positionH relativeFrom="page">
                <wp:posOffset>551180</wp:posOffset>
              </wp:positionH>
              <wp:positionV relativeFrom="page">
                <wp:posOffset>412750</wp:posOffset>
              </wp:positionV>
              <wp:extent cx="4358640" cy="0"/>
              <wp:effectExtent l="0" t="0" r="0" b="0"/>
              <wp:wrapNone/>
              <wp:docPr id="963" name="Shape 9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479FEC" id="_x0000_t32" coordsize="21600,21600" o:spt="32" o:oned="t" path="m,l21600,21600e" filled="f">
              <v:path arrowok="t" fillok="f" o:connecttype="none"/>
              <o:lock v:ext="edit" shapetype="t"/>
            </v:shapetype>
            <v:shape id="Shape 963" o:spid="_x0000_s1026" type="#_x0000_t32" style="position:absolute;margin-left:43.4pt;margin-top:32.5pt;width:343.2pt;height:0;z-index:-251502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O13&#10;D0raAAAACAEAAA8AAAAAAAAAAAAAAAAAwgMAAGRycy9kb3ducmV2LnhtbFBLBQYAAAAABAAEAPMA&#10;AADJBAAAAAA=&#10;" strokeweight="1pt">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EA9F" w14:textId="77777777" w:rsidR="00093A32" w:rsidRDefault="00093A32">
    <w:pPr>
      <w:spacing w:line="1" w:lineRule="exact"/>
    </w:pPr>
    <w:r>
      <w:rPr>
        <w:noProof/>
      </w:rPr>
      <mc:AlternateContent>
        <mc:Choice Requires="wps">
          <w:drawing>
            <wp:anchor distT="0" distB="0" distL="0" distR="0" simplePos="0" relativeHeight="252053504" behindDoc="1" locked="0" layoutInCell="1" allowOverlap="1" wp14:anchorId="3A620B3C" wp14:editId="5E55CA92">
              <wp:simplePos x="0" y="0"/>
              <wp:positionH relativeFrom="page">
                <wp:posOffset>1736725</wp:posOffset>
              </wp:positionH>
              <wp:positionV relativeFrom="page">
                <wp:posOffset>289560</wp:posOffset>
              </wp:positionV>
              <wp:extent cx="3151505" cy="94615"/>
              <wp:effectExtent l="0" t="0" r="0" b="0"/>
              <wp:wrapNone/>
              <wp:docPr id="958" name="Shape 958"/>
              <wp:cNvGraphicFramePr/>
              <a:graphic xmlns:a="http://schemas.openxmlformats.org/drawingml/2006/main">
                <a:graphicData uri="http://schemas.microsoft.com/office/word/2010/wordprocessingShape">
                  <wps:wsp>
                    <wps:cNvSpPr txBox="1"/>
                    <wps:spPr>
                      <a:xfrm>
                        <a:off x="0" y="0"/>
                        <a:ext cx="3151505" cy="94615"/>
                      </a:xfrm>
                      <a:prstGeom prst="rect">
                        <a:avLst/>
                      </a:prstGeom>
                      <a:noFill/>
                    </wps:spPr>
                    <wps:txbx>
                      <w:txbxContent>
                        <w:p w14:paraId="11460F34" w14:textId="77777777" w:rsidR="00093A32" w:rsidRDefault="00093A32">
                          <w:pPr>
                            <w:pStyle w:val="Headerorfooter0"/>
                            <w:tabs>
                              <w:tab w:val="right" w:pos="4963"/>
                            </w:tabs>
                            <w:rPr>
                              <w:sz w:val="16"/>
                              <w:szCs w:val="16"/>
                            </w:rPr>
                          </w:pPr>
                          <w:r>
                            <w:t>HEMORRÁGICAS, FIEBRES, POR ARENAVIRUS</w:t>
                          </w:r>
                          <w:r>
                            <w:tab/>
                          </w:r>
                          <w:r>
                            <w:rPr>
                              <w:sz w:val="16"/>
                              <w:szCs w:val="16"/>
                            </w:rPr>
                            <w:t>369</w:t>
                          </w:r>
                        </w:p>
                      </w:txbxContent>
                    </wps:txbx>
                    <wps:bodyPr lIns="0" tIns="0" rIns="0" bIns="0">
                      <a:spAutoFit/>
                    </wps:bodyPr>
                  </wps:wsp>
                </a:graphicData>
              </a:graphic>
            </wp:anchor>
          </w:drawing>
        </mc:Choice>
        <mc:Fallback>
          <w:pict>
            <v:shapetype w14:anchorId="3A620B3C" id="_x0000_t202" coordsize="21600,21600" o:spt="202" path="m,l,21600r21600,l21600,xe">
              <v:stroke joinstyle="miter"/>
              <v:path gradientshapeok="t" o:connecttype="rect"/>
            </v:shapetype>
            <v:shape id="Shape 958" o:spid="_x0000_s1198" type="#_x0000_t202" style="position:absolute;margin-left:136.75pt;margin-top:22.8pt;width:248.15pt;height:7.45pt;z-index:-2512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" filled="f" stroked="f">
              <v:textbox style="mso-fit-shape-to-text:t" inset="0,0,0,0">
                <w:txbxContent>
                  <w:p w14:paraId="11460F34" w14:textId="77777777" w:rsidR="00093A32" w:rsidRDefault="00093A32">
                    <w:pPr>
                      <w:pStyle w:val="Headerorfooter0"/>
                      <w:tabs>
                        <w:tab w:val="right" w:pos="4963"/>
                      </w:tabs>
                      <w:rPr>
                        <w:sz w:val="16"/>
                        <w:szCs w:val="16"/>
                      </w:rPr>
                    </w:pPr>
                    <w:r>
                      <w:t>HEMORRÁGICAS, FIEBRES, POR ARENAVIRUS</w:t>
                    </w:r>
                    <w:r>
                      <w:tab/>
                    </w:r>
                    <w:r>
                      <w:rPr>
                        <w:sz w:val="16"/>
                        <w:szCs w:val="16"/>
                      </w:rPr>
                      <w:t>369</w:t>
                    </w:r>
                  </w:p>
                </w:txbxContent>
              </v:textbox>
              <w10:wrap anchorx="page" anchory="page"/>
            </v:shape>
          </w:pict>
        </mc:Fallback>
      </mc:AlternateContent>
    </w:r>
    <w:r>
      <w:rPr>
        <w:noProof/>
      </w:rPr>
      <mc:AlternateContent>
        <mc:Choice Requires="wps">
          <w:drawing>
            <wp:anchor distT="0" distB="0" distL="114300" distR="114300" simplePos="0" relativeHeight="251812864" behindDoc="1" locked="0" layoutInCell="1" allowOverlap="1" wp14:anchorId="1C4931B6" wp14:editId="3F04D175">
              <wp:simplePos x="0" y="0"/>
              <wp:positionH relativeFrom="page">
                <wp:posOffset>551180</wp:posOffset>
              </wp:positionH>
              <wp:positionV relativeFrom="page">
                <wp:posOffset>412750</wp:posOffset>
              </wp:positionV>
              <wp:extent cx="4358640" cy="0"/>
              <wp:effectExtent l="0" t="0" r="0" b="0"/>
              <wp:wrapNone/>
              <wp:docPr id="960" name="Shape 9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7173055" id="_x0000_t32" coordsize="21600,21600" o:spt="32" o:oned="t" path="m,l21600,21600e" filled="f">
              <v:path arrowok="t" fillok="f" o:connecttype="none"/>
              <o:lock v:ext="edit" shapetype="t"/>
            </v:shapetype>
            <v:shape id="Shape 960" o:spid="_x0000_s1026" type="#_x0000_t32" style="position:absolute;margin-left:43.4pt;margin-top:32.5pt;width:343.2pt;height:0;z-index:-251503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O13&#10;D0raAAAACAEAAA8AAAAAAAAAAAAAAAAAwgMAAGRycy9kb3ducmV2LnhtbFBLBQYAAAAABAAEAPMA&#10;AADJBAAAAAA=&#10;" strokeweight="1pt">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E72B" w14:textId="77777777" w:rsidR="00093A32" w:rsidRDefault="00093A32">
    <w:pPr>
      <w:spacing w:line="1" w:lineRule="exact"/>
    </w:pPr>
    <w:r>
      <w:rPr>
        <w:noProof/>
      </w:rPr>
      <mc:AlternateContent>
        <mc:Choice Requires="wps">
          <w:drawing>
            <wp:anchor distT="0" distB="0" distL="0" distR="0" simplePos="0" relativeHeight="252056576" behindDoc="1" locked="0" layoutInCell="1" allowOverlap="1" wp14:anchorId="36E45424" wp14:editId="707CAC5C">
              <wp:simplePos x="0" y="0"/>
              <wp:positionH relativeFrom="page">
                <wp:posOffset>1574800</wp:posOffset>
              </wp:positionH>
              <wp:positionV relativeFrom="page">
                <wp:posOffset>289560</wp:posOffset>
              </wp:positionV>
              <wp:extent cx="3300730" cy="94615"/>
              <wp:effectExtent l="0" t="0" r="0" b="0"/>
              <wp:wrapNone/>
              <wp:docPr id="967" name="Shape 967"/>
              <wp:cNvGraphicFramePr/>
              <a:graphic xmlns:a="http://schemas.openxmlformats.org/drawingml/2006/main">
                <a:graphicData uri="http://schemas.microsoft.com/office/word/2010/wordprocessingShape">
                  <wps:wsp>
                    <wps:cNvSpPr txBox="1"/>
                    <wps:spPr>
                      <a:xfrm>
                        <a:off x="0" y="0"/>
                        <a:ext cx="3300730" cy="94615"/>
                      </a:xfrm>
                      <a:prstGeom prst="rect">
                        <a:avLst/>
                      </a:prstGeom>
                      <a:noFill/>
                    </wps:spPr>
                    <wps:txbx>
                      <w:txbxContent>
                        <w:p w14:paraId="7694B1F9"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wps:txbx>
                    <wps:bodyPr lIns="0" tIns="0" rIns="0" bIns="0">
                      <a:spAutoFit/>
                    </wps:bodyPr>
                  </wps:wsp>
                </a:graphicData>
              </a:graphic>
            </wp:anchor>
          </w:drawing>
        </mc:Choice>
        <mc:Fallback>
          <w:pict>
            <v:shapetype w14:anchorId="36E45424" id="_x0000_t202" coordsize="21600,21600" o:spt="202" path="m,l,21600r21600,l21600,xe">
              <v:stroke joinstyle="miter"/>
              <v:path gradientshapeok="t" o:connecttype="rect"/>
            </v:shapetype>
            <v:shape id="Shape 967" o:spid="_x0000_s1199" type="#_x0000_t202" style="position:absolute;margin-left:124pt;margin-top:22.8pt;width:259.9pt;height:7.45pt;z-index:-2512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" filled="f" stroked="f">
              <v:textbox style="mso-fit-shape-to-text:t" inset="0,0,0,0">
                <w:txbxContent>
                  <w:p w14:paraId="7694B1F9"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v:textbox>
              <w10:wrap anchorx="page" anchory="page"/>
            </v:shape>
          </w:pict>
        </mc:Fallback>
      </mc:AlternateContent>
    </w:r>
    <w:r>
      <w:rPr>
        <w:noProof/>
      </w:rPr>
      <mc:AlternateContent>
        <mc:Choice Requires="wps">
          <w:drawing>
            <wp:anchor distT="0" distB="0" distL="114300" distR="114300" simplePos="0" relativeHeight="251815936" behindDoc="1" locked="0" layoutInCell="1" allowOverlap="1" wp14:anchorId="79ED49F8" wp14:editId="1F3B9560">
              <wp:simplePos x="0" y="0"/>
              <wp:positionH relativeFrom="page">
                <wp:posOffset>553720</wp:posOffset>
              </wp:positionH>
              <wp:positionV relativeFrom="page">
                <wp:posOffset>412750</wp:posOffset>
              </wp:positionV>
              <wp:extent cx="4358640" cy="0"/>
              <wp:effectExtent l="0" t="0" r="0" b="0"/>
              <wp:wrapNone/>
              <wp:docPr id="969" name="Shape 9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13F2E9" id="_x0000_t32" coordsize="21600,21600" o:spt="32" o:oned="t" path="m,l21600,21600e" filled="f">
              <v:path arrowok="t" fillok="f" o:connecttype="none"/>
              <o:lock v:ext="edit" shapetype="t"/>
            </v:shapetype>
            <v:shape id="Shape 969" o:spid="_x0000_s1026" type="#_x0000_t32" style="position:absolute;margin-left:43.6pt;margin-top:32.5pt;width:343.2pt;height:0;z-index:-251500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HGB&#10;uFbaAAAACAEAAA8AAAAAAAAAAAAAAAAAwgMAAGRycy9kb3ducmV2LnhtbFBLBQYAAAAABAAEAPMA&#10;AADJBAAAAAA=&#10;" strokeweight="1pt">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E47D" w14:textId="77777777" w:rsidR="00093A32" w:rsidRDefault="00093A32">
    <w:pPr>
      <w:spacing w:line="1" w:lineRule="exact"/>
    </w:pPr>
    <w:r>
      <w:rPr>
        <w:noProof/>
      </w:rPr>
      <mc:AlternateContent>
        <mc:Choice Requires="wps">
          <w:drawing>
            <wp:anchor distT="0" distB="0" distL="0" distR="0" simplePos="0" relativeHeight="252055552" behindDoc="1" locked="0" layoutInCell="1" allowOverlap="1" wp14:anchorId="4BDE351A" wp14:editId="26A80D40">
              <wp:simplePos x="0" y="0"/>
              <wp:positionH relativeFrom="page">
                <wp:posOffset>1574800</wp:posOffset>
              </wp:positionH>
              <wp:positionV relativeFrom="page">
                <wp:posOffset>289560</wp:posOffset>
              </wp:positionV>
              <wp:extent cx="3300730" cy="94615"/>
              <wp:effectExtent l="0" t="0" r="0" b="0"/>
              <wp:wrapNone/>
              <wp:docPr id="964" name="Shape 964"/>
              <wp:cNvGraphicFramePr/>
              <a:graphic xmlns:a="http://schemas.openxmlformats.org/drawingml/2006/main">
                <a:graphicData uri="http://schemas.microsoft.com/office/word/2010/wordprocessingShape">
                  <wps:wsp>
                    <wps:cNvSpPr txBox="1"/>
                    <wps:spPr>
                      <a:xfrm>
                        <a:off x="0" y="0"/>
                        <a:ext cx="3300730" cy="94615"/>
                      </a:xfrm>
                      <a:prstGeom prst="rect">
                        <a:avLst/>
                      </a:prstGeom>
                      <a:noFill/>
                    </wps:spPr>
                    <wps:txbx>
                      <w:txbxContent>
                        <w:p w14:paraId="629146F8"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wps:txbx>
                    <wps:bodyPr lIns="0" tIns="0" rIns="0" bIns="0">
                      <a:spAutoFit/>
                    </wps:bodyPr>
                  </wps:wsp>
                </a:graphicData>
              </a:graphic>
            </wp:anchor>
          </w:drawing>
        </mc:Choice>
        <mc:Fallback>
          <w:pict>
            <v:shapetype w14:anchorId="4BDE351A" id="_x0000_t202" coordsize="21600,21600" o:spt="202" path="m,l,21600r21600,l21600,xe">
              <v:stroke joinstyle="miter"/>
              <v:path gradientshapeok="t" o:connecttype="rect"/>
            </v:shapetype>
            <v:shape id="Shape 964" o:spid="_x0000_s1200" type="#_x0000_t202" style="position:absolute;margin-left:124pt;margin-top:22.8pt;width:259.9pt;height:7.45pt;z-index:-2512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" filled="f" stroked="f">
              <v:textbox style="mso-fit-shape-to-text:t" inset="0,0,0,0">
                <w:txbxContent>
                  <w:p w14:paraId="629146F8"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v:textbox>
              <w10:wrap anchorx="page" anchory="page"/>
            </v:shape>
          </w:pict>
        </mc:Fallback>
      </mc:AlternateContent>
    </w:r>
    <w:r>
      <w:rPr>
        <w:noProof/>
      </w:rPr>
      <mc:AlternateContent>
        <mc:Choice Requires="wps">
          <w:drawing>
            <wp:anchor distT="0" distB="0" distL="114300" distR="114300" simplePos="0" relativeHeight="251814912" behindDoc="1" locked="0" layoutInCell="1" allowOverlap="1" wp14:anchorId="18110BD2" wp14:editId="60FF3A46">
              <wp:simplePos x="0" y="0"/>
              <wp:positionH relativeFrom="page">
                <wp:posOffset>553720</wp:posOffset>
              </wp:positionH>
              <wp:positionV relativeFrom="page">
                <wp:posOffset>412750</wp:posOffset>
              </wp:positionV>
              <wp:extent cx="4358640" cy="0"/>
              <wp:effectExtent l="0" t="0" r="0" b="0"/>
              <wp:wrapNone/>
              <wp:docPr id="966" name="Shape 9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E33BE04" id="_x0000_t32" coordsize="21600,21600" o:spt="32" o:oned="t" path="m,l21600,21600e" filled="f">
              <v:path arrowok="t" fillok="f" o:connecttype="none"/>
              <o:lock v:ext="edit" shapetype="t"/>
            </v:shapetype>
            <v:shape id="Shape 966" o:spid="_x0000_s1026" type="#_x0000_t32" style="position:absolute;margin-left:43.6pt;margin-top:32.5pt;width:343.2pt;height:0;z-index:-251501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HGB&#10;uFbaAAAACAEAAA8AAAAAAAAAAAAAAAAAwgMAAGRycy9kb3ducmV2LnhtbFBLBQYAAAAABAAEAPMA&#10;AADJBAAAAAA=&#10;" strokeweight="1pt">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9D07" w14:textId="77777777" w:rsidR="00093A32" w:rsidRDefault="00093A32">
    <w:pPr>
      <w:spacing w:line="1" w:lineRule="exact"/>
    </w:pPr>
    <w:r>
      <w:rPr>
        <w:noProof/>
      </w:rPr>
      <mc:AlternateContent>
        <mc:Choice Requires="wps">
          <w:drawing>
            <wp:anchor distT="0" distB="0" distL="0" distR="0" simplePos="0" relativeHeight="252057600" behindDoc="1" locked="0" layoutInCell="1" allowOverlap="1" wp14:anchorId="3A6B781B" wp14:editId="47EB7422">
              <wp:simplePos x="0" y="0"/>
              <wp:positionH relativeFrom="page">
                <wp:posOffset>556895</wp:posOffset>
              </wp:positionH>
              <wp:positionV relativeFrom="page">
                <wp:posOffset>289560</wp:posOffset>
              </wp:positionV>
              <wp:extent cx="3157855" cy="94615"/>
              <wp:effectExtent l="0" t="0" r="0" b="0"/>
              <wp:wrapNone/>
              <wp:docPr id="970" name="Shape 970"/>
              <wp:cNvGraphicFramePr/>
              <a:graphic xmlns:a="http://schemas.openxmlformats.org/drawingml/2006/main">
                <a:graphicData uri="http://schemas.microsoft.com/office/word/2010/wordprocessingShape">
                  <wps:wsp>
                    <wps:cNvSpPr txBox="1"/>
                    <wps:spPr>
                      <a:xfrm>
                        <a:off x="0" y="0"/>
                        <a:ext cx="3157855" cy="94615"/>
                      </a:xfrm>
                      <a:prstGeom prst="rect">
                        <a:avLst/>
                      </a:prstGeom>
                      <a:noFill/>
                    </wps:spPr>
                    <wps:txbx>
                      <w:txbxContent>
                        <w:p w14:paraId="4C1D9ADC" w14:textId="77777777" w:rsidR="00093A32" w:rsidRDefault="00093A32">
                          <w:pPr>
                            <w:pStyle w:val="Headerorfooter0"/>
                            <w:tabs>
                              <w:tab w:val="right" w:pos="4973"/>
                            </w:tabs>
                          </w:pPr>
                          <w:r>
                            <w:rPr>
                              <w:sz w:val="16"/>
                              <w:szCs w:val="16"/>
                            </w:rPr>
                            <w:t>370</w:t>
                          </w:r>
                          <w:r>
                            <w:rPr>
                              <w:sz w:val="16"/>
                              <w:szCs w:val="16"/>
                            </w:rPr>
                            <w:tab/>
                          </w:r>
                          <w:r>
                            <w:t>HEMORRÁGICAS, FIEBRES, POR ARENAVIRUS</w:t>
                          </w:r>
                        </w:p>
                      </w:txbxContent>
                    </wps:txbx>
                    <wps:bodyPr lIns="0" tIns="0" rIns="0" bIns="0">
                      <a:spAutoFit/>
                    </wps:bodyPr>
                  </wps:wsp>
                </a:graphicData>
              </a:graphic>
            </wp:anchor>
          </w:drawing>
        </mc:Choice>
        <mc:Fallback>
          <w:pict>
            <v:shapetype w14:anchorId="3A6B781B" id="_x0000_t202" coordsize="21600,21600" o:spt="202" path="m,l,21600r21600,l21600,xe">
              <v:stroke joinstyle="miter"/>
              <v:path gradientshapeok="t" o:connecttype="rect"/>
            </v:shapetype>
            <v:shape id="Shape 970" o:spid="_x0000_s1201" type="#_x0000_t202" style="position:absolute;margin-left:43.85pt;margin-top:22.8pt;width:248.65pt;height:7.45pt;z-index:-2512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" filled="f" stroked="f">
              <v:textbox style="mso-fit-shape-to-text:t" inset="0,0,0,0">
                <w:txbxContent>
                  <w:p w14:paraId="4C1D9ADC" w14:textId="77777777" w:rsidR="00093A32" w:rsidRDefault="00093A32">
                    <w:pPr>
                      <w:pStyle w:val="Headerorfooter0"/>
                      <w:tabs>
                        <w:tab w:val="right" w:pos="4973"/>
                      </w:tabs>
                    </w:pPr>
                    <w:r>
                      <w:rPr>
                        <w:sz w:val="16"/>
                        <w:szCs w:val="16"/>
                      </w:rPr>
                      <w:t>370</w:t>
                    </w:r>
                    <w:r>
                      <w:rPr>
                        <w:sz w:val="16"/>
                        <w:szCs w:val="16"/>
                      </w:rPr>
                      <w:tab/>
                    </w:r>
                    <w:r>
                      <w:t>HEMORRÁGICAS, FIEBRES, POR ARENAVIRUS</w:t>
                    </w:r>
                  </w:p>
                </w:txbxContent>
              </v:textbox>
              <w10:wrap anchorx="page" anchory="page"/>
            </v:shape>
          </w:pict>
        </mc:Fallback>
      </mc:AlternateContent>
    </w:r>
    <w:r>
      <w:rPr>
        <w:noProof/>
      </w:rPr>
      <mc:AlternateContent>
        <mc:Choice Requires="wps">
          <w:drawing>
            <wp:anchor distT="0" distB="0" distL="114300" distR="114300" simplePos="0" relativeHeight="251816960" behindDoc="1" locked="0" layoutInCell="1" allowOverlap="1" wp14:anchorId="2ED30B67" wp14:editId="71693A18">
              <wp:simplePos x="0" y="0"/>
              <wp:positionH relativeFrom="page">
                <wp:posOffset>541655</wp:posOffset>
              </wp:positionH>
              <wp:positionV relativeFrom="page">
                <wp:posOffset>412750</wp:posOffset>
              </wp:positionV>
              <wp:extent cx="4358640" cy="0"/>
              <wp:effectExtent l="0" t="0" r="0" b="0"/>
              <wp:wrapNone/>
              <wp:docPr id="972" name="Shape 9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E09B355" id="_x0000_t32" coordsize="21600,21600" o:spt="32" o:oned="t" path="m,l21600,21600e" filled="f">
              <v:path arrowok="t" fillok="f" o:connecttype="none"/>
              <o:lock v:ext="edit" shapetype="t"/>
            </v:shapetype>
            <v:shape id="Shape 972" o:spid="_x0000_s1026" type="#_x0000_t32" style="position:absolute;margin-left:42.65pt;margin-top:32.5pt;width:343.2pt;height:0;z-index:-251499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EO&#10;Ko3aAAAACAEAAA8AAAAAAAAAAAAAAAAAwgMAAGRycy9kb3ducmV2LnhtbFBLBQYAAAAABAAEAPMA&#10;AADJBAAAAAA=&#10;" strokeweight="1pt">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51A8" w14:textId="77777777" w:rsidR="00093A32" w:rsidRDefault="00093A32">
    <w:pPr>
      <w:spacing w:line="1" w:lineRule="exact"/>
    </w:pPr>
    <w:r>
      <w:rPr>
        <w:noProof/>
      </w:rPr>
      <mc:AlternateContent>
        <mc:Choice Requires="wps">
          <w:drawing>
            <wp:anchor distT="0" distB="0" distL="0" distR="0" simplePos="0" relativeHeight="252059648" behindDoc="1" locked="0" layoutInCell="1" allowOverlap="1" wp14:anchorId="6CE69617" wp14:editId="6518D56F">
              <wp:simplePos x="0" y="0"/>
              <wp:positionH relativeFrom="page">
                <wp:posOffset>1574800</wp:posOffset>
              </wp:positionH>
              <wp:positionV relativeFrom="page">
                <wp:posOffset>289560</wp:posOffset>
              </wp:positionV>
              <wp:extent cx="3300730" cy="94615"/>
              <wp:effectExtent l="0" t="0" r="0" b="0"/>
              <wp:wrapNone/>
              <wp:docPr id="976" name="Shape 976"/>
              <wp:cNvGraphicFramePr/>
              <a:graphic xmlns:a="http://schemas.openxmlformats.org/drawingml/2006/main">
                <a:graphicData uri="http://schemas.microsoft.com/office/word/2010/wordprocessingShape">
                  <wps:wsp>
                    <wps:cNvSpPr txBox="1"/>
                    <wps:spPr>
                      <a:xfrm>
                        <a:off x="0" y="0"/>
                        <a:ext cx="3300730" cy="94615"/>
                      </a:xfrm>
                      <a:prstGeom prst="rect">
                        <a:avLst/>
                      </a:prstGeom>
                      <a:noFill/>
                    </wps:spPr>
                    <wps:txbx>
                      <w:txbxContent>
                        <w:p w14:paraId="4D518FAA"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wps:txbx>
                    <wps:bodyPr lIns="0" tIns="0" rIns="0" bIns="0">
                      <a:spAutoFit/>
                    </wps:bodyPr>
                  </wps:wsp>
                </a:graphicData>
              </a:graphic>
            </wp:anchor>
          </w:drawing>
        </mc:Choice>
        <mc:Fallback>
          <w:pict>
            <v:shapetype w14:anchorId="6CE69617" id="_x0000_t202" coordsize="21600,21600" o:spt="202" path="m,l,21600r21600,l21600,xe">
              <v:stroke joinstyle="miter"/>
              <v:path gradientshapeok="t" o:connecttype="rect"/>
            </v:shapetype>
            <v:shape id="Shape 976" o:spid="_x0000_s1202" type="#_x0000_t202" style="position:absolute;margin-left:124pt;margin-top:22.8pt;width:259.9pt;height:7.45pt;z-index:-2512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" filled="f" stroked="f">
              <v:textbox style="mso-fit-shape-to-text:t" inset="0,0,0,0">
                <w:txbxContent>
                  <w:p w14:paraId="4D518FAA"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v:textbox>
              <w10:wrap anchorx="page" anchory="page"/>
            </v:shape>
          </w:pict>
        </mc:Fallback>
      </mc:AlternateContent>
    </w:r>
    <w:r>
      <w:rPr>
        <w:noProof/>
      </w:rPr>
      <mc:AlternateContent>
        <mc:Choice Requires="wps">
          <w:drawing>
            <wp:anchor distT="0" distB="0" distL="114300" distR="114300" simplePos="0" relativeHeight="251819008" behindDoc="1" locked="0" layoutInCell="1" allowOverlap="1" wp14:anchorId="04C0DE84" wp14:editId="76252399">
              <wp:simplePos x="0" y="0"/>
              <wp:positionH relativeFrom="page">
                <wp:posOffset>553720</wp:posOffset>
              </wp:positionH>
              <wp:positionV relativeFrom="page">
                <wp:posOffset>412750</wp:posOffset>
              </wp:positionV>
              <wp:extent cx="4358640" cy="0"/>
              <wp:effectExtent l="0" t="0" r="0" b="0"/>
              <wp:wrapNone/>
              <wp:docPr id="978" name="Shape 9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3B1523F" id="_x0000_t32" coordsize="21600,21600" o:spt="32" o:oned="t" path="m,l21600,21600e" filled="f">
              <v:path arrowok="t" fillok="f" o:connecttype="none"/>
              <o:lock v:ext="edit" shapetype="t"/>
            </v:shapetype>
            <v:shape id="Shape 978" o:spid="_x0000_s1026" type="#_x0000_t32" style="position:absolute;margin-left:43.6pt;margin-top:32.5pt;width:343.2pt;height:0;z-index:-251497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HGB&#10;uFbaAAAACAEAAA8AAAAAAAAAAAAAAAAAwgMAAGRycy9kb3ducmV2LnhtbFBLBQYAAAAABAAEAPMA&#10;AADJBAAAAAA=&#10;" strokeweight="1pt">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F321" w14:textId="77777777" w:rsidR="00093A32" w:rsidRDefault="00093A32">
    <w:pPr>
      <w:spacing w:line="1" w:lineRule="exact"/>
    </w:pPr>
    <w:r>
      <w:rPr>
        <w:noProof/>
      </w:rPr>
      <mc:AlternateContent>
        <mc:Choice Requires="wps">
          <w:drawing>
            <wp:anchor distT="0" distB="0" distL="0" distR="0" simplePos="0" relativeHeight="252058624" behindDoc="1" locked="0" layoutInCell="1" allowOverlap="1" wp14:anchorId="09D3A6E3" wp14:editId="17B60126">
              <wp:simplePos x="0" y="0"/>
              <wp:positionH relativeFrom="page">
                <wp:posOffset>1574800</wp:posOffset>
              </wp:positionH>
              <wp:positionV relativeFrom="page">
                <wp:posOffset>289560</wp:posOffset>
              </wp:positionV>
              <wp:extent cx="3300730" cy="94615"/>
              <wp:effectExtent l="0" t="0" r="0" b="0"/>
              <wp:wrapNone/>
              <wp:docPr id="973" name="Shape 973"/>
              <wp:cNvGraphicFramePr/>
              <a:graphic xmlns:a="http://schemas.openxmlformats.org/drawingml/2006/main">
                <a:graphicData uri="http://schemas.microsoft.com/office/word/2010/wordprocessingShape">
                  <wps:wsp>
                    <wps:cNvSpPr txBox="1"/>
                    <wps:spPr>
                      <a:xfrm>
                        <a:off x="0" y="0"/>
                        <a:ext cx="3300730" cy="94615"/>
                      </a:xfrm>
                      <a:prstGeom prst="rect">
                        <a:avLst/>
                      </a:prstGeom>
                      <a:noFill/>
                    </wps:spPr>
                    <wps:txbx>
                      <w:txbxContent>
                        <w:p w14:paraId="45EFA264"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wps:txbx>
                    <wps:bodyPr lIns="0" tIns="0" rIns="0" bIns="0">
                      <a:spAutoFit/>
                    </wps:bodyPr>
                  </wps:wsp>
                </a:graphicData>
              </a:graphic>
            </wp:anchor>
          </w:drawing>
        </mc:Choice>
        <mc:Fallback>
          <w:pict>
            <v:shapetype w14:anchorId="09D3A6E3" id="_x0000_t202" coordsize="21600,21600" o:spt="202" path="m,l,21600r21600,l21600,xe">
              <v:stroke joinstyle="miter"/>
              <v:path gradientshapeok="t" o:connecttype="rect"/>
            </v:shapetype>
            <v:shape id="Shape 973" o:spid="_x0000_s1203" type="#_x0000_t202" style="position:absolute;margin-left:124pt;margin-top:22.8pt;width:259.9pt;height:7.45pt;z-index:-2512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" filled="f" stroked="f">
              <v:textbox style="mso-fit-shape-to-text:t" inset="0,0,0,0">
                <w:txbxContent>
                  <w:p w14:paraId="45EFA264" w14:textId="77777777" w:rsidR="00093A32" w:rsidRDefault="00093A32">
                    <w:pPr>
                      <w:pStyle w:val="Headerorfooter0"/>
                      <w:tabs>
                        <w:tab w:val="right" w:pos="5198"/>
                      </w:tabs>
                      <w:rPr>
                        <w:sz w:val="16"/>
                        <w:szCs w:val="16"/>
                      </w:rPr>
                    </w:pPr>
                    <w:r>
                      <w:t>HEMORRÁGICAS, FIEBRES, Y SÍNDROMES SIMILARES</w:t>
                    </w:r>
                    <w:r>
                      <w:tab/>
                    </w:r>
                    <w:r>
                      <w:rPr>
                        <w:sz w:val="16"/>
                        <w:szCs w:val="16"/>
                      </w:rPr>
                      <w:t>371</w:t>
                    </w:r>
                  </w:p>
                </w:txbxContent>
              </v:textbox>
              <w10:wrap anchorx="page" anchory="page"/>
            </v:shape>
          </w:pict>
        </mc:Fallback>
      </mc:AlternateContent>
    </w:r>
    <w:r>
      <w:rPr>
        <w:noProof/>
      </w:rPr>
      <mc:AlternateContent>
        <mc:Choice Requires="wps">
          <w:drawing>
            <wp:anchor distT="0" distB="0" distL="114300" distR="114300" simplePos="0" relativeHeight="251817984" behindDoc="1" locked="0" layoutInCell="1" allowOverlap="1" wp14:anchorId="3C56C880" wp14:editId="6856AB18">
              <wp:simplePos x="0" y="0"/>
              <wp:positionH relativeFrom="page">
                <wp:posOffset>553720</wp:posOffset>
              </wp:positionH>
              <wp:positionV relativeFrom="page">
                <wp:posOffset>412750</wp:posOffset>
              </wp:positionV>
              <wp:extent cx="4358640" cy="0"/>
              <wp:effectExtent l="0" t="0" r="0" b="0"/>
              <wp:wrapNone/>
              <wp:docPr id="975" name="Shape 9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918399" id="_x0000_t32" coordsize="21600,21600" o:spt="32" o:oned="t" path="m,l21600,21600e" filled="f">
              <v:path arrowok="t" fillok="f" o:connecttype="none"/>
              <o:lock v:ext="edit" shapetype="t"/>
            </v:shapetype>
            <v:shape id="Shape 975" o:spid="_x0000_s1026" type="#_x0000_t32" style="position:absolute;margin-left:43.6pt;margin-top:32.5pt;width:343.2pt;height:0;z-index:-251498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HGB&#10;uFbaAAAACAEAAA8AAAAAAAAAAAAAAAAAwgMAAGRycy9kb3ducmV2LnhtbFBLBQYAAAAABAAEAPMA&#10;AADJBAAAAAA=&#10;" strokeweight="1pt">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CD39" w14:textId="77777777" w:rsidR="00093A32" w:rsidRDefault="00093A32">
    <w:pPr>
      <w:spacing w:line="1" w:lineRule="exact"/>
    </w:pPr>
    <w:r>
      <w:rPr>
        <w:noProof/>
      </w:rPr>
      <mc:AlternateContent>
        <mc:Choice Requires="wps">
          <w:drawing>
            <wp:anchor distT="0" distB="0" distL="0" distR="0" simplePos="0" relativeHeight="252060672" behindDoc="1" locked="0" layoutInCell="1" allowOverlap="1" wp14:anchorId="5FEE9454" wp14:editId="5EBD47D6">
              <wp:simplePos x="0" y="0"/>
              <wp:positionH relativeFrom="page">
                <wp:posOffset>553720</wp:posOffset>
              </wp:positionH>
              <wp:positionV relativeFrom="page">
                <wp:posOffset>289560</wp:posOffset>
              </wp:positionV>
              <wp:extent cx="3322320" cy="94615"/>
              <wp:effectExtent l="0" t="0" r="0" b="0"/>
              <wp:wrapNone/>
              <wp:docPr id="979" name="Shape 979"/>
              <wp:cNvGraphicFramePr/>
              <a:graphic xmlns:a="http://schemas.openxmlformats.org/drawingml/2006/main">
                <a:graphicData uri="http://schemas.microsoft.com/office/word/2010/wordprocessingShape">
                  <wps:wsp>
                    <wps:cNvSpPr txBox="1"/>
                    <wps:spPr>
                      <a:xfrm>
                        <a:off x="0" y="0"/>
                        <a:ext cx="3322320" cy="94615"/>
                      </a:xfrm>
                      <a:prstGeom prst="rect">
                        <a:avLst/>
                      </a:prstGeom>
                      <a:noFill/>
                    </wps:spPr>
                    <wps:txbx>
                      <w:txbxContent>
                        <w:p w14:paraId="4780759F" w14:textId="77777777" w:rsidR="00093A32" w:rsidRDefault="00093A32">
                          <w:pPr>
                            <w:pStyle w:val="Headerorfooter0"/>
                            <w:tabs>
                              <w:tab w:val="right" w:pos="5232"/>
                            </w:tabs>
                          </w:pPr>
                          <w:r>
                            <w:rPr>
                              <w:sz w:val="16"/>
                              <w:szCs w:val="16"/>
                            </w:rPr>
                            <w:t>372</w:t>
                          </w:r>
                          <w:r>
                            <w:rPr>
                              <w:sz w:val="16"/>
                              <w:szCs w:val="16"/>
                            </w:rPr>
                            <w:tab/>
                          </w:r>
                          <w:r>
                            <w:t>HEMORRÁGICAS, FIEBRES, Y SÍNDROMES SIMILARES</w:t>
                          </w:r>
                        </w:p>
                      </w:txbxContent>
                    </wps:txbx>
                    <wps:bodyPr lIns="0" tIns="0" rIns="0" bIns="0">
                      <a:spAutoFit/>
                    </wps:bodyPr>
                  </wps:wsp>
                </a:graphicData>
              </a:graphic>
            </wp:anchor>
          </w:drawing>
        </mc:Choice>
        <mc:Fallback>
          <w:pict>
            <v:shapetype w14:anchorId="5FEE9454" id="_x0000_t202" coordsize="21600,21600" o:spt="202" path="m,l,21600r21600,l21600,xe">
              <v:stroke joinstyle="miter"/>
              <v:path gradientshapeok="t" o:connecttype="rect"/>
            </v:shapetype>
            <v:shape id="Shape 979" o:spid="_x0000_s1204" type="#_x0000_t202" style="position:absolute;margin-left:43.6pt;margin-top:22.8pt;width:261.6pt;height:7.45pt;z-index:-2512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" filled="f" stroked="f">
              <v:textbox style="mso-fit-shape-to-text:t" inset="0,0,0,0">
                <w:txbxContent>
                  <w:p w14:paraId="4780759F" w14:textId="77777777" w:rsidR="00093A32" w:rsidRDefault="00093A32">
                    <w:pPr>
                      <w:pStyle w:val="Headerorfooter0"/>
                      <w:tabs>
                        <w:tab w:val="right" w:pos="5232"/>
                      </w:tabs>
                    </w:pPr>
                    <w:r>
                      <w:rPr>
                        <w:sz w:val="16"/>
                        <w:szCs w:val="16"/>
                      </w:rPr>
                      <w:t>372</w:t>
                    </w:r>
                    <w:r>
                      <w:rPr>
                        <w:sz w:val="16"/>
                        <w:szCs w:val="16"/>
                      </w:rPr>
                      <w:tab/>
                    </w:r>
                    <w:r>
                      <w:t>HEMORRÁGICAS, FIEBRES, Y SÍNDROMES SIMILARES</w:t>
                    </w:r>
                  </w:p>
                </w:txbxContent>
              </v:textbox>
              <w10:wrap anchorx="page" anchory="page"/>
            </v:shape>
          </w:pict>
        </mc:Fallback>
      </mc:AlternateContent>
    </w:r>
    <w:r>
      <w:rPr>
        <w:noProof/>
      </w:rPr>
      <mc:AlternateContent>
        <mc:Choice Requires="wps">
          <w:drawing>
            <wp:anchor distT="0" distB="0" distL="114300" distR="114300" simplePos="0" relativeHeight="251820032" behindDoc="1" locked="0" layoutInCell="1" allowOverlap="1" wp14:anchorId="1E79B71C" wp14:editId="3E7262E5">
              <wp:simplePos x="0" y="0"/>
              <wp:positionH relativeFrom="page">
                <wp:posOffset>538480</wp:posOffset>
              </wp:positionH>
              <wp:positionV relativeFrom="page">
                <wp:posOffset>412750</wp:posOffset>
              </wp:positionV>
              <wp:extent cx="4358640" cy="0"/>
              <wp:effectExtent l="0" t="0" r="0" b="0"/>
              <wp:wrapNone/>
              <wp:docPr id="981" name="Shape 9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6ECC408" id="_x0000_t32" coordsize="21600,21600" o:spt="32" o:oned="t" path="m,l21600,21600e" filled="f">
              <v:path arrowok="t" fillok="f" o:connecttype="none"/>
              <o:lock v:ext="edit" shapetype="t"/>
            </v:shapetype>
            <v:shape id="Shape 981" o:spid="_x0000_s1026" type="#_x0000_t32" style="position:absolute;margin-left:42.4pt;margin-top:32.5pt;width:343.2pt;height:0;z-index:-251496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A7b&#10;OdXaAAAACAEAAA8AAAAAAAAAAAAAAAAAwgMAAGRycy9kb3ducmV2LnhtbFBLBQYAAAAABAAEAPMA&#10;AADJBAAAAAA=&#10;" strokeweight="1pt">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BE23" w14:textId="77777777" w:rsidR="00093A32" w:rsidRDefault="00093A32">
    <w:pPr>
      <w:spacing w:line="1" w:lineRule="exact"/>
    </w:pPr>
    <w:r>
      <w:rPr>
        <w:noProof/>
      </w:rPr>
      <mc:AlternateContent>
        <mc:Choice Requires="wps">
          <w:drawing>
            <wp:anchor distT="0" distB="0" distL="0" distR="0" simplePos="0" relativeHeight="252062720" behindDoc="1" locked="0" layoutInCell="1" allowOverlap="1" wp14:anchorId="4548CE19" wp14:editId="151765EF">
              <wp:simplePos x="0" y="0"/>
              <wp:positionH relativeFrom="page">
                <wp:posOffset>558800</wp:posOffset>
              </wp:positionH>
              <wp:positionV relativeFrom="page">
                <wp:posOffset>313690</wp:posOffset>
              </wp:positionV>
              <wp:extent cx="2423160" cy="69850"/>
              <wp:effectExtent l="0" t="0" r="0" b="0"/>
              <wp:wrapNone/>
              <wp:docPr id="985" name="Shape 985"/>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2DEEA0CB" w14:textId="77777777" w:rsidR="00093A32" w:rsidRDefault="00093A32">
                          <w:pPr>
                            <w:pStyle w:val="Headerorfooter0"/>
                            <w:tabs>
                              <w:tab w:val="right" w:pos="3816"/>
                            </w:tabs>
                          </w:pPr>
                          <w:r>
                            <w:rPr>
                              <w:sz w:val="16"/>
                              <w:szCs w:val="16"/>
                            </w:rPr>
                            <w:t>374</w:t>
                          </w:r>
                          <w:r>
                            <w:rPr>
                              <w:sz w:val="16"/>
                              <w:szCs w:val="16"/>
                            </w:rPr>
                            <w:tab/>
                          </w:r>
                          <w:r>
                            <w:t>HEPATITIS A</w:t>
                          </w:r>
                        </w:p>
                      </w:txbxContent>
                    </wps:txbx>
                    <wps:bodyPr lIns="0" tIns="0" rIns="0" bIns="0">
                      <a:spAutoFit/>
                    </wps:bodyPr>
                  </wps:wsp>
                </a:graphicData>
              </a:graphic>
            </wp:anchor>
          </w:drawing>
        </mc:Choice>
        <mc:Fallback>
          <w:pict>
            <v:shapetype w14:anchorId="4548CE19" id="_x0000_t202" coordsize="21600,21600" o:spt="202" path="m,l,21600r21600,l21600,xe">
              <v:stroke joinstyle="miter"/>
              <v:path gradientshapeok="t" o:connecttype="rect"/>
            </v:shapetype>
            <v:shape id="Shape 985" o:spid="_x0000_s1205" type="#_x0000_t202" style="position:absolute;margin-left:44pt;margin-top:24.7pt;width:190.8pt;height:5.5pt;z-index:-2512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" filled="f" stroked="f">
              <v:textbox style="mso-fit-shape-to-text:t" inset="0,0,0,0">
                <w:txbxContent>
                  <w:p w14:paraId="2DEEA0CB" w14:textId="77777777" w:rsidR="00093A32" w:rsidRDefault="00093A32">
                    <w:pPr>
                      <w:pStyle w:val="Headerorfooter0"/>
                      <w:tabs>
                        <w:tab w:val="right" w:pos="3816"/>
                      </w:tabs>
                    </w:pPr>
                    <w:r>
                      <w:rPr>
                        <w:sz w:val="16"/>
                        <w:szCs w:val="16"/>
                      </w:rPr>
                      <w:t>374</w:t>
                    </w:r>
                    <w:r>
                      <w:rPr>
                        <w:sz w:val="16"/>
                        <w:szCs w:val="16"/>
                      </w:rPr>
                      <w:tab/>
                    </w:r>
                    <w:r>
                      <w:t>HEPATITIS A</w:t>
                    </w:r>
                  </w:p>
                </w:txbxContent>
              </v:textbox>
              <w10:wrap anchorx="page" anchory="page"/>
            </v:shape>
          </w:pict>
        </mc:Fallback>
      </mc:AlternateContent>
    </w:r>
    <w:r>
      <w:rPr>
        <w:noProof/>
      </w:rPr>
      <mc:AlternateContent>
        <mc:Choice Requires="wps">
          <w:drawing>
            <wp:anchor distT="0" distB="0" distL="114300" distR="114300" simplePos="0" relativeHeight="251822080" behindDoc="1" locked="0" layoutInCell="1" allowOverlap="1" wp14:anchorId="3DAE34ED" wp14:editId="5F313D4A">
              <wp:simplePos x="0" y="0"/>
              <wp:positionH relativeFrom="page">
                <wp:posOffset>543560</wp:posOffset>
              </wp:positionH>
              <wp:positionV relativeFrom="page">
                <wp:posOffset>422275</wp:posOffset>
              </wp:positionV>
              <wp:extent cx="4358640" cy="0"/>
              <wp:effectExtent l="0" t="0" r="0" b="0"/>
              <wp:wrapNone/>
              <wp:docPr id="987" name="Shape 9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EBBCD9B" id="_x0000_t32" coordsize="21600,21600" o:spt="32" o:oned="t" path="m,l21600,21600e" filled="f">
              <v:path arrowok="t" fillok="f" o:connecttype="none"/>
              <o:lock v:ext="edit" shapetype="t"/>
            </v:shapetype>
            <v:shape id="Shape 987" o:spid="_x0000_s1026" type="#_x0000_t32" style="position:absolute;margin-left:42.8pt;margin-top:33.25pt;width:343.2pt;height:0;z-index:-251494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Ojl&#10;y7naAAAACAEAAA8AAAAAAAAAAAAAAAAAwgMAAGRycy9kb3ducmV2LnhtbFBLBQYAAAAABAAEAPMA&#10;AADJBAAAAAA=&#10;" strokeweight="1pt">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555C" w14:textId="77777777" w:rsidR="00093A32" w:rsidRDefault="00093A32">
    <w:pPr>
      <w:spacing w:line="1" w:lineRule="exact"/>
    </w:pPr>
    <w:r>
      <w:rPr>
        <w:noProof/>
      </w:rPr>
      <mc:AlternateContent>
        <mc:Choice Requires="wps">
          <w:drawing>
            <wp:anchor distT="0" distB="0" distL="0" distR="0" simplePos="0" relativeHeight="252061696" behindDoc="1" locked="0" layoutInCell="1" allowOverlap="1" wp14:anchorId="7F092DE0" wp14:editId="1E31DD18">
              <wp:simplePos x="0" y="0"/>
              <wp:positionH relativeFrom="page">
                <wp:posOffset>558800</wp:posOffset>
              </wp:positionH>
              <wp:positionV relativeFrom="page">
                <wp:posOffset>313690</wp:posOffset>
              </wp:positionV>
              <wp:extent cx="2423160" cy="69850"/>
              <wp:effectExtent l="0" t="0" r="0" b="0"/>
              <wp:wrapNone/>
              <wp:docPr id="982" name="Shape 982"/>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7E78EC7E" w14:textId="77777777" w:rsidR="00093A32" w:rsidRDefault="00093A32">
                          <w:pPr>
                            <w:pStyle w:val="Headerorfooter0"/>
                            <w:tabs>
                              <w:tab w:val="right" w:pos="3816"/>
                            </w:tabs>
                          </w:pPr>
                          <w:r>
                            <w:rPr>
                              <w:sz w:val="16"/>
                              <w:szCs w:val="16"/>
                            </w:rPr>
                            <w:t>374</w:t>
                          </w:r>
                          <w:r>
                            <w:rPr>
                              <w:sz w:val="16"/>
                              <w:szCs w:val="16"/>
                            </w:rPr>
                            <w:tab/>
                          </w:r>
                          <w:r>
                            <w:t>HEPATITIS A</w:t>
                          </w:r>
                        </w:p>
                      </w:txbxContent>
                    </wps:txbx>
                    <wps:bodyPr lIns="0" tIns="0" rIns="0" bIns="0">
                      <a:spAutoFit/>
                    </wps:bodyPr>
                  </wps:wsp>
                </a:graphicData>
              </a:graphic>
            </wp:anchor>
          </w:drawing>
        </mc:Choice>
        <mc:Fallback>
          <w:pict>
            <v:shapetype w14:anchorId="7F092DE0" id="_x0000_t202" coordsize="21600,21600" o:spt="202" path="m,l,21600r21600,l21600,xe">
              <v:stroke joinstyle="miter"/>
              <v:path gradientshapeok="t" o:connecttype="rect"/>
            </v:shapetype>
            <v:shape id="Shape 982" o:spid="_x0000_s1206" type="#_x0000_t202" style="position:absolute;margin-left:44pt;margin-top:24.7pt;width:190.8pt;height:5.5pt;z-index:-2512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" filled="f" stroked="f">
              <v:textbox style="mso-fit-shape-to-text:t" inset="0,0,0,0">
                <w:txbxContent>
                  <w:p w14:paraId="7E78EC7E" w14:textId="77777777" w:rsidR="00093A32" w:rsidRDefault="00093A32">
                    <w:pPr>
                      <w:pStyle w:val="Headerorfooter0"/>
                      <w:tabs>
                        <w:tab w:val="right" w:pos="3816"/>
                      </w:tabs>
                    </w:pPr>
                    <w:r>
                      <w:rPr>
                        <w:sz w:val="16"/>
                        <w:szCs w:val="16"/>
                      </w:rPr>
                      <w:t>374</w:t>
                    </w:r>
                    <w:r>
                      <w:rPr>
                        <w:sz w:val="16"/>
                        <w:szCs w:val="16"/>
                      </w:rPr>
                      <w:tab/>
                    </w:r>
                    <w:r>
                      <w:t>HEPATITIS A</w:t>
                    </w:r>
                  </w:p>
                </w:txbxContent>
              </v:textbox>
              <w10:wrap anchorx="page" anchory="page"/>
            </v:shape>
          </w:pict>
        </mc:Fallback>
      </mc:AlternateContent>
    </w:r>
    <w:r>
      <w:rPr>
        <w:noProof/>
      </w:rPr>
      <mc:AlternateContent>
        <mc:Choice Requires="wps">
          <w:drawing>
            <wp:anchor distT="0" distB="0" distL="114300" distR="114300" simplePos="0" relativeHeight="251821056" behindDoc="1" locked="0" layoutInCell="1" allowOverlap="1" wp14:anchorId="79FB98CA" wp14:editId="44216AA1">
              <wp:simplePos x="0" y="0"/>
              <wp:positionH relativeFrom="page">
                <wp:posOffset>543560</wp:posOffset>
              </wp:positionH>
              <wp:positionV relativeFrom="page">
                <wp:posOffset>422275</wp:posOffset>
              </wp:positionV>
              <wp:extent cx="4358640" cy="0"/>
              <wp:effectExtent l="0" t="0" r="0" b="0"/>
              <wp:wrapNone/>
              <wp:docPr id="984" name="Shape 9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C9A3054" id="_x0000_t32" coordsize="21600,21600" o:spt="32" o:oned="t" path="m,l21600,21600e" filled="f">
              <v:path arrowok="t" fillok="f" o:connecttype="none"/>
              <o:lock v:ext="edit" shapetype="t"/>
            </v:shapetype>
            <v:shape id="Shape 984" o:spid="_x0000_s1026" type="#_x0000_t32" style="position:absolute;margin-left:42.8pt;margin-top:33.25pt;width:343.2pt;height:0;z-index:-251495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Ojl&#10;y7naAAAACAEAAA8AAAAAAAAAAAAAAAAAwgMAAGRycy9kb3ducmV2LnhtbFBLBQYAAAAABAAEAPMA&#10;AADJBAAAAAA=&#10;" strokeweight="1pt">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1BE1" w14:textId="77777777" w:rsidR="00093A32" w:rsidRDefault="00093A32">
    <w:pPr>
      <w:spacing w:line="1" w:lineRule="exact"/>
    </w:pPr>
    <w:r>
      <w:rPr>
        <w:noProof/>
      </w:rPr>
      <mc:AlternateContent>
        <mc:Choice Requires="wps">
          <w:drawing>
            <wp:anchor distT="0" distB="0" distL="0" distR="0" simplePos="0" relativeHeight="252064768" behindDoc="1" locked="0" layoutInCell="1" allowOverlap="1" wp14:anchorId="51047608" wp14:editId="3330FF0D">
              <wp:simplePos x="0" y="0"/>
              <wp:positionH relativeFrom="page">
                <wp:posOffset>558800</wp:posOffset>
              </wp:positionH>
              <wp:positionV relativeFrom="page">
                <wp:posOffset>313690</wp:posOffset>
              </wp:positionV>
              <wp:extent cx="2423160" cy="69850"/>
              <wp:effectExtent l="0" t="0" r="0" b="0"/>
              <wp:wrapNone/>
              <wp:docPr id="991" name="Shape 991"/>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5A1ABD64" w14:textId="77777777" w:rsidR="00093A32" w:rsidRDefault="00093A32">
                          <w:pPr>
                            <w:pStyle w:val="Headerorfooter0"/>
                            <w:tabs>
                              <w:tab w:val="right" w:pos="3816"/>
                            </w:tabs>
                          </w:pPr>
                          <w:r>
                            <w:rPr>
                              <w:sz w:val="16"/>
                              <w:szCs w:val="16"/>
                            </w:rPr>
                            <w:t>374</w:t>
                          </w:r>
                          <w:r>
                            <w:rPr>
                              <w:sz w:val="16"/>
                              <w:szCs w:val="16"/>
                            </w:rPr>
                            <w:tab/>
                          </w:r>
                          <w:r>
                            <w:t>HEPATITIS A</w:t>
                          </w:r>
                        </w:p>
                      </w:txbxContent>
                    </wps:txbx>
                    <wps:bodyPr lIns="0" tIns="0" rIns="0" bIns="0">
                      <a:spAutoFit/>
                    </wps:bodyPr>
                  </wps:wsp>
                </a:graphicData>
              </a:graphic>
            </wp:anchor>
          </w:drawing>
        </mc:Choice>
        <mc:Fallback>
          <w:pict>
            <v:shapetype w14:anchorId="51047608" id="_x0000_t202" coordsize="21600,21600" o:spt="202" path="m,l,21600r21600,l21600,xe">
              <v:stroke joinstyle="miter"/>
              <v:path gradientshapeok="t" o:connecttype="rect"/>
            </v:shapetype>
            <v:shape id="Shape 991" o:spid="_x0000_s1207" type="#_x0000_t202" style="position:absolute;margin-left:44pt;margin-top:24.7pt;width:190.8pt;height:5.5pt;z-index:-2512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mvNgAEAAPwCAAAOAAAAZHJzL2Uyb0RvYy54bWysUttOwzAMfUfiH6K8s24Dpl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" filled="f" stroked="f">
              <v:textbox style="mso-fit-shape-to-text:t" inset="0,0,0,0">
                <w:txbxContent>
                  <w:p w14:paraId="5A1ABD64" w14:textId="77777777" w:rsidR="00093A32" w:rsidRDefault="00093A32">
                    <w:pPr>
                      <w:pStyle w:val="Headerorfooter0"/>
                      <w:tabs>
                        <w:tab w:val="right" w:pos="3816"/>
                      </w:tabs>
                    </w:pPr>
                    <w:r>
                      <w:rPr>
                        <w:sz w:val="16"/>
                        <w:szCs w:val="16"/>
                      </w:rPr>
                      <w:t>374</w:t>
                    </w:r>
                    <w:r>
                      <w:rPr>
                        <w:sz w:val="16"/>
                        <w:szCs w:val="16"/>
                      </w:rPr>
                      <w:tab/>
                    </w:r>
                    <w:r>
                      <w:t>HEPATITIS A</w:t>
                    </w:r>
                  </w:p>
                </w:txbxContent>
              </v:textbox>
              <w10:wrap anchorx="page" anchory="page"/>
            </v:shape>
          </w:pict>
        </mc:Fallback>
      </mc:AlternateContent>
    </w:r>
    <w:r>
      <w:rPr>
        <w:noProof/>
      </w:rPr>
      <mc:AlternateContent>
        <mc:Choice Requires="wps">
          <w:drawing>
            <wp:anchor distT="0" distB="0" distL="114300" distR="114300" simplePos="0" relativeHeight="251824128" behindDoc="1" locked="0" layoutInCell="1" allowOverlap="1" wp14:anchorId="79B57002" wp14:editId="4096F835">
              <wp:simplePos x="0" y="0"/>
              <wp:positionH relativeFrom="page">
                <wp:posOffset>543560</wp:posOffset>
              </wp:positionH>
              <wp:positionV relativeFrom="page">
                <wp:posOffset>422275</wp:posOffset>
              </wp:positionV>
              <wp:extent cx="4358640" cy="0"/>
              <wp:effectExtent l="0" t="0" r="0" b="0"/>
              <wp:wrapNone/>
              <wp:docPr id="993" name="Shape 9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63316A" id="_x0000_t32" coordsize="21600,21600" o:spt="32" o:oned="t" path="m,l21600,21600e" filled="f">
              <v:path arrowok="t" fillok="f" o:connecttype="none"/>
              <o:lock v:ext="edit" shapetype="t"/>
            </v:shapetype>
            <v:shape id="Shape 993" o:spid="_x0000_s1026" type="#_x0000_t32" style="position:absolute;margin-left:42.8pt;margin-top:33.25pt;width:343.2pt;height:0;z-index:-251492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Ojl&#10;y7naAAAACAEAAA8AAAAAAAAAAAAAAAAAwgMAAGRycy9kb3ducmV2LnhtbFBLBQYAAAAABAAEAPMA&#10;AADJBAAAAAA=&#10;" strokeweight="1pt">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FA86" w14:textId="77777777" w:rsidR="00093A32" w:rsidRDefault="00093A32">
    <w:pPr>
      <w:spacing w:line="1" w:lineRule="exact"/>
    </w:pPr>
    <w:r>
      <w:rPr>
        <w:noProof/>
      </w:rPr>
      <mc:AlternateContent>
        <mc:Choice Requires="wps">
          <w:drawing>
            <wp:anchor distT="0" distB="0" distL="0" distR="0" simplePos="0" relativeHeight="252063744" behindDoc="1" locked="0" layoutInCell="1" allowOverlap="1" wp14:anchorId="7ABCF047" wp14:editId="3D5ACAA1">
              <wp:simplePos x="0" y="0"/>
              <wp:positionH relativeFrom="page">
                <wp:posOffset>2473960</wp:posOffset>
              </wp:positionH>
              <wp:positionV relativeFrom="page">
                <wp:posOffset>313690</wp:posOffset>
              </wp:positionV>
              <wp:extent cx="2414270" cy="69850"/>
              <wp:effectExtent l="0" t="0" r="0" b="0"/>
              <wp:wrapNone/>
              <wp:docPr id="988" name="Shape 988"/>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17D9F8A5" w14:textId="77777777" w:rsidR="00093A32" w:rsidRDefault="00093A32">
                          <w:pPr>
                            <w:pStyle w:val="Headerorfooter0"/>
                            <w:tabs>
                              <w:tab w:val="right" w:pos="3802"/>
                            </w:tabs>
                            <w:rPr>
                              <w:sz w:val="16"/>
                              <w:szCs w:val="16"/>
                            </w:rPr>
                          </w:pPr>
                          <w:r>
                            <w:t>HEPATITIS A</w:t>
                          </w:r>
                          <w:r>
                            <w:tab/>
                          </w:r>
                          <w:r>
                            <w:rPr>
                              <w:sz w:val="16"/>
                              <w:szCs w:val="16"/>
                            </w:rPr>
                            <w:t>375</w:t>
                          </w:r>
                        </w:p>
                      </w:txbxContent>
                    </wps:txbx>
                    <wps:bodyPr lIns="0" tIns="0" rIns="0" bIns="0">
                      <a:spAutoFit/>
                    </wps:bodyPr>
                  </wps:wsp>
                </a:graphicData>
              </a:graphic>
            </wp:anchor>
          </w:drawing>
        </mc:Choice>
        <mc:Fallback>
          <w:pict>
            <v:shapetype w14:anchorId="7ABCF047" id="_x0000_t202" coordsize="21600,21600" o:spt="202" path="m,l,21600r21600,l21600,xe">
              <v:stroke joinstyle="miter"/>
              <v:path gradientshapeok="t" o:connecttype="rect"/>
            </v:shapetype>
            <v:shape id="Shape 988" o:spid="_x0000_s1208" type="#_x0000_t202" style="position:absolute;margin-left:194.8pt;margin-top:24.7pt;width:190.1pt;height:5.5pt;z-index:-2512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" filled="f" stroked="f">
              <v:textbox style="mso-fit-shape-to-text:t" inset="0,0,0,0">
                <w:txbxContent>
                  <w:p w14:paraId="17D9F8A5" w14:textId="77777777" w:rsidR="00093A32" w:rsidRDefault="00093A32">
                    <w:pPr>
                      <w:pStyle w:val="Headerorfooter0"/>
                      <w:tabs>
                        <w:tab w:val="right" w:pos="3802"/>
                      </w:tabs>
                      <w:rPr>
                        <w:sz w:val="16"/>
                        <w:szCs w:val="16"/>
                      </w:rPr>
                    </w:pPr>
                    <w:r>
                      <w:t>HEPATITIS A</w:t>
                    </w:r>
                    <w:r>
                      <w:tab/>
                    </w:r>
                    <w:r>
                      <w:rPr>
                        <w:sz w:val="16"/>
                        <w:szCs w:val="16"/>
                      </w:rPr>
                      <w:t>375</w:t>
                    </w:r>
                  </w:p>
                </w:txbxContent>
              </v:textbox>
              <w10:wrap anchorx="page" anchory="page"/>
            </v:shape>
          </w:pict>
        </mc:Fallback>
      </mc:AlternateContent>
    </w:r>
    <w:r>
      <w:rPr>
        <w:noProof/>
      </w:rPr>
      <mc:AlternateContent>
        <mc:Choice Requires="wps">
          <w:drawing>
            <wp:anchor distT="0" distB="0" distL="114300" distR="114300" simplePos="0" relativeHeight="251823104" behindDoc="1" locked="0" layoutInCell="1" allowOverlap="1" wp14:anchorId="5F1C5F9F" wp14:editId="5E8D4E7F">
              <wp:simplePos x="0" y="0"/>
              <wp:positionH relativeFrom="page">
                <wp:posOffset>551180</wp:posOffset>
              </wp:positionH>
              <wp:positionV relativeFrom="page">
                <wp:posOffset>464185</wp:posOffset>
              </wp:positionV>
              <wp:extent cx="4358640" cy="0"/>
              <wp:effectExtent l="0" t="0" r="0" b="0"/>
              <wp:wrapNone/>
              <wp:docPr id="990" name="Shape 9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4F3DCD9" id="_x0000_t32" coordsize="21600,21600" o:spt="32" o:oned="t" path="m,l21600,21600e" filled="f">
              <v:path arrowok="t" fillok="f" o:connecttype="none"/>
              <o:lock v:ext="edit" shapetype="t"/>
            </v:shapetype>
            <v:shape id="Shape 990" o:spid="_x0000_s1026" type="#_x0000_t32" style="position:absolute;margin-left:43.4pt;margin-top:36.55pt;width:343.2pt;height:0;z-index:-251493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" strokeweight="1pt">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05EA" w14:textId="77777777" w:rsidR="00093A32" w:rsidRDefault="00093A32">
    <w:pPr>
      <w:spacing w:line="1" w:lineRule="exact"/>
    </w:pPr>
    <w:r>
      <w:rPr>
        <w:noProof/>
      </w:rPr>
      <mc:AlternateContent>
        <mc:Choice Requires="wps">
          <w:drawing>
            <wp:anchor distT="0" distB="0" distL="0" distR="0" simplePos="0" relativeHeight="252066816" behindDoc="1" locked="0" layoutInCell="1" allowOverlap="1" wp14:anchorId="6E094203" wp14:editId="74367229">
              <wp:simplePos x="0" y="0"/>
              <wp:positionH relativeFrom="page">
                <wp:posOffset>2460625</wp:posOffset>
              </wp:positionH>
              <wp:positionV relativeFrom="page">
                <wp:posOffset>313690</wp:posOffset>
              </wp:positionV>
              <wp:extent cx="2414270" cy="69850"/>
              <wp:effectExtent l="0" t="0" r="0" b="0"/>
              <wp:wrapNone/>
              <wp:docPr id="997" name="Shape 997"/>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364FB253" w14:textId="77777777" w:rsidR="00093A32" w:rsidRDefault="00093A32">
                          <w:pPr>
                            <w:pStyle w:val="Headerorfooter0"/>
                            <w:tabs>
                              <w:tab w:val="right" w:pos="3802"/>
                            </w:tabs>
                            <w:rPr>
                              <w:sz w:val="16"/>
                              <w:szCs w:val="16"/>
                            </w:rPr>
                          </w:pPr>
                          <w:r>
                            <w:t>HEPATITIS B</w:t>
                          </w:r>
                          <w:r>
                            <w:tab/>
                          </w:r>
                          <w:r>
                            <w:rPr>
                              <w:sz w:val="16"/>
                              <w:szCs w:val="16"/>
                            </w:rPr>
                            <w:t>383</w:t>
                          </w:r>
                        </w:p>
                      </w:txbxContent>
                    </wps:txbx>
                    <wps:bodyPr lIns="0" tIns="0" rIns="0" bIns="0">
                      <a:spAutoFit/>
                    </wps:bodyPr>
                  </wps:wsp>
                </a:graphicData>
              </a:graphic>
            </wp:anchor>
          </w:drawing>
        </mc:Choice>
        <mc:Fallback>
          <w:pict>
            <v:shapetype w14:anchorId="6E094203" id="_x0000_t202" coordsize="21600,21600" o:spt="202" path="m,l,21600r21600,l21600,xe">
              <v:stroke joinstyle="miter"/>
              <v:path gradientshapeok="t" o:connecttype="rect"/>
            </v:shapetype>
            <v:shape id="Shape 997" o:spid="_x0000_s1209" type="#_x0000_t202" style="position:absolute;margin-left:193.75pt;margin-top:24.7pt;width:190.1pt;height:5.5pt;z-index:-2512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" filled="f" stroked="f">
              <v:textbox style="mso-fit-shape-to-text:t" inset="0,0,0,0">
                <w:txbxContent>
                  <w:p w14:paraId="364FB253" w14:textId="77777777" w:rsidR="00093A32" w:rsidRDefault="00093A32">
                    <w:pPr>
                      <w:pStyle w:val="Headerorfooter0"/>
                      <w:tabs>
                        <w:tab w:val="right" w:pos="3802"/>
                      </w:tabs>
                      <w:rPr>
                        <w:sz w:val="16"/>
                        <w:szCs w:val="16"/>
                      </w:rPr>
                    </w:pPr>
                    <w:r>
                      <w:t>HEPATITIS B</w:t>
                    </w:r>
                    <w:r>
                      <w:tab/>
                    </w:r>
                    <w:r>
                      <w:rPr>
                        <w:sz w:val="16"/>
                        <w:szCs w:val="16"/>
                      </w:rPr>
                      <w:t>383</w:t>
                    </w:r>
                  </w:p>
                </w:txbxContent>
              </v:textbox>
              <w10:wrap anchorx="page" anchory="page"/>
            </v:shape>
          </w:pict>
        </mc:Fallback>
      </mc:AlternateContent>
    </w:r>
    <w:r>
      <w:rPr>
        <w:noProof/>
      </w:rPr>
      <mc:AlternateContent>
        <mc:Choice Requires="wps">
          <w:drawing>
            <wp:anchor distT="0" distB="0" distL="114300" distR="114300" simplePos="0" relativeHeight="251826176" behindDoc="1" locked="0" layoutInCell="1" allowOverlap="1" wp14:anchorId="67C67F82" wp14:editId="45169EBB">
              <wp:simplePos x="0" y="0"/>
              <wp:positionH relativeFrom="page">
                <wp:posOffset>537210</wp:posOffset>
              </wp:positionH>
              <wp:positionV relativeFrom="page">
                <wp:posOffset>422275</wp:posOffset>
              </wp:positionV>
              <wp:extent cx="4358640" cy="0"/>
              <wp:effectExtent l="0" t="0" r="0" b="0"/>
              <wp:wrapNone/>
              <wp:docPr id="999" name="Shape 9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40F8CA3" id="_x0000_t32" coordsize="21600,21600" o:spt="32" o:oned="t" path="m,l21600,21600e" filled="f">
              <v:path arrowok="t" fillok="f" o:connecttype="none"/>
              <o:lock v:ext="edit" shapetype="t"/>
            </v:shapetype>
            <v:shape id="Shape 999" o:spid="_x0000_s1026" type="#_x0000_t32" style="position:absolute;margin-left:42.3pt;margin-top:33.25pt;width:343.2pt;height:0;z-index:-251490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IPK&#10;gxjaAAAACAEAAA8AAAAAAAAAAAAAAAAAwgMAAGRycy9kb3ducmV2LnhtbFBLBQYAAAAABAAEAPMA&#10;AADJBAAAAAA=&#10;" strokeweight="1pt">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F59C" w14:textId="77777777" w:rsidR="00093A32" w:rsidRDefault="00093A32">
    <w:pPr>
      <w:spacing w:line="1" w:lineRule="exact"/>
    </w:pPr>
    <w:r>
      <w:rPr>
        <w:noProof/>
      </w:rPr>
      <mc:AlternateContent>
        <mc:Choice Requires="wps">
          <w:drawing>
            <wp:anchor distT="0" distB="0" distL="0" distR="0" simplePos="0" relativeHeight="252065792" behindDoc="1" locked="0" layoutInCell="1" allowOverlap="1" wp14:anchorId="0FD4331E" wp14:editId="5AB9CECD">
              <wp:simplePos x="0" y="0"/>
              <wp:positionH relativeFrom="page">
                <wp:posOffset>2460625</wp:posOffset>
              </wp:positionH>
              <wp:positionV relativeFrom="page">
                <wp:posOffset>313690</wp:posOffset>
              </wp:positionV>
              <wp:extent cx="2414270" cy="69850"/>
              <wp:effectExtent l="0" t="0" r="0" b="0"/>
              <wp:wrapNone/>
              <wp:docPr id="994" name="Shape 994"/>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7D71863A" w14:textId="77777777" w:rsidR="00093A32" w:rsidRDefault="00093A32">
                          <w:pPr>
                            <w:pStyle w:val="Headerorfooter0"/>
                            <w:tabs>
                              <w:tab w:val="right" w:pos="3802"/>
                            </w:tabs>
                            <w:rPr>
                              <w:sz w:val="16"/>
                              <w:szCs w:val="16"/>
                            </w:rPr>
                          </w:pPr>
                          <w:r>
                            <w:t>HEPATITIS B</w:t>
                          </w:r>
                          <w:r>
                            <w:tab/>
                          </w:r>
                          <w:r>
                            <w:rPr>
                              <w:sz w:val="16"/>
                              <w:szCs w:val="16"/>
                            </w:rPr>
                            <w:t>383</w:t>
                          </w:r>
                        </w:p>
                      </w:txbxContent>
                    </wps:txbx>
                    <wps:bodyPr lIns="0" tIns="0" rIns="0" bIns="0">
                      <a:spAutoFit/>
                    </wps:bodyPr>
                  </wps:wsp>
                </a:graphicData>
              </a:graphic>
            </wp:anchor>
          </w:drawing>
        </mc:Choice>
        <mc:Fallback>
          <w:pict>
            <v:shapetype w14:anchorId="0FD4331E" id="_x0000_t202" coordsize="21600,21600" o:spt="202" path="m,l,21600r21600,l21600,xe">
              <v:stroke joinstyle="miter"/>
              <v:path gradientshapeok="t" o:connecttype="rect"/>
            </v:shapetype>
            <v:shape id="Shape 994" o:spid="_x0000_s1210" type="#_x0000_t202" style="position:absolute;margin-left:193.75pt;margin-top:24.7pt;width:190.1pt;height:5.5pt;z-index:-2512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" filled="f" stroked="f">
              <v:textbox style="mso-fit-shape-to-text:t" inset="0,0,0,0">
                <w:txbxContent>
                  <w:p w14:paraId="7D71863A" w14:textId="77777777" w:rsidR="00093A32" w:rsidRDefault="00093A32">
                    <w:pPr>
                      <w:pStyle w:val="Headerorfooter0"/>
                      <w:tabs>
                        <w:tab w:val="right" w:pos="3802"/>
                      </w:tabs>
                      <w:rPr>
                        <w:sz w:val="16"/>
                        <w:szCs w:val="16"/>
                      </w:rPr>
                    </w:pPr>
                    <w:r>
                      <w:t>HEPATITIS B</w:t>
                    </w:r>
                    <w:r>
                      <w:tab/>
                    </w:r>
                    <w:r>
                      <w:rPr>
                        <w:sz w:val="16"/>
                        <w:szCs w:val="16"/>
                      </w:rPr>
                      <w:t>383</w:t>
                    </w:r>
                  </w:p>
                </w:txbxContent>
              </v:textbox>
              <w10:wrap anchorx="page" anchory="page"/>
            </v:shape>
          </w:pict>
        </mc:Fallback>
      </mc:AlternateContent>
    </w:r>
    <w:r>
      <w:rPr>
        <w:noProof/>
      </w:rPr>
      <mc:AlternateContent>
        <mc:Choice Requires="wps">
          <w:drawing>
            <wp:anchor distT="0" distB="0" distL="114300" distR="114300" simplePos="0" relativeHeight="251825152" behindDoc="1" locked="0" layoutInCell="1" allowOverlap="1" wp14:anchorId="253F8490" wp14:editId="10CD45FB">
              <wp:simplePos x="0" y="0"/>
              <wp:positionH relativeFrom="page">
                <wp:posOffset>537210</wp:posOffset>
              </wp:positionH>
              <wp:positionV relativeFrom="page">
                <wp:posOffset>422275</wp:posOffset>
              </wp:positionV>
              <wp:extent cx="4358640" cy="0"/>
              <wp:effectExtent l="0" t="0" r="0" b="0"/>
              <wp:wrapNone/>
              <wp:docPr id="996" name="Shape 9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67746B" id="_x0000_t32" coordsize="21600,21600" o:spt="32" o:oned="t" path="m,l21600,21600e" filled="f">
              <v:path arrowok="t" fillok="f" o:connecttype="none"/>
              <o:lock v:ext="edit" shapetype="t"/>
            </v:shapetype>
            <v:shape id="Shape 996" o:spid="_x0000_s1026" type="#_x0000_t32" style="position:absolute;margin-left:42.3pt;margin-top:33.25pt;width:343.2pt;height:0;z-index:-251491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IPK&#10;gxjaAAAACAEAAA8AAAAAAAAAAAAAAAAAwgMAAGRycy9kb3ducmV2LnhtbFBLBQYAAAAABAAEAPMA&#10;AADJBAAAAAA=&#10;" strokeweight="1pt">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6D63" w14:textId="77777777" w:rsidR="00093A32" w:rsidRDefault="00093A32">
    <w:pPr>
      <w:spacing w:line="1" w:lineRule="exact"/>
    </w:pPr>
    <w:r>
      <w:rPr>
        <w:noProof/>
      </w:rPr>
      <mc:AlternateContent>
        <mc:Choice Requires="wps">
          <w:drawing>
            <wp:anchor distT="0" distB="0" distL="0" distR="0" simplePos="0" relativeHeight="252068864" behindDoc="1" locked="0" layoutInCell="1" allowOverlap="1" wp14:anchorId="2E027478" wp14:editId="2F3AE19B">
              <wp:simplePos x="0" y="0"/>
              <wp:positionH relativeFrom="page">
                <wp:posOffset>2460625</wp:posOffset>
              </wp:positionH>
              <wp:positionV relativeFrom="page">
                <wp:posOffset>313690</wp:posOffset>
              </wp:positionV>
              <wp:extent cx="2414270" cy="69850"/>
              <wp:effectExtent l="0" t="0" r="0" b="0"/>
              <wp:wrapNone/>
              <wp:docPr id="1002" name="Shape 1002"/>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70C503F7" w14:textId="77777777" w:rsidR="00093A32" w:rsidRDefault="00093A32">
                          <w:pPr>
                            <w:pStyle w:val="Headerorfooter0"/>
                            <w:tabs>
                              <w:tab w:val="right" w:pos="3802"/>
                            </w:tabs>
                            <w:rPr>
                              <w:sz w:val="16"/>
                              <w:szCs w:val="16"/>
                            </w:rPr>
                          </w:pPr>
                          <w:r>
                            <w:t>HEPATITIS B</w:t>
                          </w:r>
                          <w:r>
                            <w:tab/>
                          </w:r>
                          <w:r>
                            <w:rPr>
                              <w:sz w:val="16"/>
                              <w:szCs w:val="16"/>
                            </w:rPr>
                            <w:t>383</w:t>
                          </w:r>
                        </w:p>
                      </w:txbxContent>
                    </wps:txbx>
                    <wps:bodyPr lIns="0" tIns="0" rIns="0" bIns="0">
                      <a:spAutoFit/>
                    </wps:bodyPr>
                  </wps:wsp>
                </a:graphicData>
              </a:graphic>
            </wp:anchor>
          </w:drawing>
        </mc:Choice>
        <mc:Fallback>
          <w:pict>
            <v:shapetype w14:anchorId="2E027478" id="_x0000_t202" coordsize="21600,21600" o:spt="202" path="m,l,21600r21600,l21600,xe">
              <v:stroke joinstyle="miter"/>
              <v:path gradientshapeok="t" o:connecttype="rect"/>
            </v:shapetype>
            <v:shape id="Shape 1002" o:spid="_x0000_s1211" type="#_x0000_t202" style="position:absolute;margin-left:193.75pt;margin-top:24.7pt;width:190.1pt;height:5.5pt;z-index:-2512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" filled="f" stroked="f">
              <v:textbox style="mso-fit-shape-to-text:t" inset="0,0,0,0">
                <w:txbxContent>
                  <w:p w14:paraId="70C503F7" w14:textId="77777777" w:rsidR="00093A32" w:rsidRDefault="00093A32">
                    <w:pPr>
                      <w:pStyle w:val="Headerorfooter0"/>
                      <w:tabs>
                        <w:tab w:val="right" w:pos="3802"/>
                      </w:tabs>
                      <w:rPr>
                        <w:sz w:val="16"/>
                        <w:szCs w:val="16"/>
                      </w:rPr>
                    </w:pPr>
                    <w:r>
                      <w:t>HEPATITIS B</w:t>
                    </w:r>
                    <w:r>
                      <w:tab/>
                    </w:r>
                    <w:r>
                      <w:rPr>
                        <w:sz w:val="16"/>
                        <w:szCs w:val="16"/>
                      </w:rPr>
                      <w:t>383</w:t>
                    </w:r>
                  </w:p>
                </w:txbxContent>
              </v:textbox>
              <w10:wrap anchorx="page" anchory="page"/>
            </v:shape>
          </w:pict>
        </mc:Fallback>
      </mc:AlternateContent>
    </w:r>
    <w:r>
      <w:rPr>
        <w:noProof/>
      </w:rPr>
      <mc:AlternateContent>
        <mc:Choice Requires="wps">
          <w:drawing>
            <wp:anchor distT="0" distB="0" distL="114300" distR="114300" simplePos="0" relativeHeight="251827200" behindDoc="1" locked="0" layoutInCell="1" allowOverlap="1" wp14:anchorId="00EDD220" wp14:editId="3EA2CECC">
              <wp:simplePos x="0" y="0"/>
              <wp:positionH relativeFrom="page">
                <wp:posOffset>537210</wp:posOffset>
              </wp:positionH>
              <wp:positionV relativeFrom="page">
                <wp:posOffset>422275</wp:posOffset>
              </wp:positionV>
              <wp:extent cx="4358640" cy="0"/>
              <wp:effectExtent l="0" t="0" r="0" b="0"/>
              <wp:wrapNone/>
              <wp:docPr id="1004" name="Shape 10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33EFE5B" id="_x0000_t32" coordsize="21600,21600" o:spt="32" o:oned="t" path="m,l21600,21600e" filled="f">
              <v:path arrowok="t" fillok="f" o:connecttype="none"/>
              <o:lock v:ext="edit" shapetype="t"/>
            </v:shapetype>
            <v:shape id="Shape 1004" o:spid="_x0000_s1026" type="#_x0000_t32" style="position:absolute;margin-left:42.3pt;margin-top:33.25pt;width:343.2pt;height:0;z-index:-251489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IPK&#10;gxjaAAAACAEAAA8AAAAAAAAAAAAAAAAAwgMAAGRycy9kb3ducmV2LnhtbFBLBQYAAAAABAAEAPMA&#10;AADJBAAAAAA=&#10;" strokeweight="1pt">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8796" w14:textId="77777777" w:rsidR="00093A32" w:rsidRDefault="00093A32">
    <w:pPr>
      <w:spacing w:line="1" w:lineRule="exact"/>
    </w:pPr>
    <w:r>
      <w:rPr>
        <w:noProof/>
      </w:rPr>
      <mc:AlternateContent>
        <mc:Choice Requires="wps">
          <w:drawing>
            <wp:anchor distT="0" distB="0" distL="0" distR="0" simplePos="0" relativeHeight="252067840" behindDoc="1" locked="0" layoutInCell="1" allowOverlap="1" wp14:anchorId="06E4324B" wp14:editId="7B6A1F70">
              <wp:simplePos x="0" y="0"/>
              <wp:positionH relativeFrom="page">
                <wp:posOffset>549275</wp:posOffset>
              </wp:positionH>
              <wp:positionV relativeFrom="page">
                <wp:posOffset>313690</wp:posOffset>
              </wp:positionV>
              <wp:extent cx="2419985" cy="69850"/>
              <wp:effectExtent l="0" t="0" r="0" b="0"/>
              <wp:wrapNone/>
              <wp:docPr id="1000" name="Shape 1000"/>
              <wp:cNvGraphicFramePr/>
              <a:graphic xmlns:a="http://schemas.openxmlformats.org/drawingml/2006/main">
                <a:graphicData uri="http://schemas.microsoft.com/office/word/2010/wordprocessingShape">
                  <wps:wsp>
                    <wps:cNvSpPr txBox="1"/>
                    <wps:spPr>
                      <a:xfrm>
                        <a:off x="0" y="0"/>
                        <a:ext cx="2419985" cy="69850"/>
                      </a:xfrm>
                      <a:prstGeom prst="rect">
                        <a:avLst/>
                      </a:prstGeom>
                      <a:noFill/>
                    </wps:spPr>
                    <wps:txbx>
                      <w:txbxContent>
                        <w:p w14:paraId="2418B01F" w14:textId="77777777" w:rsidR="00093A32" w:rsidRDefault="00093A32">
                          <w:pPr>
                            <w:pStyle w:val="Headerorfooter0"/>
                            <w:tabs>
                              <w:tab w:val="right" w:pos="3811"/>
                            </w:tabs>
                          </w:pPr>
                          <w:r>
                            <w:rPr>
                              <w:sz w:val="16"/>
                              <w:szCs w:val="16"/>
                            </w:rPr>
                            <w:t>398</w:t>
                          </w:r>
                          <w:r>
                            <w:rPr>
                              <w:sz w:val="16"/>
                              <w:szCs w:val="16"/>
                            </w:rPr>
                            <w:tab/>
                          </w:r>
                          <w:r>
                            <w:t>HEPATITIS B</w:t>
                          </w:r>
                        </w:p>
                      </w:txbxContent>
                    </wps:txbx>
                    <wps:bodyPr lIns="0" tIns="0" rIns="0" bIns="0">
                      <a:spAutoFit/>
                    </wps:bodyPr>
                  </wps:wsp>
                </a:graphicData>
              </a:graphic>
            </wp:anchor>
          </w:drawing>
        </mc:Choice>
        <mc:Fallback>
          <w:pict>
            <v:shapetype w14:anchorId="06E4324B" id="_x0000_t202" coordsize="21600,21600" o:spt="202" path="m,l,21600r21600,l21600,xe">
              <v:stroke joinstyle="miter"/>
              <v:path gradientshapeok="t" o:connecttype="rect"/>
            </v:shapetype>
            <v:shape id="Shape 1000" o:spid="_x0000_s1212" type="#_x0000_t202" style="position:absolute;margin-left:43.25pt;margin-top:24.7pt;width:190.55pt;height:5.5pt;z-index:-2512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" filled="f" stroked="f">
              <v:textbox style="mso-fit-shape-to-text:t" inset="0,0,0,0">
                <w:txbxContent>
                  <w:p w14:paraId="2418B01F" w14:textId="77777777" w:rsidR="00093A32" w:rsidRDefault="00093A32">
                    <w:pPr>
                      <w:pStyle w:val="Headerorfooter0"/>
                      <w:tabs>
                        <w:tab w:val="right" w:pos="3811"/>
                      </w:tabs>
                    </w:pPr>
                    <w:r>
                      <w:rPr>
                        <w:sz w:val="16"/>
                        <w:szCs w:val="16"/>
                      </w:rPr>
                      <w:t>398</w:t>
                    </w:r>
                    <w:r>
                      <w:rPr>
                        <w:sz w:val="16"/>
                        <w:szCs w:val="16"/>
                      </w:rPr>
                      <w:tab/>
                    </w:r>
                    <w:r>
                      <w:t>HEPATITIS B</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E1C" w14:textId="77777777" w:rsidR="00093A32" w:rsidRDefault="00093A32">
    <w:pPr>
      <w:spacing w:line="1" w:lineRule="exact"/>
    </w:pPr>
    <w:r>
      <w:rPr>
        <w:noProof/>
      </w:rPr>
      <mc:AlternateContent>
        <mc:Choice Requires="wps">
          <w:drawing>
            <wp:anchor distT="0" distB="0" distL="0" distR="0" simplePos="0" relativeHeight="252069888" behindDoc="1" locked="0" layoutInCell="1" allowOverlap="1" wp14:anchorId="314514BC" wp14:editId="42392C51">
              <wp:simplePos x="0" y="0"/>
              <wp:positionH relativeFrom="page">
                <wp:posOffset>558800</wp:posOffset>
              </wp:positionH>
              <wp:positionV relativeFrom="page">
                <wp:posOffset>313690</wp:posOffset>
              </wp:positionV>
              <wp:extent cx="2423160" cy="69850"/>
              <wp:effectExtent l="0" t="0" r="0" b="0"/>
              <wp:wrapNone/>
              <wp:docPr id="1005" name="Shape 1005"/>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683F4525" w14:textId="77777777" w:rsidR="00093A32" w:rsidRDefault="00093A32">
                          <w:pPr>
                            <w:pStyle w:val="Headerorfooter0"/>
                            <w:tabs>
                              <w:tab w:val="right" w:pos="3816"/>
                            </w:tabs>
                          </w:pPr>
                          <w:r>
                            <w:rPr>
                              <w:sz w:val="16"/>
                              <w:szCs w:val="16"/>
                            </w:rPr>
                            <w:t>374</w:t>
                          </w:r>
                          <w:r>
                            <w:rPr>
                              <w:sz w:val="16"/>
                              <w:szCs w:val="16"/>
                            </w:rPr>
                            <w:tab/>
                          </w:r>
                          <w:r>
                            <w:t>HEPATITIS A</w:t>
                          </w:r>
                        </w:p>
                      </w:txbxContent>
                    </wps:txbx>
                    <wps:bodyPr lIns="0" tIns="0" rIns="0" bIns="0">
                      <a:spAutoFit/>
                    </wps:bodyPr>
                  </wps:wsp>
                </a:graphicData>
              </a:graphic>
            </wp:anchor>
          </w:drawing>
        </mc:Choice>
        <mc:Fallback>
          <w:pict>
            <v:shapetype w14:anchorId="314514BC" id="_x0000_t202" coordsize="21600,21600" o:spt="202" path="m,l,21600r21600,l21600,xe">
              <v:stroke joinstyle="miter"/>
              <v:path gradientshapeok="t" o:connecttype="rect"/>
            </v:shapetype>
            <v:shape id="Shape 1005" o:spid="_x0000_s1213" type="#_x0000_t202" style="position:absolute;margin-left:44pt;margin-top:24.7pt;width:190.8pt;height:5.5pt;z-index:-2512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" filled="f" stroked="f">
              <v:textbox style="mso-fit-shape-to-text:t" inset="0,0,0,0">
                <w:txbxContent>
                  <w:p w14:paraId="683F4525" w14:textId="77777777" w:rsidR="00093A32" w:rsidRDefault="00093A32">
                    <w:pPr>
                      <w:pStyle w:val="Headerorfooter0"/>
                      <w:tabs>
                        <w:tab w:val="right" w:pos="3816"/>
                      </w:tabs>
                    </w:pPr>
                    <w:r>
                      <w:rPr>
                        <w:sz w:val="16"/>
                        <w:szCs w:val="16"/>
                      </w:rPr>
                      <w:t>374</w:t>
                    </w:r>
                    <w:r>
                      <w:rPr>
                        <w:sz w:val="16"/>
                        <w:szCs w:val="16"/>
                      </w:rPr>
                      <w:tab/>
                    </w:r>
                    <w:r>
                      <w:t>HEPATITIS A</w:t>
                    </w:r>
                  </w:p>
                </w:txbxContent>
              </v:textbox>
              <w10:wrap anchorx="page" anchory="page"/>
            </v:shape>
          </w:pict>
        </mc:Fallback>
      </mc:AlternateContent>
    </w:r>
    <w:r>
      <w:rPr>
        <w:noProof/>
      </w:rPr>
      <mc:AlternateContent>
        <mc:Choice Requires="wps">
          <w:drawing>
            <wp:anchor distT="0" distB="0" distL="114300" distR="114300" simplePos="0" relativeHeight="251828224" behindDoc="1" locked="0" layoutInCell="1" allowOverlap="1" wp14:anchorId="2665E5DC" wp14:editId="2E2FF8DF">
              <wp:simplePos x="0" y="0"/>
              <wp:positionH relativeFrom="page">
                <wp:posOffset>543560</wp:posOffset>
              </wp:positionH>
              <wp:positionV relativeFrom="page">
                <wp:posOffset>422275</wp:posOffset>
              </wp:positionV>
              <wp:extent cx="4358640" cy="0"/>
              <wp:effectExtent l="0" t="0" r="0" b="0"/>
              <wp:wrapNone/>
              <wp:docPr id="1007" name="Shape 10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4FFC5B" id="_x0000_t32" coordsize="21600,21600" o:spt="32" o:oned="t" path="m,l21600,21600e" filled="f">
              <v:path arrowok="t" fillok="f" o:connecttype="none"/>
              <o:lock v:ext="edit" shapetype="t"/>
            </v:shapetype>
            <v:shape id="Shape 1007" o:spid="_x0000_s1026" type="#_x0000_t32" style="position:absolute;margin-left:42.8pt;margin-top:33.25pt;width:343.2pt;height:0;z-index:-251488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Ojl&#10;y7naAAAACAEAAA8AAAAAAAAAAAAAAAAAwgMAAGRycy9kb3ducmV2LnhtbFBLBQYAAAAABAAEAPMA&#10;AADJBAAAAAA=&#10;" strokeweight="1pt">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BC96" w14:textId="77777777" w:rsidR="00093A32" w:rsidRDefault="00093A32"/>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367F" w14:textId="77777777" w:rsidR="00093A32" w:rsidRDefault="00093A32"/>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7ACF" w14:textId="77777777" w:rsidR="00093A32" w:rsidRDefault="00093A32">
    <w:pPr>
      <w:spacing w:line="1" w:lineRule="exact"/>
    </w:pPr>
    <w:r>
      <w:rPr>
        <w:noProof/>
      </w:rPr>
      <mc:AlternateContent>
        <mc:Choice Requires="wps">
          <w:drawing>
            <wp:anchor distT="0" distB="0" distL="0" distR="0" simplePos="0" relativeHeight="252071936" behindDoc="1" locked="0" layoutInCell="1" allowOverlap="1" wp14:anchorId="016B5596" wp14:editId="0DBF156A">
              <wp:simplePos x="0" y="0"/>
              <wp:positionH relativeFrom="page">
                <wp:posOffset>2454275</wp:posOffset>
              </wp:positionH>
              <wp:positionV relativeFrom="page">
                <wp:posOffset>311150</wp:posOffset>
              </wp:positionV>
              <wp:extent cx="2416810" cy="69850"/>
              <wp:effectExtent l="0" t="0" r="0" b="0"/>
              <wp:wrapNone/>
              <wp:docPr id="1015" name="Shape 1015"/>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38E93CBB" w14:textId="77777777" w:rsidR="00093A32" w:rsidRDefault="00093A32">
                          <w:pPr>
                            <w:pStyle w:val="Headerorfooter0"/>
                            <w:tabs>
                              <w:tab w:val="right" w:pos="3806"/>
                            </w:tabs>
                            <w:rPr>
                              <w:sz w:val="16"/>
                              <w:szCs w:val="16"/>
                            </w:rPr>
                          </w:pPr>
                          <w:r>
                            <w:t>HEPATITIS C</w:t>
                          </w:r>
                          <w:r>
                            <w:tab/>
                          </w:r>
                          <w:r>
                            <w:rPr>
                              <w:sz w:val="16"/>
                              <w:szCs w:val="16"/>
                            </w:rPr>
                            <w:t>403</w:t>
                          </w:r>
                        </w:p>
                      </w:txbxContent>
                    </wps:txbx>
                    <wps:bodyPr lIns="0" tIns="0" rIns="0" bIns="0">
                      <a:spAutoFit/>
                    </wps:bodyPr>
                  </wps:wsp>
                </a:graphicData>
              </a:graphic>
            </wp:anchor>
          </w:drawing>
        </mc:Choice>
        <mc:Fallback>
          <w:pict>
            <v:shapetype w14:anchorId="016B5596" id="_x0000_t202" coordsize="21600,21600" o:spt="202" path="m,l,21600r21600,l21600,xe">
              <v:stroke joinstyle="miter"/>
              <v:path gradientshapeok="t" o:connecttype="rect"/>
            </v:shapetype>
            <v:shape id="Shape 1015" o:spid="_x0000_s1214" type="#_x0000_t202" style="position:absolute;margin-left:193.25pt;margin-top:24.5pt;width:190.3pt;height:5.5pt;z-index:-2512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ER8gAEAAPwCAAAOAAAAZHJzL2Uyb0RvYy54bWysUttOwzAMfUfiH6K8s24TjF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" filled="f" stroked="f">
              <v:textbox style="mso-fit-shape-to-text:t" inset="0,0,0,0">
                <w:txbxContent>
                  <w:p w14:paraId="38E93CBB" w14:textId="77777777" w:rsidR="00093A32" w:rsidRDefault="00093A32">
                    <w:pPr>
                      <w:pStyle w:val="Headerorfooter0"/>
                      <w:tabs>
                        <w:tab w:val="right" w:pos="3806"/>
                      </w:tabs>
                      <w:rPr>
                        <w:sz w:val="16"/>
                        <w:szCs w:val="16"/>
                      </w:rPr>
                    </w:pPr>
                    <w:r>
                      <w:t>HEPATITIS C</w:t>
                    </w:r>
                    <w:r>
                      <w:tab/>
                    </w:r>
                    <w:r>
                      <w:rPr>
                        <w:sz w:val="16"/>
                        <w:szCs w:val="16"/>
                      </w:rPr>
                      <w:t>403</w:t>
                    </w:r>
                  </w:p>
                </w:txbxContent>
              </v:textbox>
              <w10:wrap anchorx="page" anchory="page"/>
            </v:shape>
          </w:pict>
        </mc:Fallback>
      </mc:AlternateContent>
    </w:r>
    <w:r>
      <w:rPr>
        <w:noProof/>
      </w:rPr>
      <mc:AlternateContent>
        <mc:Choice Requires="wps">
          <w:drawing>
            <wp:anchor distT="0" distB="0" distL="114300" distR="114300" simplePos="0" relativeHeight="251830272" behindDoc="1" locked="0" layoutInCell="1" allowOverlap="1" wp14:anchorId="76A546A4" wp14:editId="3D9403B1">
              <wp:simplePos x="0" y="0"/>
              <wp:positionH relativeFrom="page">
                <wp:posOffset>534035</wp:posOffset>
              </wp:positionH>
              <wp:positionV relativeFrom="page">
                <wp:posOffset>419100</wp:posOffset>
              </wp:positionV>
              <wp:extent cx="4358640" cy="0"/>
              <wp:effectExtent l="0" t="0" r="0" b="0"/>
              <wp:wrapNone/>
              <wp:docPr id="1017" name="Shape 10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F0D240" id="_x0000_t32" coordsize="21600,21600" o:spt="32" o:oned="t" path="m,l21600,21600e" filled="f">
              <v:path arrowok="t" fillok="f" o:connecttype="none"/>
              <o:lock v:ext="edit" shapetype="t"/>
            </v:shapetype>
            <v:shape id="Shape 1017" o:spid="_x0000_s1026" type="#_x0000_t32" style="position:absolute;margin-left:42.05pt;margin-top:33pt;width:343.2pt;height:0;z-index:-251486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zviVP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Ds&#10;tpxUkGU8if08T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zv&#10;iVPaAAAACAEAAA8AAAAAAAAAAAAAAAAAwgMAAGRycy9kb3ducmV2LnhtbFBLBQYAAAAABAAEAPMA&#10;AADJBAAAAAA=&#10;" strokeweight="1pt">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AF60" w14:textId="77777777" w:rsidR="00093A32" w:rsidRDefault="00093A32">
    <w:pPr>
      <w:spacing w:line="1" w:lineRule="exact"/>
    </w:pPr>
    <w:r>
      <w:rPr>
        <w:noProof/>
      </w:rPr>
      <mc:AlternateContent>
        <mc:Choice Requires="wps">
          <w:drawing>
            <wp:anchor distT="0" distB="0" distL="0" distR="0" simplePos="0" relativeHeight="252070912" behindDoc="1" locked="0" layoutInCell="1" allowOverlap="1" wp14:anchorId="725E7424" wp14:editId="2C9A76ED">
              <wp:simplePos x="0" y="0"/>
              <wp:positionH relativeFrom="page">
                <wp:posOffset>2454275</wp:posOffset>
              </wp:positionH>
              <wp:positionV relativeFrom="page">
                <wp:posOffset>311150</wp:posOffset>
              </wp:positionV>
              <wp:extent cx="2416810" cy="69850"/>
              <wp:effectExtent l="0" t="0" r="0" b="0"/>
              <wp:wrapNone/>
              <wp:docPr id="1012" name="Shape 1012"/>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2D7E48A1" w14:textId="77777777" w:rsidR="00093A32" w:rsidRDefault="00093A32">
                          <w:pPr>
                            <w:pStyle w:val="Headerorfooter0"/>
                            <w:tabs>
                              <w:tab w:val="right" w:pos="3806"/>
                            </w:tabs>
                            <w:rPr>
                              <w:sz w:val="16"/>
                              <w:szCs w:val="16"/>
                            </w:rPr>
                          </w:pPr>
                          <w:r>
                            <w:t>HEPATITIS C</w:t>
                          </w:r>
                          <w:r>
                            <w:tab/>
                          </w:r>
                          <w:r>
                            <w:rPr>
                              <w:sz w:val="16"/>
                              <w:szCs w:val="16"/>
                            </w:rPr>
                            <w:t>403</w:t>
                          </w:r>
                        </w:p>
                      </w:txbxContent>
                    </wps:txbx>
                    <wps:bodyPr lIns="0" tIns="0" rIns="0" bIns="0">
                      <a:spAutoFit/>
                    </wps:bodyPr>
                  </wps:wsp>
                </a:graphicData>
              </a:graphic>
            </wp:anchor>
          </w:drawing>
        </mc:Choice>
        <mc:Fallback>
          <w:pict>
            <v:shapetype w14:anchorId="725E7424" id="_x0000_t202" coordsize="21600,21600" o:spt="202" path="m,l,21600r21600,l21600,xe">
              <v:stroke joinstyle="miter"/>
              <v:path gradientshapeok="t" o:connecttype="rect"/>
            </v:shapetype>
            <v:shape id="Shape 1012" o:spid="_x0000_s1215" type="#_x0000_t202" style="position:absolute;margin-left:193.25pt;margin-top:24.5pt;width:190.3pt;height:5.5pt;z-index:-2512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" filled="f" stroked="f">
              <v:textbox style="mso-fit-shape-to-text:t" inset="0,0,0,0">
                <w:txbxContent>
                  <w:p w14:paraId="2D7E48A1" w14:textId="77777777" w:rsidR="00093A32" w:rsidRDefault="00093A32">
                    <w:pPr>
                      <w:pStyle w:val="Headerorfooter0"/>
                      <w:tabs>
                        <w:tab w:val="right" w:pos="3806"/>
                      </w:tabs>
                      <w:rPr>
                        <w:sz w:val="16"/>
                        <w:szCs w:val="16"/>
                      </w:rPr>
                    </w:pPr>
                    <w:r>
                      <w:t>HEPATITIS C</w:t>
                    </w:r>
                    <w:r>
                      <w:tab/>
                    </w:r>
                    <w:r>
                      <w:rPr>
                        <w:sz w:val="16"/>
                        <w:szCs w:val="16"/>
                      </w:rPr>
                      <w:t>403</w:t>
                    </w:r>
                  </w:p>
                </w:txbxContent>
              </v:textbox>
              <w10:wrap anchorx="page" anchory="page"/>
            </v:shape>
          </w:pict>
        </mc:Fallback>
      </mc:AlternateContent>
    </w:r>
    <w:r>
      <w:rPr>
        <w:noProof/>
      </w:rPr>
      <mc:AlternateContent>
        <mc:Choice Requires="wps">
          <w:drawing>
            <wp:anchor distT="0" distB="0" distL="114300" distR="114300" simplePos="0" relativeHeight="251829248" behindDoc="1" locked="0" layoutInCell="1" allowOverlap="1" wp14:anchorId="3CD120AA" wp14:editId="3DDEE6EF">
              <wp:simplePos x="0" y="0"/>
              <wp:positionH relativeFrom="page">
                <wp:posOffset>534035</wp:posOffset>
              </wp:positionH>
              <wp:positionV relativeFrom="page">
                <wp:posOffset>419100</wp:posOffset>
              </wp:positionV>
              <wp:extent cx="4358640" cy="0"/>
              <wp:effectExtent l="0" t="0" r="0" b="0"/>
              <wp:wrapNone/>
              <wp:docPr id="1014" name="Shape 10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1AE8A3B" id="_x0000_t32" coordsize="21600,21600" o:spt="32" o:oned="t" path="m,l21600,21600e" filled="f">
              <v:path arrowok="t" fillok="f" o:connecttype="none"/>
              <o:lock v:ext="edit" shapetype="t"/>
            </v:shapetype>
            <v:shape id="Shape 1014" o:spid="_x0000_s1026" type="#_x0000_t32" style="position:absolute;margin-left:42.05pt;margin-top:33pt;width:343.2pt;height:0;z-index:-251487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zviVP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Ds&#10;tpxUkGU8if08T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zv&#10;iVPaAAAACAEAAA8AAAAAAAAAAAAAAAAAwgMAAGRycy9kb3ducmV2LnhtbFBLBQYAAAAABAAEAPMA&#10;AADJBAAAAAA=&#10;" strokeweight="1pt">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1F61" w14:textId="77777777" w:rsidR="00093A32" w:rsidRDefault="00093A32">
    <w:pPr>
      <w:spacing w:line="1" w:lineRule="exact"/>
    </w:pPr>
    <w:r>
      <w:rPr>
        <w:noProof/>
      </w:rPr>
      <mc:AlternateContent>
        <mc:Choice Requires="wps">
          <w:drawing>
            <wp:anchor distT="0" distB="0" distL="0" distR="0" simplePos="0" relativeHeight="252073984" behindDoc="1" locked="0" layoutInCell="1" allowOverlap="1" wp14:anchorId="2B4E3C1D" wp14:editId="7364DD7A">
              <wp:simplePos x="0" y="0"/>
              <wp:positionH relativeFrom="page">
                <wp:posOffset>550545</wp:posOffset>
              </wp:positionH>
              <wp:positionV relativeFrom="page">
                <wp:posOffset>311150</wp:posOffset>
              </wp:positionV>
              <wp:extent cx="2426335" cy="69850"/>
              <wp:effectExtent l="0" t="0" r="0" b="0"/>
              <wp:wrapNone/>
              <wp:docPr id="1021" name="Shape 1021"/>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1FD3239D"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wps:txbx>
                    <wps:bodyPr lIns="0" tIns="0" rIns="0" bIns="0">
                      <a:spAutoFit/>
                    </wps:bodyPr>
                  </wps:wsp>
                </a:graphicData>
              </a:graphic>
            </wp:anchor>
          </w:drawing>
        </mc:Choice>
        <mc:Fallback>
          <w:pict>
            <v:shapetype w14:anchorId="2B4E3C1D" id="_x0000_t202" coordsize="21600,21600" o:spt="202" path="m,l,21600r21600,l21600,xe">
              <v:stroke joinstyle="miter"/>
              <v:path gradientshapeok="t" o:connecttype="rect"/>
            </v:shapetype>
            <v:shape id="Shape 1021" o:spid="_x0000_s1216" type="#_x0000_t202" style="position:absolute;margin-left:43.35pt;margin-top:24.5pt;width:191.05pt;height:5.5pt;z-index:-2512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" filled="f" stroked="f">
              <v:textbox style="mso-fit-shape-to-text:t" inset="0,0,0,0">
                <w:txbxContent>
                  <w:p w14:paraId="1FD3239D"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v:textbox>
              <w10:wrap anchorx="page" anchory="page"/>
            </v:shape>
          </w:pict>
        </mc:Fallback>
      </mc:AlternateContent>
    </w:r>
    <w:r>
      <w:rPr>
        <w:noProof/>
      </w:rPr>
      <mc:AlternateContent>
        <mc:Choice Requires="wps">
          <w:drawing>
            <wp:anchor distT="0" distB="0" distL="114300" distR="114300" simplePos="0" relativeHeight="251832320" behindDoc="1" locked="0" layoutInCell="1" allowOverlap="1" wp14:anchorId="7F919351" wp14:editId="0ECD9053">
              <wp:simplePos x="0" y="0"/>
              <wp:positionH relativeFrom="page">
                <wp:posOffset>535305</wp:posOffset>
              </wp:positionH>
              <wp:positionV relativeFrom="page">
                <wp:posOffset>419100</wp:posOffset>
              </wp:positionV>
              <wp:extent cx="4358640" cy="0"/>
              <wp:effectExtent l="0" t="0" r="0" b="0"/>
              <wp:wrapNone/>
              <wp:docPr id="1023" name="Shape 10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730C03" id="_x0000_t32" coordsize="21600,21600" o:spt="32" o:oned="t" path="m,l21600,21600e" filled="f">
              <v:path arrowok="t" fillok="f" o:connecttype="none"/>
              <o:lock v:ext="edit" shapetype="t"/>
            </v:shapetype>
            <v:shape id="Shape 1023" o:spid="_x0000_s1026" type="#_x0000_t32" style="position:absolute;margin-left:42.15pt;margin-top:33pt;width:343.2pt;height:0;z-index:-251484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Eqp&#10;wdraAAAACAEAAA8AAAAAAAAAAAAAAAAAwgMAAGRycy9kb3ducmV2LnhtbFBLBQYAAAAABAAEAPMA&#10;AADJBAAAAAA=&#10;" strokeweight="1pt">
              <w10:wrap anchorx="page" anchory="page"/>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C7CF" w14:textId="77777777" w:rsidR="00093A32" w:rsidRDefault="00093A32">
    <w:pPr>
      <w:spacing w:line="1" w:lineRule="exact"/>
    </w:pPr>
    <w:r>
      <w:rPr>
        <w:noProof/>
      </w:rPr>
      <mc:AlternateContent>
        <mc:Choice Requires="wps">
          <w:drawing>
            <wp:anchor distT="0" distB="0" distL="0" distR="0" simplePos="0" relativeHeight="252072960" behindDoc="1" locked="0" layoutInCell="1" allowOverlap="1" wp14:anchorId="7F268A67" wp14:editId="049891D9">
              <wp:simplePos x="0" y="0"/>
              <wp:positionH relativeFrom="page">
                <wp:posOffset>550545</wp:posOffset>
              </wp:positionH>
              <wp:positionV relativeFrom="page">
                <wp:posOffset>311150</wp:posOffset>
              </wp:positionV>
              <wp:extent cx="2426335" cy="69850"/>
              <wp:effectExtent l="0" t="0" r="0" b="0"/>
              <wp:wrapNone/>
              <wp:docPr id="1018" name="Shape 1018"/>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537D1502"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wps:txbx>
                    <wps:bodyPr lIns="0" tIns="0" rIns="0" bIns="0">
                      <a:spAutoFit/>
                    </wps:bodyPr>
                  </wps:wsp>
                </a:graphicData>
              </a:graphic>
            </wp:anchor>
          </w:drawing>
        </mc:Choice>
        <mc:Fallback>
          <w:pict>
            <v:shapetype w14:anchorId="7F268A67" id="_x0000_t202" coordsize="21600,21600" o:spt="202" path="m,l,21600r21600,l21600,xe">
              <v:stroke joinstyle="miter"/>
              <v:path gradientshapeok="t" o:connecttype="rect"/>
            </v:shapetype>
            <v:shape id="Shape 1018" o:spid="_x0000_s1217" type="#_x0000_t202" style="position:absolute;margin-left:43.35pt;margin-top:24.5pt;width:191.05pt;height:5.5pt;z-index:-2512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" filled="f" stroked="f">
              <v:textbox style="mso-fit-shape-to-text:t" inset="0,0,0,0">
                <w:txbxContent>
                  <w:p w14:paraId="537D1502"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v:textbox>
              <w10:wrap anchorx="page" anchory="page"/>
            </v:shape>
          </w:pict>
        </mc:Fallback>
      </mc:AlternateContent>
    </w:r>
    <w:r>
      <w:rPr>
        <w:noProof/>
      </w:rPr>
      <mc:AlternateContent>
        <mc:Choice Requires="wps">
          <w:drawing>
            <wp:anchor distT="0" distB="0" distL="114300" distR="114300" simplePos="0" relativeHeight="251831296" behindDoc="1" locked="0" layoutInCell="1" allowOverlap="1" wp14:anchorId="6C1FF231" wp14:editId="209B4321">
              <wp:simplePos x="0" y="0"/>
              <wp:positionH relativeFrom="page">
                <wp:posOffset>535305</wp:posOffset>
              </wp:positionH>
              <wp:positionV relativeFrom="page">
                <wp:posOffset>419100</wp:posOffset>
              </wp:positionV>
              <wp:extent cx="4358640" cy="0"/>
              <wp:effectExtent l="0" t="0" r="0" b="0"/>
              <wp:wrapNone/>
              <wp:docPr id="1020" name="Shape 10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C96A21C" id="_x0000_t32" coordsize="21600,21600" o:spt="32" o:oned="t" path="m,l21600,21600e" filled="f">
              <v:path arrowok="t" fillok="f" o:connecttype="none"/>
              <o:lock v:ext="edit" shapetype="t"/>
            </v:shapetype>
            <v:shape id="Shape 1020" o:spid="_x0000_s1026" type="#_x0000_t32" style="position:absolute;margin-left:42.15pt;margin-top:33pt;width:343.2pt;height:0;z-index:-251485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Eqp&#10;wdraAAAACAEAAA8AAAAAAAAAAAAAAAAAwgMAAGRycy9kb3ducmV2LnhtbFBLBQYAAAAABAAEAPMA&#10;AADJBAAAAAA=&#10;" strokeweight="1pt">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856C" w14:textId="77777777" w:rsidR="00093A32" w:rsidRDefault="00093A32">
    <w:pPr>
      <w:spacing w:line="1" w:lineRule="exact"/>
    </w:pPr>
    <w:r>
      <w:rPr>
        <w:noProof/>
      </w:rPr>
      <mc:AlternateContent>
        <mc:Choice Requires="wps">
          <w:drawing>
            <wp:anchor distT="0" distB="0" distL="0" distR="0" simplePos="0" relativeHeight="252076032" behindDoc="1" locked="0" layoutInCell="1" allowOverlap="1" wp14:anchorId="7F6B103E" wp14:editId="495B10C3">
              <wp:simplePos x="0" y="0"/>
              <wp:positionH relativeFrom="page">
                <wp:posOffset>2454275</wp:posOffset>
              </wp:positionH>
              <wp:positionV relativeFrom="page">
                <wp:posOffset>311150</wp:posOffset>
              </wp:positionV>
              <wp:extent cx="2416810" cy="69850"/>
              <wp:effectExtent l="0" t="0" r="0" b="0"/>
              <wp:wrapNone/>
              <wp:docPr id="1027" name="Shape 1027"/>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76F5A3CD" w14:textId="77777777" w:rsidR="00093A32" w:rsidRDefault="00093A32">
                          <w:pPr>
                            <w:pStyle w:val="Headerorfooter0"/>
                            <w:tabs>
                              <w:tab w:val="right" w:pos="3806"/>
                            </w:tabs>
                            <w:rPr>
                              <w:sz w:val="16"/>
                              <w:szCs w:val="16"/>
                            </w:rPr>
                          </w:pPr>
                          <w:r>
                            <w:t>HEPATITIS C</w:t>
                          </w:r>
                          <w:r>
                            <w:tab/>
                          </w:r>
                          <w:r>
                            <w:rPr>
                              <w:sz w:val="16"/>
                              <w:szCs w:val="16"/>
                            </w:rPr>
                            <w:t>403</w:t>
                          </w:r>
                        </w:p>
                      </w:txbxContent>
                    </wps:txbx>
                    <wps:bodyPr lIns="0" tIns="0" rIns="0" bIns="0">
                      <a:spAutoFit/>
                    </wps:bodyPr>
                  </wps:wsp>
                </a:graphicData>
              </a:graphic>
            </wp:anchor>
          </w:drawing>
        </mc:Choice>
        <mc:Fallback>
          <w:pict>
            <v:shapetype w14:anchorId="7F6B103E" id="_x0000_t202" coordsize="21600,21600" o:spt="202" path="m,l,21600r21600,l21600,xe">
              <v:stroke joinstyle="miter"/>
              <v:path gradientshapeok="t" o:connecttype="rect"/>
            </v:shapetype>
            <v:shape id="Shape 1027" o:spid="_x0000_s1218" type="#_x0000_t202" style="position:absolute;margin-left:193.25pt;margin-top:24.5pt;width:190.3pt;height:5.5pt;z-index:-2512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qBSgAEAAPwCAAAOAAAAZHJzL2Uyb0RvYy54bWysUttOwzAMfUfiH6K8s24TjF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" filled="f" stroked="f">
              <v:textbox style="mso-fit-shape-to-text:t" inset="0,0,0,0">
                <w:txbxContent>
                  <w:p w14:paraId="76F5A3CD" w14:textId="77777777" w:rsidR="00093A32" w:rsidRDefault="00093A32">
                    <w:pPr>
                      <w:pStyle w:val="Headerorfooter0"/>
                      <w:tabs>
                        <w:tab w:val="right" w:pos="3806"/>
                      </w:tabs>
                      <w:rPr>
                        <w:sz w:val="16"/>
                        <w:szCs w:val="16"/>
                      </w:rPr>
                    </w:pPr>
                    <w:r>
                      <w:t>HEPATITIS C</w:t>
                    </w:r>
                    <w:r>
                      <w:tab/>
                    </w:r>
                    <w:r>
                      <w:rPr>
                        <w:sz w:val="16"/>
                        <w:szCs w:val="16"/>
                      </w:rPr>
                      <w:t>403</w:t>
                    </w:r>
                  </w:p>
                </w:txbxContent>
              </v:textbox>
              <w10:wrap anchorx="page" anchory="page"/>
            </v:shape>
          </w:pict>
        </mc:Fallback>
      </mc:AlternateContent>
    </w:r>
    <w:r>
      <w:rPr>
        <w:noProof/>
      </w:rPr>
      <mc:AlternateContent>
        <mc:Choice Requires="wps">
          <w:drawing>
            <wp:anchor distT="0" distB="0" distL="114300" distR="114300" simplePos="0" relativeHeight="251834368" behindDoc="1" locked="0" layoutInCell="1" allowOverlap="1" wp14:anchorId="459ED498" wp14:editId="794E9731">
              <wp:simplePos x="0" y="0"/>
              <wp:positionH relativeFrom="page">
                <wp:posOffset>534035</wp:posOffset>
              </wp:positionH>
              <wp:positionV relativeFrom="page">
                <wp:posOffset>419100</wp:posOffset>
              </wp:positionV>
              <wp:extent cx="4358640" cy="0"/>
              <wp:effectExtent l="0" t="0" r="0" b="0"/>
              <wp:wrapNone/>
              <wp:docPr id="1029" name="Shape 10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6520E28" id="_x0000_t32" coordsize="21600,21600" o:spt="32" o:oned="t" path="m,l21600,21600e" filled="f">
              <v:path arrowok="t" fillok="f" o:connecttype="none"/>
              <o:lock v:ext="edit" shapetype="t"/>
            </v:shapetype>
            <v:shape id="Shape 1029" o:spid="_x0000_s1026" type="#_x0000_t32" style="position:absolute;margin-left:42.05pt;margin-top:33pt;width:343.2pt;height:0;z-index:-251482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zviVP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Ds&#10;tpxUkGU8if08T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zv&#10;iVPaAAAACAEAAA8AAAAAAAAAAAAAAAAAwgMAAGRycy9kb3ducmV2LnhtbFBLBQYAAAAABAAEAPMA&#10;AADJBAAAAAA=&#10;" strokeweight="1pt">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5019" w14:textId="77777777" w:rsidR="00093A32" w:rsidRDefault="00093A32">
    <w:pPr>
      <w:spacing w:line="1" w:lineRule="exact"/>
    </w:pPr>
    <w:r>
      <w:rPr>
        <w:noProof/>
      </w:rPr>
      <mc:AlternateContent>
        <mc:Choice Requires="wps">
          <w:drawing>
            <wp:anchor distT="0" distB="0" distL="0" distR="0" simplePos="0" relativeHeight="252075008" behindDoc="1" locked="0" layoutInCell="1" allowOverlap="1" wp14:anchorId="570B3A0C" wp14:editId="64BEB2F4">
              <wp:simplePos x="0" y="0"/>
              <wp:positionH relativeFrom="page">
                <wp:posOffset>2454275</wp:posOffset>
              </wp:positionH>
              <wp:positionV relativeFrom="page">
                <wp:posOffset>311150</wp:posOffset>
              </wp:positionV>
              <wp:extent cx="2416810" cy="69850"/>
              <wp:effectExtent l="0" t="0" r="0" b="0"/>
              <wp:wrapNone/>
              <wp:docPr id="1024" name="Shape 1024"/>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51288430" w14:textId="77777777" w:rsidR="00093A32" w:rsidRDefault="00093A32">
                          <w:pPr>
                            <w:pStyle w:val="Headerorfooter0"/>
                            <w:tabs>
                              <w:tab w:val="right" w:pos="3806"/>
                            </w:tabs>
                            <w:rPr>
                              <w:sz w:val="16"/>
                              <w:szCs w:val="16"/>
                            </w:rPr>
                          </w:pPr>
                          <w:r>
                            <w:t>HEPATITIS C</w:t>
                          </w:r>
                          <w:r>
                            <w:tab/>
                          </w:r>
                          <w:r>
                            <w:rPr>
                              <w:sz w:val="16"/>
                              <w:szCs w:val="16"/>
                            </w:rPr>
                            <w:t>403</w:t>
                          </w:r>
                        </w:p>
                      </w:txbxContent>
                    </wps:txbx>
                    <wps:bodyPr lIns="0" tIns="0" rIns="0" bIns="0">
                      <a:spAutoFit/>
                    </wps:bodyPr>
                  </wps:wsp>
                </a:graphicData>
              </a:graphic>
            </wp:anchor>
          </w:drawing>
        </mc:Choice>
        <mc:Fallback>
          <w:pict>
            <v:shapetype w14:anchorId="570B3A0C" id="_x0000_t202" coordsize="21600,21600" o:spt="202" path="m,l,21600r21600,l21600,xe">
              <v:stroke joinstyle="miter"/>
              <v:path gradientshapeok="t" o:connecttype="rect"/>
            </v:shapetype>
            <v:shape id="Shape 1024" o:spid="_x0000_s1219" type="#_x0000_t202" style="position:absolute;margin-left:193.25pt;margin-top:24.5pt;width:190.3pt;height:5.5pt;z-index:-2512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MUvgAEAAPwCAAAOAAAAZHJzL2Uyb0RvYy54bWysUttOwzAMfUfiH6K8s24TjF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" filled="f" stroked="f">
              <v:textbox style="mso-fit-shape-to-text:t" inset="0,0,0,0">
                <w:txbxContent>
                  <w:p w14:paraId="51288430" w14:textId="77777777" w:rsidR="00093A32" w:rsidRDefault="00093A32">
                    <w:pPr>
                      <w:pStyle w:val="Headerorfooter0"/>
                      <w:tabs>
                        <w:tab w:val="right" w:pos="3806"/>
                      </w:tabs>
                      <w:rPr>
                        <w:sz w:val="16"/>
                        <w:szCs w:val="16"/>
                      </w:rPr>
                    </w:pPr>
                    <w:r>
                      <w:t>HEPATITIS C</w:t>
                    </w:r>
                    <w:r>
                      <w:tab/>
                    </w:r>
                    <w:r>
                      <w:rPr>
                        <w:sz w:val="16"/>
                        <w:szCs w:val="16"/>
                      </w:rPr>
                      <w:t>403</w:t>
                    </w:r>
                  </w:p>
                </w:txbxContent>
              </v:textbox>
              <w10:wrap anchorx="page" anchory="page"/>
            </v:shape>
          </w:pict>
        </mc:Fallback>
      </mc:AlternateContent>
    </w:r>
    <w:r>
      <w:rPr>
        <w:noProof/>
      </w:rPr>
      <mc:AlternateContent>
        <mc:Choice Requires="wps">
          <w:drawing>
            <wp:anchor distT="0" distB="0" distL="114300" distR="114300" simplePos="0" relativeHeight="251833344" behindDoc="1" locked="0" layoutInCell="1" allowOverlap="1" wp14:anchorId="02E41742" wp14:editId="035CDF93">
              <wp:simplePos x="0" y="0"/>
              <wp:positionH relativeFrom="page">
                <wp:posOffset>534035</wp:posOffset>
              </wp:positionH>
              <wp:positionV relativeFrom="page">
                <wp:posOffset>419100</wp:posOffset>
              </wp:positionV>
              <wp:extent cx="4358640" cy="0"/>
              <wp:effectExtent l="0" t="0" r="0" b="0"/>
              <wp:wrapNone/>
              <wp:docPr id="1026" name="Shape 10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8C891F3" id="_x0000_t32" coordsize="21600,21600" o:spt="32" o:oned="t" path="m,l21600,21600e" filled="f">
              <v:path arrowok="t" fillok="f" o:connecttype="none"/>
              <o:lock v:ext="edit" shapetype="t"/>
            </v:shapetype>
            <v:shape id="Shape 1026" o:spid="_x0000_s1026" type="#_x0000_t32" style="position:absolute;margin-left:42.05pt;margin-top:33pt;width:343.2pt;height:0;z-index:-251483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zviVP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Ds&#10;tpxUkGU8if08T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zv&#10;iVPaAAAACAEAAA8AAAAAAAAAAAAAAAAAwgMAAGRycy9kb3ducmV2LnhtbFBLBQYAAAAABAAEAPMA&#10;AADJBAAAAAA=&#10;" strokeweight="1pt">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1D50" w14:textId="77777777" w:rsidR="00093A32" w:rsidRDefault="00093A32">
    <w:pPr>
      <w:spacing w:line="1" w:lineRule="exact"/>
    </w:pPr>
    <w:r>
      <w:rPr>
        <w:noProof/>
      </w:rPr>
      <mc:AlternateContent>
        <mc:Choice Requires="wps">
          <w:drawing>
            <wp:anchor distT="0" distB="0" distL="0" distR="0" simplePos="0" relativeHeight="252078080" behindDoc="1" locked="0" layoutInCell="1" allowOverlap="1" wp14:anchorId="1CF9BE68" wp14:editId="340A6880">
              <wp:simplePos x="0" y="0"/>
              <wp:positionH relativeFrom="page">
                <wp:posOffset>550545</wp:posOffset>
              </wp:positionH>
              <wp:positionV relativeFrom="page">
                <wp:posOffset>311150</wp:posOffset>
              </wp:positionV>
              <wp:extent cx="2426335" cy="69850"/>
              <wp:effectExtent l="0" t="0" r="0" b="0"/>
              <wp:wrapNone/>
              <wp:docPr id="1033" name="Shape 1033"/>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0CA091CD"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wps:txbx>
                    <wps:bodyPr lIns="0" tIns="0" rIns="0" bIns="0">
                      <a:spAutoFit/>
                    </wps:bodyPr>
                  </wps:wsp>
                </a:graphicData>
              </a:graphic>
            </wp:anchor>
          </w:drawing>
        </mc:Choice>
        <mc:Fallback>
          <w:pict>
            <v:shapetype w14:anchorId="1CF9BE68" id="_x0000_t202" coordsize="21600,21600" o:spt="202" path="m,l,21600r21600,l21600,xe">
              <v:stroke joinstyle="miter"/>
              <v:path gradientshapeok="t" o:connecttype="rect"/>
            </v:shapetype>
            <v:shape id="Shape 1033" o:spid="_x0000_s1220" type="#_x0000_t202" style="position:absolute;margin-left:43.35pt;margin-top:24.5pt;width:191.05pt;height:5.5pt;z-index:-2512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" filled="f" stroked="f">
              <v:textbox style="mso-fit-shape-to-text:t" inset="0,0,0,0">
                <w:txbxContent>
                  <w:p w14:paraId="0CA091CD"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v:textbox>
              <w10:wrap anchorx="page" anchory="page"/>
            </v:shape>
          </w:pict>
        </mc:Fallback>
      </mc:AlternateContent>
    </w:r>
    <w:r>
      <w:rPr>
        <w:noProof/>
      </w:rPr>
      <mc:AlternateContent>
        <mc:Choice Requires="wps">
          <w:drawing>
            <wp:anchor distT="0" distB="0" distL="114300" distR="114300" simplePos="0" relativeHeight="251836416" behindDoc="1" locked="0" layoutInCell="1" allowOverlap="1" wp14:anchorId="0E57C118" wp14:editId="57977598">
              <wp:simplePos x="0" y="0"/>
              <wp:positionH relativeFrom="page">
                <wp:posOffset>535305</wp:posOffset>
              </wp:positionH>
              <wp:positionV relativeFrom="page">
                <wp:posOffset>419100</wp:posOffset>
              </wp:positionV>
              <wp:extent cx="4358640" cy="0"/>
              <wp:effectExtent l="0" t="0" r="0" b="0"/>
              <wp:wrapNone/>
              <wp:docPr id="1035" name="Shape 10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9EB7AC" id="_x0000_t32" coordsize="21600,21600" o:spt="32" o:oned="t" path="m,l21600,21600e" filled="f">
              <v:path arrowok="t" fillok="f" o:connecttype="none"/>
              <o:lock v:ext="edit" shapetype="t"/>
            </v:shapetype>
            <v:shape id="Shape 1035" o:spid="_x0000_s1026" type="#_x0000_t32" style="position:absolute;margin-left:42.15pt;margin-top:33pt;width:343.2pt;height:0;z-index:-251480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Eqp&#10;wdraAAAACAEAAA8AAAAAAAAAAAAAAAAAwgMAAGRycy9kb3ducmV2LnhtbFBLBQYAAAAABAAEAPMA&#10;AADJBAAAAAA=&#10;" strokeweight="1pt">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7C9F" w14:textId="77777777" w:rsidR="00093A32" w:rsidRDefault="00093A32">
    <w:pPr>
      <w:spacing w:line="1" w:lineRule="exact"/>
    </w:pPr>
    <w:r>
      <w:rPr>
        <w:noProof/>
      </w:rPr>
      <mc:AlternateContent>
        <mc:Choice Requires="wps">
          <w:drawing>
            <wp:anchor distT="0" distB="0" distL="0" distR="0" simplePos="0" relativeHeight="252077056" behindDoc="1" locked="0" layoutInCell="1" allowOverlap="1" wp14:anchorId="68872F6E" wp14:editId="25338400">
              <wp:simplePos x="0" y="0"/>
              <wp:positionH relativeFrom="page">
                <wp:posOffset>550545</wp:posOffset>
              </wp:positionH>
              <wp:positionV relativeFrom="page">
                <wp:posOffset>311150</wp:posOffset>
              </wp:positionV>
              <wp:extent cx="2426335" cy="69850"/>
              <wp:effectExtent l="0" t="0" r="0" b="0"/>
              <wp:wrapNone/>
              <wp:docPr id="1030" name="Shape 1030"/>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0F375C9E"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wps:txbx>
                    <wps:bodyPr lIns="0" tIns="0" rIns="0" bIns="0">
                      <a:spAutoFit/>
                    </wps:bodyPr>
                  </wps:wsp>
                </a:graphicData>
              </a:graphic>
            </wp:anchor>
          </w:drawing>
        </mc:Choice>
        <mc:Fallback>
          <w:pict>
            <v:shapetype w14:anchorId="68872F6E" id="_x0000_t202" coordsize="21600,21600" o:spt="202" path="m,l,21600r21600,l21600,xe">
              <v:stroke joinstyle="miter"/>
              <v:path gradientshapeok="t" o:connecttype="rect"/>
            </v:shapetype>
            <v:shape id="Shape 1030" o:spid="_x0000_s1221" type="#_x0000_t202" style="position:absolute;margin-left:43.35pt;margin-top:24.5pt;width:191.05pt;height:5.5pt;z-index:-2512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" filled="f" stroked="f">
              <v:textbox style="mso-fit-shape-to-text:t" inset="0,0,0,0">
                <w:txbxContent>
                  <w:p w14:paraId="0F375C9E" w14:textId="77777777" w:rsidR="00093A32" w:rsidRDefault="00093A32">
                    <w:pPr>
                      <w:pStyle w:val="Headerorfooter0"/>
                      <w:tabs>
                        <w:tab w:val="right" w:pos="382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HEPATITIS C</w:t>
                    </w:r>
                  </w:p>
                </w:txbxContent>
              </v:textbox>
              <w10:wrap anchorx="page" anchory="page"/>
            </v:shape>
          </w:pict>
        </mc:Fallback>
      </mc:AlternateContent>
    </w:r>
    <w:r>
      <w:rPr>
        <w:noProof/>
      </w:rPr>
      <mc:AlternateContent>
        <mc:Choice Requires="wps">
          <w:drawing>
            <wp:anchor distT="0" distB="0" distL="114300" distR="114300" simplePos="0" relativeHeight="251835392" behindDoc="1" locked="0" layoutInCell="1" allowOverlap="1" wp14:anchorId="445BC333" wp14:editId="0F5C5525">
              <wp:simplePos x="0" y="0"/>
              <wp:positionH relativeFrom="page">
                <wp:posOffset>535305</wp:posOffset>
              </wp:positionH>
              <wp:positionV relativeFrom="page">
                <wp:posOffset>419100</wp:posOffset>
              </wp:positionV>
              <wp:extent cx="4358640" cy="0"/>
              <wp:effectExtent l="0" t="0" r="0" b="0"/>
              <wp:wrapNone/>
              <wp:docPr id="1032" name="Shape 10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49226E" id="_x0000_t32" coordsize="21600,21600" o:spt="32" o:oned="t" path="m,l21600,21600e" filled="f">
              <v:path arrowok="t" fillok="f" o:connecttype="none"/>
              <o:lock v:ext="edit" shapetype="t"/>
            </v:shapetype>
            <v:shape id="Shape 1032" o:spid="_x0000_s1026" type="#_x0000_t32" style="position:absolute;margin-left:42.15pt;margin-top:33pt;width:343.2pt;height:0;z-index:-251481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Eqp&#10;wdraAAAACAEAAA8AAAAAAAAAAAAAAAAAwgMAAGRycy9kb3ducmV2LnhtbFBLBQYAAAAABAAEAPMA&#10;AADJBAAAAAA=&#10;" strokeweight="1pt">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B8FB" w14:textId="77777777" w:rsidR="00093A32" w:rsidRDefault="00093A32">
    <w:pPr>
      <w:spacing w:line="1" w:lineRule="exact"/>
    </w:pPr>
    <w:r>
      <w:rPr>
        <w:noProof/>
      </w:rPr>
      <mc:AlternateContent>
        <mc:Choice Requires="wps">
          <w:drawing>
            <wp:anchor distT="0" distB="0" distL="0" distR="0" simplePos="0" relativeHeight="252080128" behindDoc="1" locked="0" layoutInCell="1" allowOverlap="1" wp14:anchorId="643B2935" wp14:editId="4CA8BC02">
              <wp:simplePos x="0" y="0"/>
              <wp:positionH relativeFrom="page">
                <wp:posOffset>2449830</wp:posOffset>
              </wp:positionH>
              <wp:positionV relativeFrom="page">
                <wp:posOffset>311150</wp:posOffset>
              </wp:positionV>
              <wp:extent cx="2416810" cy="69850"/>
              <wp:effectExtent l="0" t="0" r="0" b="0"/>
              <wp:wrapNone/>
              <wp:docPr id="1039" name="Shape 1039"/>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541992C3" w14:textId="77777777" w:rsidR="00093A32" w:rsidRDefault="00093A32">
                          <w:pPr>
                            <w:pStyle w:val="Headerorfooter0"/>
                            <w:tabs>
                              <w:tab w:val="right" w:pos="3806"/>
                            </w:tabs>
                            <w:rPr>
                              <w:sz w:val="16"/>
                              <w:szCs w:val="16"/>
                            </w:rPr>
                          </w:pPr>
                          <w:r>
                            <w:t>HEPATITIS D</w:t>
                          </w:r>
                          <w:r>
                            <w:tab/>
                          </w:r>
                          <w:r>
                            <w:rPr>
                              <w:sz w:val="16"/>
                              <w:szCs w:val="16"/>
                            </w:rPr>
                            <w:t>407</w:t>
                          </w:r>
                        </w:p>
                      </w:txbxContent>
                    </wps:txbx>
                    <wps:bodyPr lIns="0" tIns="0" rIns="0" bIns="0">
                      <a:spAutoFit/>
                    </wps:bodyPr>
                  </wps:wsp>
                </a:graphicData>
              </a:graphic>
            </wp:anchor>
          </w:drawing>
        </mc:Choice>
        <mc:Fallback>
          <w:pict>
            <v:shapetype w14:anchorId="643B2935" id="_x0000_t202" coordsize="21600,21600" o:spt="202" path="m,l,21600r21600,l21600,xe">
              <v:stroke joinstyle="miter"/>
              <v:path gradientshapeok="t" o:connecttype="rect"/>
            </v:shapetype>
            <v:shape id="Shape 1039" o:spid="_x0000_s1222" type="#_x0000_t202" style="position:absolute;margin-left:192.9pt;margin-top:24.5pt;width:190.3pt;height:5.5pt;z-index:-2512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" filled="f" stroked="f">
              <v:textbox style="mso-fit-shape-to-text:t" inset="0,0,0,0">
                <w:txbxContent>
                  <w:p w14:paraId="541992C3" w14:textId="77777777" w:rsidR="00093A32" w:rsidRDefault="00093A32">
                    <w:pPr>
                      <w:pStyle w:val="Headerorfooter0"/>
                      <w:tabs>
                        <w:tab w:val="right" w:pos="3806"/>
                      </w:tabs>
                      <w:rPr>
                        <w:sz w:val="16"/>
                        <w:szCs w:val="16"/>
                      </w:rPr>
                    </w:pPr>
                    <w:r>
                      <w:t>HEPATITIS D</w:t>
                    </w:r>
                    <w:r>
                      <w:tab/>
                    </w:r>
                    <w:r>
                      <w:rPr>
                        <w:sz w:val="16"/>
                        <w:szCs w:val="16"/>
                      </w:rPr>
                      <w:t>407</w:t>
                    </w:r>
                  </w:p>
                </w:txbxContent>
              </v:textbox>
              <w10:wrap anchorx="page" anchory="page"/>
            </v:shape>
          </w:pict>
        </mc:Fallback>
      </mc:AlternateContent>
    </w:r>
    <w:r>
      <w:rPr>
        <w:noProof/>
      </w:rPr>
      <mc:AlternateContent>
        <mc:Choice Requires="wps">
          <w:drawing>
            <wp:anchor distT="0" distB="0" distL="114300" distR="114300" simplePos="0" relativeHeight="251838464" behindDoc="1" locked="0" layoutInCell="1" allowOverlap="1" wp14:anchorId="004165D5" wp14:editId="67EC4C55">
              <wp:simplePos x="0" y="0"/>
              <wp:positionH relativeFrom="page">
                <wp:posOffset>529590</wp:posOffset>
              </wp:positionH>
              <wp:positionV relativeFrom="page">
                <wp:posOffset>419100</wp:posOffset>
              </wp:positionV>
              <wp:extent cx="4358640" cy="0"/>
              <wp:effectExtent l="0" t="0" r="0" b="0"/>
              <wp:wrapNone/>
              <wp:docPr id="1041" name="Shape 10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53E14C2" id="_x0000_t32" coordsize="21600,21600" o:spt="32" o:oned="t" path="m,l21600,21600e" filled="f">
              <v:path arrowok="t" fillok="f" o:connecttype="none"/>
              <o:lock v:ext="edit" shapetype="t"/>
            </v:shapetype>
            <v:shape id="Shape 1041" o:spid="_x0000_s1026" type="#_x0000_t32" style="position:absolute;margin-left:41.7pt;margin-top:33pt;width:343.2pt;height:0;z-index:-251478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" strokeweight="1pt">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9A81" w14:textId="77777777" w:rsidR="00093A32" w:rsidRDefault="00093A32">
    <w:pPr>
      <w:spacing w:line="1" w:lineRule="exact"/>
    </w:pPr>
    <w:r>
      <w:rPr>
        <w:noProof/>
      </w:rPr>
      <mc:AlternateContent>
        <mc:Choice Requires="wps">
          <w:drawing>
            <wp:anchor distT="0" distB="0" distL="0" distR="0" simplePos="0" relativeHeight="252079104" behindDoc="1" locked="0" layoutInCell="1" allowOverlap="1" wp14:anchorId="6F393C4F" wp14:editId="01CB8C5A">
              <wp:simplePos x="0" y="0"/>
              <wp:positionH relativeFrom="page">
                <wp:posOffset>2449830</wp:posOffset>
              </wp:positionH>
              <wp:positionV relativeFrom="page">
                <wp:posOffset>311150</wp:posOffset>
              </wp:positionV>
              <wp:extent cx="2416810" cy="69850"/>
              <wp:effectExtent l="0" t="0" r="0" b="0"/>
              <wp:wrapNone/>
              <wp:docPr id="1036" name="Shape 1036"/>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0DB9FF3E" w14:textId="77777777" w:rsidR="00093A32" w:rsidRDefault="00093A32">
                          <w:pPr>
                            <w:pStyle w:val="Headerorfooter0"/>
                            <w:tabs>
                              <w:tab w:val="right" w:pos="3806"/>
                            </w:tabs>
                            <w:rPr>
                              <w:sz w:val="16"/>
                              <w:szCs w:val="16"/>
                            </w:rPr>
                          </w:pPr>
                          <w:r>
                            <w:t>HEPATITIS D</w:t>
                          </w:r>
                          <w:r>
                            <w:tab/>
                          </w:r>
                          <w:r>
                            <w:rPr>
                              <w:sz w:val="16"/>
                              <w:szCs w:val="16"/>
                            </w:rPr>
                            <w:t>407</w:t>
                          </w:r>
                        </w:p>
                      </w:txbxContent>
                    </wps:txbx>
                    <wps:bodyPr lIns="0" tIns="0" rIns="0" bIns="0">
                      <a:spAutoFit/>
                    </wps:bodyPr>
                  </wps:wsp>
                </a:graphicData>
              </a:graphic>
            </wp:anchor>
          </w:drawing>
        </mc:Choice>
        <mc:Fallback>
          <w:pict>
            <v:shapetype w14:anchorId="6F393C4F" id="_x0000_t202" coordsize="21600,21600" o:spt="202" path="m,l,21600r21600,l21600,xe">
              <v:stroke joinstyle="miter"/>
              <v:path gradientshapeok="t" o:connecttype="rect"/>
            </v:shapetype>
            <v:shape id="Shape 1036" o:spid="_x0000_s1223" type="#_x0000_t202" style="position:absolute;margin-left:192.9pt;margin-top:24.5pt;width:190.3pt;height:5.5pt;z-index:-2512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" filled="f" stroked="f">
              <v:textbox style="mso-fit-shape-to-text:t" inset="0,0,0,0">
                <w:txbxContent>
                  <w:p w14:paraId="0DB9FF3E" w14:textId="77777777" w:rsidR="00093A32" w:rsidRDefault="00093A32">
                    <w:pPr>
                      <w:pStyle w:val="Headerorfooter0"/>
                      <w:tabs>
                        <w:tab w:val="right" w:pos="3806"/>
                      </w:tabs>
                      <w:rPr>
                        <w:sz w:val="16"/>
                        <w:szCs w:val="16"/>
                      </w:rPr>
                    </w:pPr>
                    <w:r>
                      <w:t>HEPATITIS D</w:t>
                    </w:r>
                    <w:r>
                      <w:tab/>
                    </w:r>
                    <w:r>
                      <w:rPr>
                        <w:sz w:val="16"/>
                        <w:szCs w:val="16"/>
                      </w:rPr>
                      <w:t>407</w:t>
                    </w:r>
                  </w:p>
                </w:txbxContent>
              </v:textbox>
              <w10:wrap anchorx="page" anchory="page"/>
            </v:shape>
          </w:pict>
        </mc:Fallback>
      </mc:AlternateContent>
    </w:r>
    <w:r>
      <w:rPr>
        <w:noProof/>
      </w:rPr>
      <mc:AlternateContent>
        <mc:Choice Requires="wps">
          <w:drawing>
            <wp:anchor distT="0" distB="0" distL="114300" distR="114300" simplePos="0" relativeHeight="251837440" behindDoc="1" locked="0" layoutInCell="1" allowOverlap="1" wp14:anchorId="78D410AA" wp14:editId="7A903DE5">
              <wp:simplePos x="0" y="0"/>
              <wp:positionH relativeFrom="page">
                <wp:posOffset>529590</wp:posOffset>
              </wp:positionH>
              <wp:positionV relativeFrom="page">
                <wp:posOffset>419100</wp:posOffset>
              </wp:positionV>
              <wp:extent cx="4358640" cy="0"/>
              <wp:effectExtent l="0" t="0" r="0" b="0"/>
              <wp:wrapNone/>
              <wp:docPr id="1038" name="Shape 10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D5DD22" id="_x0000_t32" coordsize="21600,21600" o:spt="32" o:oned="t" path="m,l21600,21600e" filled="f">
              <v:path arrowok="t" fillok="f" o:connecttype="none"/>
              <o:lock v:ext="edit" shapetype="t"/>
            </v:shapetype>
            <v:shape id="Shape 1038" o:spid="_x0000_s1026" type="#_x0000_t32" style="position:absolute;margin-left:41.7pt;margin-top:33pt;width:343.2pt;height:0;z-index:-251479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" strokeweight="1pt">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C734" w14:textId="77777777" w:rsidR="00093A32" w:rsidRDefault="00093A32">
    <w:pPr>
      <w:spacing w:line="1" w:lineRule="exact"/>
    </w:pPr>
    <w:r>
      <w:rPr>
        <w:noProof/>
      </w:rPr>
      <mc:AlternateContent>
        <mc:Choice Requires="wps">
          <w:drawing>
            <wp:anchor distT="0" distB="0" distL="0" distR="0" simplePos="0" relativeHeight="252082176" behindDoc="1" locked="0" layoutInCell="1" allowOverlap="1" wp14:anchorId="0AA37FF1" wp14:editId="3D6FFCDE">
              <wp:simplePos x="0" y="0"/>
              <wp:positionH relativeFrom="page">
                <wp:posOffset>2452370</wp:posOffset>
              </wp:positionH>
              <wp:positionV relativeFrom="page">
                <wp:posOffset>311150</wp:posOffset>
              </wp:positionV>
              <wp:extent cx="2414270" cy="69850"/>
              <wp:effectExtent l="0" t="0" r="0" b="0"/>
              <wp:wrapNone/>
              <wp:docPr id="1045" name="Shape 1045"/>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0E8BD45E" w14:textId="77777777" w:rsidR="00093A32" w:rsidRDefault="00093A32">
                          <w:pPr>
                            <w:pStyle w:val="Headerorfooter0"/>
                            <w:tabs>
                              <w:tab w:val="right" w:pos="3802"/>
                            </w:tabs>
                            <w:rPr>
                              <w:sz w:val="16"/>
                              <w:szCs w:val="16"/>
                            </w:rPr>
                          </w:pPr>
                          <w:r>
                            <w:t>HEPATITIS E</w:t>
                          </w:r>
                          <w:r>
                            <w:tab/>
                          </w:r>
                          <w:r>
                            <w:rPr>
                              <w:sz w:val="16"/>
                              <w:szCs w:val="16"/>
                            </w:rPr>
                            <w:t>409</w:t>
                          </w:r>
                        </w:p>
                      </w:txbxContent>
                    </wps:txbx>
                    <wps:bodyPr lIns="0" tIns="0" rIns="0" bIns="0">
                      <a:spAutoFit/>
                    </wps:bodyPr>
                  </wps:wsp>
                </a:graphicData>
              </a:graphic>
            </wp:anchor>
          </w:drawing>
        </mc:Choice>
        <mc:Fallback>
          <w:pict>
            <v:shapetype w14:anchorId="0AA37FF1" id="_x0000_t202" coordsize="21600,21600" o:spt="202" path="m,l,21600r21600,l21600,xe">
              <v:stroke joinstyle="miter"/>
              <v:path gradientshapeok="t" o:connecttype="rect"/>
            </v:shapetype>
            <v:shape id="Shape 1045" o:spid="_x0000_s1224" type="#_x0000_t202" style="position:absolute;margin-left:193.1pt;margin-top:24.5pt;width:190.1pt;height:5.5pt;z-index:-2512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" filled="f" stroked="f">
              <v:textbox style="mso-fit-shape-to-text:t" inset="0,0,0,0">
                <w:txbxContent>
                  <w:p w14:paraId="0E8BD45E" w14:textId="77777777" w:rsidR="00093A32" w:rsidRDefault="00093A32">
                    <w:pPr>
                      <w:pStyle w:val="Headerorfooter0"/>
                      <w:tabs>
                        <w:tab w:val="right" w:pos="3802"/>
                      </w:tabs>
                      <w:rPr>
                        <w:sz w:val="16"/>
                        <w:szCs w:val="16"/>
                      </w:rPr>
                    </w:pPr>
                    <w:r>
                      <w:t>HEPATITIS E</w:t>
                    </w:r>
                    <w:r>
                      <w:tab/>
                    </w:r>
                    <w:r>
                      <w:rPr>
                        <w:sz w:val="16"/>
                        <w:szCs w:val="16"/>
                      </w:rPr>
                      <w:t>409</w:t>
                    </w:r>
                  </w:p>
                </w:txbxContent>
              </v:textbox>
              <w10:wrap anchorx="page" anchory="page"/>
            </v:shape>
          </w:pict>
        </mc:Fallback>
      </mc:AlternateContent>
    </w:r>
    <w:r>
      <w:rPr>
        <w:noProof/>
      </w:rPr>
      <mc:AlternateContent>
        <mc:Choice Requires="wps">
          <w:drawing>
            <wp:anchor distT="0" distB="0" distL="114300" distR="114300" simplePos="0" relativeHeight="251840512" behindDoc="1" locked="0" layoutInCell="1" allowOverlap="1" wp14:anchorId="0C44B2F5" wp14:editId="42922078">
              <wp:simplePos x="0" y="0"/>
              <wp:positionH relativeFrom="page">
                <wp:posOffset>529590</wp:posOffset>
              </wp:positionH>
              <wp:positionV relativeFrom="page">
                <wp:posOffset>419100</wp:posOffset>
              </wp:positionV>
              <wp:extent cx="4358640" cy="0"/>
              <wp:effectExtent l="0" t="0" r="0" b="0"/>
              <wp:wrapNone/>
              <wp:docPr id="1047" name="Shape 104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1752D3" id="_x0000_t32" coordsize="21600,21600" o:spt="32" o:oned="t" path="m,l21600,21600e" filled="f">
              <v:path arrowok="t" fillok="f" o:connecttype="none"/>
              <o:lock v:ext="edit" shapetype="t"/>
            </v:shapetype>
            <v:shape id="Shape 1047" o:spid="_x0000_s1026" type="#_x0000_t32" style="position:absolute;margin-left:41.7pt;margin-top:33pt;width:343.2pt;height:0;z-index:-251475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" strokeweight="1pt">
              <w10:wrap anchorx="page" anchory="page"/>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D515" w14:textId="77777777" w:rsidR="00093A32" w:rsidRDefault="00093A32">
    <w:pPr>
      <w:spacing w:line="1" w:lineRule="exact"/>
    </w:pPr>
    <w:r>
      <w:rPr>
        <w:noProof/>
      </w:rPr>
      <mc:AlternateContent>
        <mc:Choice Requires="wps">
          <w:drawing>
            <wp:anchor distT="0" distB="0" distL="0" distR="0" simplePos="0" relativeHeight="252081152" behindDoc="1" locked="0" layoutInCell="1" allowOverlap="1" wp14:anchorId="7AF46FA9" wp14:editId="0E6C9EF5">
              <wp:simplePos x="0" y="0"/>
              <wp:positionH relativeFrom="page">
                <wp:posOffset>565785</wp:posOffset>
              </wp:positionH>
              <wp:positionV relativeFrom="page">
                <wp:posOffset>311150</wp:posOffset>
              </wp:positionV>
              <wp:extent cx="2426335" cy="69850"/>
              <wp:effectExtent l="0" t="0" r="0" b="0"/>
              <wp:wrapNone/>
              <wp:docPr id="1042" name="Shape 1042"/>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3F5F97AE" w14:textId="77777777" w:rsidR="00093A32" w:rsidRDefault="00093A32">
                          <w:pPr>
                            <w:pStyle w:val="Headerorfooter0"/>
                            <w:tabs>
                              <w:tab w:val="right" w:pos="3821"/>
                            </w:tabs>
                          </w:pPr>
                          <w:r>
                            <w:rPr>
                              <w:sz w:val="16"/>
                              <w:szCs w:val="16"/>
                            </w:rPr>
                            <w:t>410</w:t>
                          </w:r>
                          <w:r>
                            <w:rPr>
                              <w:sz w:val="16"/>
                              <w:szCs w:val="16"/>
                            </w:rPr>
                            <w:tab/>
                          </w:r>
                          <w:r>
                            <w:t>HEPATITIS G</w:t>
                          </w:r>
                        </w:p>
                      </w:txbxContent>
                    </wps:txbx>
                    <wps:bodyPr lIns="0" tIns="0" rIns="0" bIns="0">
                      <a:spAutoFit/>
                    </wps:bodyPr>
                  </wps:wsp>
                </a:graphicData>
              </a:graphic>
            </wp:anchor>
          </w:drawing>
        </mc:Choice>
        <mc:Fallback>
          <w:pict>
            <v:shapetype w14:anchorId="7AF46FA9" id="_x0000_t202" coordsize="21600,21600" o:spt="202" path="m,l,21600r21600,l21600,xe">
              <v:stroke joinstyle="miter"/>
              <v:path gradientshapeok="t" o:connecttype="rect"/>
            </v:shapetype>
            <v:shape id="Shape 1042" o:spid="_x0000_s1225" type="#_x0000_t202" style="position:absolute;margin-left:44.55pt;margin-top:24.5pt;width:191.05pt;height:5.5pt;z-index:-2512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" filled="f" stroked="f">
              <v:textbox style="mso-fit-shape-to-text:t" inset="0,0,0,0">
                <w:txbxContent>
                  <w:p w14:paraId="3F5F97AE" w14:textId="77777777" w:rsidR="00093A32" w:rsidRDefault="00093A32">
                    <w:pPr>
                      <w:pStyle w:val="Headerorfooter0"/>
                      <w:tabs>
                        <w:tab w:val="right" w:pos="3821"/>
                      </w:tabs>
                    </w:pPr>
                    <w:r>
                      <w:rPr>
                        <w:sz w:val="16"/>
                        <w:szCs w:val="16"/>
                      </w:rPr>
                      <w:t>410</w:t>
                    </w:r>
                    <w:r>
                      <w:rPr>
                        <w:sz w:val="16"/>
                        <w:szCs w:val="16"/>
                      </w:rPr>
                      <w:tab/>
                    </w:r>
                    <w:r>
                      <w:t>HEPATITIS G</w:t>
                    </w:r>
                  </w:p>
                </w:txbxContent>
              </v:textbox>
              <w10:wrap anchorx="page" anchory="page"/>
            </v:shape>
          </w:pict>
        </mc:Fallback>
      </mc:AlternateContent>
    </w:r>
    <w:r>
      <w:rPr>
        <w:noProof/>
      </w:rPr>
      <mc:AlternateContent>
        <mc:Choice Requires="wps">
          <w:drawing>
            <wp:anchor distT="0" distB="0" distL="114300" distR="114300" simplePos="0" relativeHeight="251839488" behindDoc="1" locked="0" layoutInCell="1" allowOverlap="1" wp14:anchorId="781ADA84" wp14:editId="393DFF07">
              <wp:simplePos x="0" y="0"/>
              <wp:positionH relativeFrom="page">
                <wp:posOffset>550545</wp:posOffset>
              </wp:positionH>
              <wp:positionV relativeFrom="page">
                <wp:posOffset>419100</wp:posOffset>
              </wp:positionV>
              <wp:extent cx="4358640" cy="0"/>
              <wp:effectExtent l="0" t="0" r="0" b="0"/>
              <wp:wrapNone/>
              <wp:docPr id="1044" name="Shape 104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FB465A" id="_x0000_t32" coordsize="21600,21600" o:spt="32" o:oned="t" path="m,l21600,21600e" filled="f">
              <v:path arrowok="t" fillok="f" o:connecttype="none"/>
              <o:lock v:ext="edit" shapetype="t"/>
            </v:shapetype>
            <v:shape id="Shape 1044" o:spid="_x0000_s1026" type="#_x0000_t32" style="position:absolute;margin-left:43.35pt;margin-top:33pt;width:343.2pt;height:0;z-index:-251476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tEu1D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2Z&#10;SjmpQSmexH6aPm5A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PtE&#10;u1DaAAAACAEAAA8AAAAAAAAAAAAAAAAAwgMAAGRycy9kb3ducmV2LnhtbFBLBQYAAAAABAAEAPMA&#10;AADJBAAAAAA=&#10;" strokeweight="1pt">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D5F9" w14:textId="77777777" w:rsidR="00093A32" w:rsidRDefault="00093A32">
    <w:pPr>
      <w:spacing w:line="1" w:lineRule="exact"/>
    </w:pPr>
    <w:r>
      <w:rPr>
        <w:noProof/>
      </w:rPr>
      <mc:AlternateContent>
        <mc:Choice Requires="wps">
          <w:drawing>
            <wp:anchor distT="0" distB="0" distL="0" distR="0" simplePos="0" relativeHeight="252084224" behindDoc="1" locked="0" layoutInCell="1" allowOverlap="1" wp14:anchorId="1A6D79CD" wp14:editId="74E6612C">
              <wp:simplePos x="0" y="0"/>
              <wp:positionH relativeFrom="page">
                <wp:posOffset>547370</wp:posOffset>
              </wp:positionH>
              <wp:positionV relativeFrom="page">
                <wp:posOffset>311150</wp:posOffset>
              </wp:positionV>
              <wp:extent cx="2517775" cy="69850"/>
              <wp:effectExtent l="0" t="0" r="0" b="0"/>
              <wp:wrapNone/>
              <wp:docPr id="1051" name="Shape 1051"/>
              <wp:cNvGraphicFramePr/>
              <a:graphic xmlns:a="http://schemas.openxmlformats.org/drawingml/2006/main">
                <a:graphicData uri="http://schemas.microsoft.com/office/word/2010/wordprocessingShape">
                  <wps:wsp>
                    <wps:cNvSpPr txBox="1"/>
                    <wps:spPr>
                      <a:xfrm>
                        <a:off x="0" y="0"/>
                        <a:ext cx="2517775" cy="69850"/>
                      </a:xfrm>
                      <a:prstGeom prst="rect">
                        <a:avLst/>
                      </a:prstGeom>
                      <a:noFill/>
                    </wps:spPr>
                    <wps:txbx>
                      <w:txbxContent>
                        <w:p w14:paraId="3B06821F" w14:textId="77777777" w:rsidR="00093A32" w:rsidRDefault="00093A32">
                          <w:pPr>
                            <w:pStyle w:val="Headerorfooter0"/>
                            <w:tabs>
                              <w:tab w:val="right" w:pos="3965"/>
                            </w:tabs>
                          </w:pPr>
                          <w:r>
                            <w:rPr>
                              <w:sz w:val="16"/>
                              <w:szCs w:val="16"/>
                            </w:rPr>
                            <w:t>412</w:t>
                          </w:r>
                          <w:r>
                            <w:rPr>
                              <w:sz w:val="16"/>
                              <w:szCs w:val="16"/>
                            </w:rPr>
                            <w:tab/>
                          </w:r>
                          <w:r>
                            <w:t>HERPES SIMPLE</w:t>
                          </w:r>
                        </w:p>
                      </w:txbxContent>
                    </wps:txbx>
                    <wps:bodyPr lIns="0" tIns="0" rIns="0" bIns="0">
                      <a:spAutoFit/>
                    </wps:bodyPr>
                  </wps:wsp>
                </a:graphicData>
              </a:graphic>
            </wp:anchor>
          </w:drawing>
        </mc:Choice>
        <mc:Fallback>
          <w:pict>
            <v:shapetype w14:anchorId="1A6D79CD" id="_x0000_t202" coordsize="21600,21600" o:spt="202" path="m,l,21600r21600,l21600,xe">
              <v:stroke joinstyle="miter"/>
              <v:path gradientshapeok="t" o:connecttype="rect"/>
            </v:shapetype>
            <v:shape id="Shape 1051" o:spid="_x0000_s1226" type="#_x0000_t202" style="position:absolute;margin-left:43.1pt;margin-top:24.5pt;width:198.25pt;height:5.5pt;z-index:-2512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" filled="f" stroked="f">
              <v:textbox style="mso-fit-shape-to-text:t" inset="0,0,0,0">
                <w:txbxContent>
                  <w:p w14:paraId="3B06821F" w14:textId="77777777" w:rsidR="00093A32" w:rsidRDefault="00093A32">
                    <w:pPr>
                      <w:pStyle w:val="Headerorfooter0"/>
                      <w:tabs>
                        <w:tab w:val="right" w:pos="3965"/>
                      </w:tabs>
                    </w:pPr>
                    <w:r>
                      <w:rPr>
                        <w:sz w:val="16"/>
                        <w:szCs w:val="16"/>
                      </w:rPr>
                      <w:t>412</w:t>
                    </w:r>
                    <w:r>
                      <w:rPr>
                        <w:sz w:val="16"/>
                        <w:szCs w:val="16"/>
                      </w:rPr>
                      <w:tab/>
                    </w:r>
                    <w:r>
                      <w:t>HERPES SIMPLE</w:t>
                    </w:r>
                  </w:p>
                </w:txbxContent>
              </v:textbox>
              <w10:wrap anchorx="page" anchory="page"/>
            </v:shape>
          </w:pict>
        </mc:Fallback>
      </mc:AlternateContent>
    </w:r>
    <w:r>
      <w:rPr>
        <w:noProof/>
      </w:rPr>
      <mc:AlternateContent>
        <mc:Choice Requires="wps">
          <w:drawing>
            <wp:anchor distT="0" distB="0" distL="114300" distR="114300" simplePos="0" relativeHeight="251842560" behindDoc="1" locked="0" layoutInCell="1" allowOverlap="1" wp14:anchorId="452ABB90" wp14:editId="136A506B">
              <wp:simplePos x="0" y="0"/>
              <wp:positionH relativeFrom="page">
                <wp:posOffset>532130</wp:posOffset>
              </wp:positionH>
              <wp:positionV relativeFrom="page">
                <wp:posOffset>419100</wp:posOffset>
              </wp:positionV>
              <wp:extent cx="4358640" cy="0"/>
              <wp:effectExtent l="0" t="0" r="0" b="0"/>
              <wp:wrapNone/>
              <wp:docPr id="1053" name="Shape 105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7FFAA9" id="_x0000_t32" coordsize="21600,21600" o:spt="32" o:oned="t" path="m,l21600,21600e" filled="f">
              <v:path arrowok="t" fillok="f" o:connecttype="none"/>
              <o:lock v:ext="edit" shapetype="t"/>
            </v:shapetype>
            <v:shape id="Shape 1053" o:spid="_x0000_s1026" type="#_x0000_t32" style="position:absolute;margin-left:41.9pt;margin-top:33pt;width:343.2pt;height:0;z-index:-251473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B879" w14:textId="77777777" w:rsidR="00093A32" w:rsidRDefault="00093A32">
    <w:pPr>
      <w:spacing w:line="1" w:lineRule="exact"/>
    </w:pPr>
    <w:r>
      <w:rPr>
        <w:noProof/>
      </w:rPr>
      <mc:AlternateContent>
        <mc:Choice Requires="wps">
          <w:drawing>
            <wp:anchor distT="0" distB="0" distL="0" distR="0" simplePos="0" relativeHeight="252083200" behindDoc="1" locked="0" layoutInCell="1" allowOverlap="1" wp14:anchorId="709BC8D3" wp14:editId="23742A16">
              <wp:simplePos x="0" y="0"/>
              <wp:positionH relativeFrom="page">
                <wp:posOffset>2356485</wp:posOffset>
              </wp:positionH>
              <wp:positionV relativeFrom="page">
                <wp:posOffset>311150</wp:posOffset>
              </wp:positionV>
              <wp:extent cx="2496185" cy="69850"/>
              <wp:effectExtent l="0" t="0" r="0" b="0"/>
              <wp:wrapNone/>
              <wp:docPr id="1048" name="Shape 1048"/>
              <wp:cNvGraphicFramePr/>
              <a:graphic xmlns:a="http://schemas.openxmlformats.org/drawingml/2006/main">
                <a:graphicData uri="http://schemas.microsoft.com/office/word/2010/wordprocessingShape">
                  <wps:wsp>
                    <wps:cNvSpPr txBox="1"/>
                    <wps:spPr>
                      <a:xfrm>
                        <a:off x="0" y="0"/>
                        <a:ext cx="2496185" cy="69850"/>
                      </a:xfrm>
                      <a:prstGeom prst="rect">
                        <a:avLst/>
                      </a:prstGeom>
                      <a:noFill/>
                    </wps:spPr>
                    <wps:txbx>
                      <w:txbxContent>
                        <w:p w14:paraId="2D8FA9CA" w14:textId="77777777" w:rsidR="00093A32" w:rsidRDefault="00093A32">
                          <w:pPr>
                            <w:pStyle w:val="Headerorfooter0"/>
                            <w:tabs>
                              <w:tab w:val="right" w:pos="3931"/>
                            </w:tabs>
                            <w:rPr>
                              <w:sz w:val="16"/>
                              <w:szCs w:val="16"/>
                            </w:rPr>
                          </w:pPr>
                          <w:r>
                            <w:t>HERPES SIMPLE</w:t>
                          </w:r>
                          <w:r>
                            <w:tab/>
                          </w:r>
                          <w:r>
                            <w:rPr>
                              <w:sz w:val="16"/>
                              <w:szCs w:val="16"/>
                            </w:rPr>
                            <w:t>411</w:t>
                          </w:r>
                        </w:p>
                      </w:txbxContent>
                    </wps:txbx>
                    <wps:bodyPr lIns="0" tIns="0" rIns="0" bIns="0">
                      <a:spAutoFit/>
                    </wps:bodyPr>
                  </wps:wsp>
                </a:graphicData>
              </a:graphic>
            </wp:anchor>
          </w:drawing>
        </mc:Choice>
        <mc:Fallback>
          <w:pict>
            <v:shapetype w14:anchorId="709BC8D3" id="_x0000_t202" coordsize="21600,21600" o:spt="202" path="m,l,21600r21600,l21600,xe">
              <v:stroke joinstyle="miter"/>
              <v:path gradientshapeok="t" o:connecttype="rect"/>
            </v:shapetype>
            <v:shape id="Shape 1048" o:spid="_x0000_s1227" type="#_x0000_t202" style="position:absolute;margin-left:185.55pt;margin-top:24.5pt;width:196.55pt;height:5.5pt;z-index:-2512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" filled="f" stroked="f">
              <v:textbox style="mso-fit-shape-to-text:t" inset="0,0,0,0">
                <w:txbxContent>
                  <w:p w14:paraId="2D8FA9CA" w14:textId="77777777" w:rsidR="00093A32" w:rsidRDefault="00093A32">
                    <w:pPr>
                      <w:pStyle w:val="Headerorfooter0"/>
                      <w:tabs>
                        <w:tab w:val="right" w:pos="3931"/>
                      </w:tabs>
                      <w:rPr>
                        <w:sz w:val="16"/>
                        <w:szCs w:val="16"/>
                      </w:rPr>
                    </w:pPr>
                    <w:r>
                      <w:t>HERPES SIMPLE</w:t>
                    </w:r>
                    <w:r>
                      <w:tab/>
                    </w:r>
                    <w:r>
                      <w:rPr>
                        <w:sz w:val="16"/>
                        <w:szCs w:val="16"/>
                      </w:rPr>
                      <w:t>411</w:t>
                    </w:r>
                  </w:p>
                </w:txbxContent>
              </v:textbox>
              <w10:wrap anchorx="page" anchory="page"/>
            </v:shape>
          </w:pict>
        </mc:Fallback>
      </mc:AlternateContent>
    </w:r>
    <w:r>
      <w:rPr>
        <w:noProof/>
      </w:rPr>
      <mc:AlternateContent>
        <mc:Choice Requires="wps">
          <w:drawing>
            <wp:anchor distT="0" distB="0" distL="114300" distR="114300" simplePos="0" relativeHeight="251841536" behindDoc="1" locked="0" layoutInCell="1" allowOverlap="1" wp14:anchorId="3A7F42F8" wp14:editId="3F38E7AE">
              <wp:simplePos x="0" y="0"/>
              <wp:positionH relativeFrom="page">
                <wp:posOffset>530860</wp:posOffset>
              </wp:positionH>
              <wp:positionV relativeFrom="page">
                <wp:posOffset>419100</wp:posOffset>
              </wp:positionV>
              <wp:extent cx="4358640" cy="0"/>
              <wp:effectExtent l="0" t="0" r="0" b="0"/>
              <wp:wrapNone/>
              <wp:docPr id="1050" name="Shape 105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990068" id="_x0000_t32" coordsize="21600,21600" o:spt="32" o:oned="t" path="m,l21600,21600e" filled="f">
              <v:path arrowok="t" fillok="f" o:connecttype="none"/>
              <o:lock v:ext="edit" shapetype="t"/>
            </v:shapetype>
            <v:shape id="Shape 1050" o:spid="_x0000_s1026" type="#_x0000_t32" style="position:absolute;margin-left:41.8pt;margin-top:33pt;width:343.2pt;height:0;z-index:-251474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DjnFb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94qdGpTiSqznecZ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EDj&#10;nFbaAAAACAEAAA8AAAAAAAAAAAAAAAAAwgMAAGRycy9kb3ducmV2LnhtbFBLBQYAAAAABAAEAPMA&#10;AADJBAAAAAA=&#10;" strokeweight="1pt">
              <w10:wrap anchorx="page" anchory="page"/>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6362" w14:textId="77777777" w:rsidR="00093A32" w:rsidRDefault="00093A32">
    <w:pPr>
      <w:spacing w:line="1" w:lineRule="exact"/>
    </w:pPr>
    <w:r>
      <w:rPr>
        <w:noProof/>
      </w:rPr>
      <mc:AlternateContent>
        <mc:Choice Requires="wps">
          <w:drawing>
            <wp:anchor distT="0" distB="0" distL="0" distR="0" simplePos="0" relativeHeight="252085248" behindDoc="1" locked="0" layoutInCell="1" allowOverlap="1" wp14:anchorId="051CD1E9" wp14:editId="3DAD8700">
              <wp:simplePos x="0" y="0"/>
              <wp:positionH relativeFrom="page">
                <wp:posOffset>565785</wp:posOffset>
              </wp:positionH>
              <wp:positionV relativeFrom="page">
                <wp:posOffset>311150</wp:posOffset>
              </wp:positionV>
              <wp:extent cx="2426335" cy="69850"/>
              <wp:effectExtent l="0" t="0" r="0" b="0"/>
              <wp:wrapNone/>
              <wp:docPr id="1054" name="Shape 1054"/>
              <wp:cNvGraphicFramePr/>
              <a:graphic xmlns:a="http://schemas.openxmlformats.org/drawingml/2006/main">
                <a:graphicData uri="http://schemas.microsoft.com/office/word/2010/wordprocessingShape">
                  <wps:wsp>
                    <wps:cNvSpPr txBox="1"/>
                    <wps:spPr>
                      <a:xfrm>
                        <a:off x="0" y="0"/>
                        <a:ext cx="2426335" cy="69850"/>
                      </a:xfrm>
                      <a:prstGeom prst="rect">
                        <a:avLst/>
                      </a:prstGeom>
                      <a:noFill/>
                    </wps:spPr>
                    <wps:txbx>
                      <w:txbxContent>
                        <w:p w14:paraId="4D3ACCC2" w14:textId="77777777" w:rsidR="00093A32" w:rsidRDefault="00093A32">
                          <w:pPr>
                            <w:pStyle w:val="Headerorfooter0"/>
                            <w:tabs>
                              <w:tab w:val="right" w:pos="3821"/>
                            </w:tabs>
                          </w:pPr>
                          <w:r>
                            <w:rPr>
                              <w:sz w:val="16"/>
                              <w:szCs w:val="16"/>
                            </w:rPr>
                            <w:t>410</w:t>
                          </w:r>
                          <w:r>
                            <w:rPr>
                              <w:sz w:val="16"/>
                              <w:szCs w:val="16"/>
                            </w:rPr>
                            <w:tab/>
                          </w:r>
                          <w:r>
                            <w:t>HEPATITIS G</w:t>
                          </w:r>
                        </w:p>
                      </w:txbxContent>
                    </wps:txbx>
                    <wps:bodyPr lIns="0" tIns="0" rIns="0" bIns="0">
                      <a:spAutoFit/>
                    </wps:bodyPr>
                  </wps:wsp>
                </a:graphicData>
              </a:graphic>
            </wp:anchor>
          </w:drawing>
        </mc:Choice>
        <mc:Fallback>
          <w:pict>
            <v:shapetype w14:anchorId="051CD1E9" id="_x0000_t202" coordsize="21600,21600" o:spt="202" path="m,l,21600r21600,l21600,xe">
              <v:stroke joinstyle="miter"/>
              <v:path gradientshapeok="t" o:connecttype="rect"/>
            </v:shapetype>
            <v:shape id="Shape 1054" o:spid="_x0000_s1228" type="#_x0000_t202" style="position:absolute;margin-left:44.55pt;margin-top:24.5pt;width:191.05pt;height:5.5pt;z-index:-2512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" filled="f" stroked="f">
              <v:textbox style="mso-fit-shape-to-text:t" inset="0,0,0,0">
                <w:txbxContent>
                  <w:p w14:paraId="4D3ACCC2" w14:textId="77777777" w:rsidR="00093A32" w:rsidRDefault="00093A32">
                    <w:pPr>
                      <w:pStyle w:val="Headerorfooter0"/>
                      <w:tabs>
                        <w:tab w:val="right" w:pos="3821"/>
                      </w:tabs>
                    </w:pPr>
                    <w:r>
                      <w:rPr>
                        <w:sz w:val="16"/>
                        <w:szCs w:val="16"/>
                      </w:rPr>
                      <w:t>410</w:t>
                    </w:r>
                    <w:r>
                      <w:rPr>
                        <w:sz w:val="16"/>
                        <w:szCs w:val="16"/>
                      </w:rPr>
                      <w:tab/>
                    </w:r>
                    <w:r>
                      <w:t>HEPATITIS G</w:t>
                    </w:r>
                  </w:p>
                </w:txbxContent>
              </v:textbox>
              <w10:wrap anchorx="page" anchory="page"/>
            </v:shape>
          </w:pict>
        </mc:Fallback>
      </mc:AlternateContent>
    </w:r>
    <w:r>
      <w:rPr>
        <w:noProof/>
      </w:rPr>
      <mc:AlternateContent>
        <mc:Choice Requires="wps">
          <w:drawing>
            <wp:anchor distT="0" distB="0" distL="114300" distR="114300" simplePos="0" relativeHeight="251843584" behindDoc="1" locked="0" layoutInCell="1" allowOverlap="1" wp14:anchorId="4520DD0C" wp14:editId="18CCEB3B">
              <wp:simplePos x="0" y="0"/>
              <wp:positionH relativeFrom="page">
                <wp:posOffset>550545</wp:posOffset>
              </wp:positionH>
              <wp:positionV relativeFrom="page">
                <wp:posOffset>419100</wp:posOffset>
              </wp:positionV>
              <wp:extent cx="4358640" cy="0"/>
              <wp:effectExtent l="0" t="0" r="0" b="0"/>
              <wp:wrapNone/>
              <wp:docPr id="1056" name="Shape 105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1D35ACD" id="_x0000_t32" coordsize="21600,21600" o:spt="32" o:oned="t" path="m,l21600,21600e" filled="f">
              <v:path arrowok="t" fillok="f" o:connecttype="none"/>
              <o:lock v:ext="edit" shapetype="t"/>
            </v:shapetype>
            <v:shape id="Shape 1056" o:spid="_x0000_s1026" type="#_x0000_t32" style="position:absolute;margin-left:43.35pt;margin-top:33pt;width:343.2pt;height:0;z-index:-251472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PtE&#10;u1DaAAAACAEAAA8AAAAAAAAAAAAAAAAAwgMAAGRycy9kb3ducmV2LnhtbFBLBQYAAAAABAAEAPMA&#10;AADJBAAAAAA=&#10;" strokeweight="1pt">
              <w10:wrap anchorx="page" anchory="page"/>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E707" w14:textId="77777777" w:rsidR="00093A32" w:rsidRDefault="00093A32">
    <w:pPr>
      <w:spacing w:line="1" w:lineRule="exact"/>
    </w:pPr>
    <w:r>
      <w:rPr>
        <w:noProof/>
      </w:rPr>
      <mc:AlternateContent>
        <mc:Choice Requires="wps">
          <w:drawing>
            <wp:anchor distT="0" distB="0" distL="0" distR="0" simplePos="0" relativeHeight="252087296" behindDoc="1" locked="0" layoutInCell="1" allowOverlap="1" wp14:anchorId="0868F00F" wp14:editId="3CCE16B6">
              <wp:simplePos x="0" y="0"/>
              <wp:positionH relativeFrom="page">
                <wp:posOffset>547370</wp:posOffset>
              </wp:positionH>
              <wp:positionV relativeFrom="page">
                <wp:posOffset>311150</wp:posOffset>
              </wp:positionV>
              <wp:extent cx="2551430" cy="69850"/>
              <wp:effectExtent l="0" t="0" r="0" b="0"/>
              <wp:wrapNone/>
              <wp:docPr id="1060" name="Shape 1060"/>
              <wp:cNvGraphicFramePr/>
              <a:graphic xmlns:a="http://schemas.openxmlformats.org/drawingml/2006/main">
                <a:graphicData uri="http://schemas.microsoft.com/office/word/2010/wordprocessingShape">
                  <wps:wsp>
                    <wps:cNvSpPr txBox="1"/>
                    <wps:spPr>
                      <a:xfrm>
                        <a:off x="0" y="0"/>
                        <a:ext cx="2551430" cy="69850"/>
                      </a:xfrm>
                      <a:prstGeom prst="rect">
                        <a:avLst/>
                      </a:prstGeom>
                      <a:noFill/>
                    </wps:spPr>
                    <wps:txbx>
                      <w:txbxContent>
                        <w:p w14:paraId="720ADE21" w14:textId="77777777" w:rsidR="00093A32" w:rsidRDefault="00093A32">
                          <w:pPr>
                            <w:pStyle w:val="Headerorfooter0"/>
                            <w:tabs>
                              <w:tab w:val="right" w:pos="4018"/>
                            </w:tabs>
                          </w:pPr>
                          <w:r>
                            <w:rPr>
                              <w:sz w:val="16"/>
                              <w:szCs w:val="16"/>
                            </w:rPr>
                            <w:t>420</w:t>
                          </w:r>
                          <w:r>
                            <w:rPr>
                              <w:sz w:val="16"/>
                              <w:szCs w:val="16"/>
                            </w:rPr>
                            <w:tab/>
                          </w:r>
                          <w:r>
                            <w:t>HISTOPLASMOSIS</w:t>
                          </w:r>
                        </w:p>
                      </w:txbxContent>
                    </wps:txbx>
                    <wps:bodyPr lIns="0" tIns="0" rIns="0" bIns="0">
                      <a:spAutoFit/>
                    </wps:bodyPr>
                  </wps:wsp>
                </a:graphicData>
              </a:graphic>
            </wp:anchor>
          </w:drawing>
        </mc:Choice>
        <mc:Fallback>
          <w:pict>
            <v:shapetype w14:anchorId="0868F00F" id="_x0000_t202" coordsize="21600,21600" o:spt="202" path="m,l,21600r21600,l21600,xe">
              <v:stroke joinstyle="miter"/>
              <v:path gradientshapeok="t" o:connecttype="rect"/>
            </v:shapetype>
            <v:shape id="Shape 1060" o:spid="_x0000_s1229" type="#_x0000_t202" style="position:absolute;margin-left:43.1pt;margin-top:24.5pt;width:200.9pt;height:5.5pt;z-index:-2512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" filled="f" stroked="f">
              <v:textbox style="mso-fit-shape-to-text:t" inset="0,0,0,0">
                <w:txbxContent>
                  <w:p w14:paraId="720ADE21" w14:textId="77777777" w:rsidR="00093A32" w:rsidRDefault="00093A32">
                    <w:pPr>
                      <w:pStyle w:val="Headerorfooter0"/>
                      <w:tabs>
                        <w:tab w:val="right" w:pos="4018"/>
                      </w:tabs>
                    </w:pPr>
                    <w:r>
                      <w:rPr>
                        <w:sz w:val="16"/>
                        <w:szCs w:val="16"/>
                      </w:rPr>
                      <w:t>420</w:t>
                    </w:r>
                    <w:r>
                      <w:rPr>
                        <w:sz w:val="16"/>
                        <w:szCs w:val="16"/>
                      </w:rPr>
                      <w:tab/>
                    </w:r>
                    <w:r>
                      <w:t>HISTOPLASMOSIS</w:t>
                    </w:r>
                  </w:p>
                </w:txbxContent>
              </v:textbox>
              <w10:wrap anchorx="page" anchory="page"/>
            </v:shape>
          </w:pict>
        </mc:Fallback>
      </mc:AlternateContent>
    </w:r>
    <w:r>
      <w:rPr>
        <w:noProof/>
      </w:rPr>
      <mc:AlternateContent>
        <mc:Choice Requires="wps">
          <w:drawing>
            <wp:anchor distT="0" distB="0" distL="114300" distR="114300" simplePos="0" relativeHeight="251845632" behindDoc="1" locked="0" layoutInCell="1" allowOverlap="1" wp14:anchorId="494A24D9" wp14:editId="3C7485C7">
              <wp:simplePos x="0" y="0"/>
              <wp:positionH relativeFrom="page">
                <wp:posOffset>532130</wp:posOffset>
              </wp:positionH>
              <wp:positionV relativeFrom="page">
                <wp:posOffset>419100</wp:posOffset>
              </wp:positionV>
              <wp:extent cx="4358640" cy="0"/>
              <wp:effectExtent l="0" t="0" r="0" b="0"/>
              <wp:wrapNone/>
              <wp:docPr id="1062" name="Shape 106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773424A" id="_x0000_t32" coordsize="21600,21600" o:spt="32" o:oned="t" path="m,l21600,21600e" filled="f">
              <v:path arrowok="t" fillok="f" o:connecttype="none"/>
              <o:lock v:ext="edit" shapetype="t"/>
            </v:shapetype>
            <v:shape id="Shape 1062" o:spid="_x0000_s1026" type="#_x0000_t32" style="position:absolute;margin-left:41.9pt;margin-top:33pt;width:343.2pt;height:0;z-index:-251470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6B0E" w14:textId="77777777" w:rsidR="00093A32" w:rsidRDefault="00093A32">
    <w:pPr>
      <w:spacing w:line="1" w:lineRule="exact"/>
    </w:pPr>
    <w:r>
      <w:rPr>
        <w:noProof/>
      </w:rPr>
      <mc:AlternateContent>
        <mc:Choice Requires="wps">
          <w:drawing>
            <wp:anchor distT="0" distB="0" distL="0" distR="0" simplePos="0" relativeHeight="252086272" behindDoc="1" locked="0" layoutInCell="1" allowOverlap="1" wp14:anchorId="5D3D012D" wp14:editId="08630C0B">
              <wp:simplePos x="0" y="0"/>
              <wp:positionH relativeFrom="page">
                <wp:posOffset>547370</wp:posOffset>
              </wp:positionH>
              <wp:positionV relativeFrom="page">
                <wp:posOffset>311150</wp:posOffset>
              </wp:positionV>
              <wp:extent cx="2551430" cy="69850"/>
              <wp:effectExtent l="0" t="0" r="0" b="0"/>
              <wp:wrapNone/>
              <wp:docPr id="1057" name="Shape 1057"/>
              <wp:cNvGraphicFramePr/>
              <a:graphic xmlns:a="http://schemas.openxmlformats.org/drawingml/2006/main">
                <a:graphicData uri="http://schemas.microsoft.com/office/word/2010/wordprocessingShape">
                  <wps:wsp>
                    <wps:cNvSpPr txBox="1"/>
                    <wps:spPr>
                      <a:xfrm>
                        <a:off x="0" y="0"/>
                        <a:ext cx="2551430" cy="69850"/>
                      </a:xfrm>
                      <a:prstGeom prst="rect">
                        <a:avLst/>
                      </a:prstGeom>
                      <a:noFill/>
                    </wps:spPr>
                    <wps:txbx>
                      <w:txbxContent>
                        <w:p w14:paraId="4C132BA2" w14:textId="77777777" w:rsidR="00093A32" w:rsidRDefault="00093A32">
                          <w:pPr>
                            <w:pStyle w:val="Headerorfooter0"/>
                            <w:tabs>
                              <w:tab w:val="right" w:pos="4018"/>
                            </w:tabs>
                          </w:pPr>
                          <w:r>
                            <w:rPr>
                              <w:sz w:val="16"/>
                              <w:szCs w:val="16"/>
                            </w:rPr>
                            <w:t>420</w:t>
                          </w:r>
                          <w:r>
                            <w:rPr>
                              <w:sz w:val="16"/>
                              <w:szCs w:val="16"/>
                            </w:rPr>
                            <w:tab/>
                          </w:r>
                          <w:r>
                            <w:t>HISTOPLASMOSIS</w:t>
                          </w:r>
                        </w:p>
                      </w:txbxContent>
                    </wps:txbx>
                    <wps:bodyPr lIns="0" tIns="0" rIns="0" bIns="0">
                      <a:spAutoFit/>
                    </wps:bodyPr>
                  </wps:wsp>
                </a:graphicData>
              </a:graphic>
            </wp:anchor>
          </w:drawing>
        </mc:Choice>
        <mc:Fallback>
          <w:pict>
            <v:shapetype w14:anchorId="5D3D012D" id="_x0000_t202" coordsize="21600,21600" o:spt="202" path="m,l,21600r21600,l21600,xe">
              <v:stroke joinstyle="miter"/>
              <v:path gradientshapeok="t" o:connecttype="rect"/>
            </v:shapetype>
            <v:shape id="Shape 1057" o:spid="_x0000_s1230" type="#_x0000_t202" style="position:absolute;margin-left:43.1pt;margin-top:24.5pt;width:200.9pt;height:5.5pt;z-index:-2512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" filled="f" stroked="f">
              <v:textbox style="mso-fit-shape-to-text:t" inset="0,0,0,0">
                <w:txbxContent>
                  <w:p w14:paraId="4C132BA2" w14:textId="77777777" w:rsidR="00093A32" w:rsidRDefault="00093A32">
                    <w:pPr>
                      <w:pStyle w:val="Headerorfooter0"/>
                      <w:tabs>
                        <w:tab w:val="right" w:pos="4018"/>
                      </w:tabs>
                    </w:pPr>
                    <w:r>
                      <w:rPr>
                        <w:sz w:val="16"/>
                        <w:szCs w:val="16"/>
                      </w:rPr>
                      <w:t>420</w:t>
                    </w:r>
                    <w:r>
                      <w:rPr>
                        <w:sz w:val="16"/>
                        <w:szCs w:val="16"/>
                      </w:rPr>
                      <w:tab/>
                    </w:r>
                    <w:r>
                      <w:t>HISTOPLASMOSIS</w:t>
                    </w:r>
                  </w:p>
                </w:txbxContent>
              </v:textbox>
              <w10:wrap anchorx="page" anchory="page"/>
            </v:shape>
          </w:pict>
        </mc:Fallback>
      </mc:AlternateContent>
    </w:r>
    <w:r>
      <w:rPr>
        <w:noProof/>
      </w:rPr>
      <mc:AlternateContent>
        <mc:Choice Requires="wps">
          <w:drawing>
            <wp:anchor distT="0" distB="0" distL="114300" distR="114300" simplePos="0" relativeHeight="251844608" behindDoc="1" locked="0" layoutInCell="1" allowOverlap="1" wp14:anchorId="5AD1BCAA" wp14:editId="3B3FA837">
              <wp:simplePos x="0" y="0"/>
              <wp:positionH relativeFrom="page">
                <wp:posOffset>532130</wp:posOffset>
              </wp:positionH>
              <wp:positionV relativeFrom="page">
                <wp:posOffset>419100</wp:posOffset>
              </wp:positionV>
              <wp:extent cx="4358640" cy="0"/>
              <wp:effectExtent l="0" t="0" r="0" b="0"/>
              <wp:wrapNone/>
              <wp:docPr id="1059" name="Shape 105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38E6A7C" id="_x0000_t32" coordsize="21600,21600" o:spt="32" o:oned="t" path="m,l21600,21600e" filled="f">
              <v:path arrowok="t" fillok="f" o:connecttype="none"/>
              <o:lock v:ext="edit" shapetype="t"/>
            </v:shapetype>
            <v:shape id="Shape 1059" o:spid="_x0000_s1026" type="#_x0000_t32" style="position:absolute;margin-left:41.9pt;margin-top:33pt;width:343.2pt;height:0;z-index:-251471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F5F6" w14:textId="77777777" w:rsidR="00093A32" w:rsidRDefault="00093A32">
    <w:pPr>
      <w:spacing w:line="1" w:lineRule="exact"/>
    </w:pPr>
    <w:r>
      <w:rPr>
        <w:noProof/>
      </w:rPr>
      <mc:AlternateContent>
        <mc:Choice Requires="wps">
          <w:drawing>
            <wp:anchor distT="0" distB="0" distL="0" distR="0" simplePos="0" relativeHeight="252089344" behindDoc="1" locked="0" layoutInCell="1" allowOverlap="1" wp14:anchorId="14251362" wp14:editId="6D65626D">
              <wp:simplePos x="0" y="0"/>
              <wp:positionH relativeFrom="page">
                <wp:posOffset>547370</wp:posOffset>
              </wp:positionH>
              <wp:positionV relativeFrom="page">
                <wp:posOffset>311150</wp:posOffset>
              </wp:positionV>
              <wp:extent cx="2551430" cy="69850"/>
              <wp:effectExtent l="0" t="0" r="0" b="0"/>
              <wp:wrapNone/>
              <wp:docPr id="1066" name="Shape 1066"/>
              <wp:cNvGraphicFramePr/>
              <a:graphic xmlns:a="http://schemas.openxmlformats.org/drawingml/2006/main">
                <a:graphicData uri="http://schemas.microsoft.com/office/word/2010/wordprocessingShape">
                  <wps:wsp>
                    <wps:cNvSpPr txBox="1"/>
                    <wps:spPr>
                      <a:xfrm>
                        <a:off x="0" y="0"/>
                        <a:ext cx="2551430" cy="69850"/>
                      </a:xfrm>
                      <a:prstGeom prst="rect">
                        <a:avLst/>
                      </a:prstGeom>
                      <a:noFill/>
                    </wps:spPr>
                    <wps:txbx>
                      <w:txbxContent>
                        <w:p w14:paraId="745776A1" w14:textId="77777777" w:rsidR="00093A32" w:rsidRDefault="00093A32">
                          <w:pPr>
                            <w:pStyle w:val="Headerorfooter0"/>
                            <w:tabs>
                              <w:tab w:val="right" w:pos="4018"/>
                            </w:tabs>
                          </w:pPr>
                          <w:r>
                            <w:rPr>
                              <w:sz w:val="16"/>
                              <w:szCs w:val="16"/>
                            </w:rPr>
                            <w:t>420</w:t>
                          </w:r>
                          <w:r>
                            <w:rPr>
                              <w:sz w:val="16"/>
                              <w:szCs w:val="16"/>
                            </w:rPr>
                            <w:tab/>
                          </w:r>
                          <w:r>
                            <w:t>HISTOPLASMOSIS</w:t>
                          </w:r>
                        </w:p>
                      </w:txbxContent>
                    </wps:txbx>
                    <wps:bodyPr lIns="0" tIns="0" rIns="0" bIns="0">
                      <a:spAutoFit/>
                    </wps:bodyPr>
                  </wps:wsp>
                </a:graphicData>
              </a:graphic>
            </wp:anchor>
          </w:drawing>
        </mc:Choice>
        <mc:Fallback>
          <w:pict>
            <v:shapetype w14:anchorId="14251362" id="_x0000_t202" coordsize="21600,21600" o:spt="202" path="m,l,21600r21600,l21600,xe">
              <v:stroke joinstyle="miter"/>
              <v:path gradientshapeok="t" o:connecttype="rect"/>
            </v:shapetype>
            <v:shape id="Shape 1066" o:spid="_x0000_s1231" type="#_x0000_t202" style="position:absolute;margin-left:43.1pt;margin-top:24.5pt;width:200.9pt;height:5.5pt;z-index:-2512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" filled="f" stroked="f">
              <v:textbox style="mso-fit-shape-to-text:t" inset="0,0,0,0">
                <w:txbxContent>
                  <w:p w14:paraId="745776A1" w14:textId="77777777" w:rsidR="00093A32" w:rsidRDefault="00093A32">
                    <w:pPr>
                      <w:pStyle w:val="Headerorfooter0"/>
                      <w:tabs>
                        <w:tab w:val="right" w:pos="4018"/>
                      </w:tabs>
                    </w:pPr>
                    <w:r>
                      <w:rPr>
                        <w:sz w:val="16"/>
                        <w:szCs w:val="16"/>
                      </w:rPr>
                      <w:t>420</w:t>
                    </w:r>
                    <w:r>
                      <w:rPr>
                        <w:sz w:val="16"/>
                        <w:szCs w:val="16"/>
                      </w:rPr>
                      <w:tab/>
                    </w:r>
                    <w:r>
                      <w:t>HISTOPLASMOSIS</w:t>
                    </w:r>
                  </w:p>
                </w:txbxContent>
              </v:textbox>
              <w10:wrap anchorx="page" anchory="page"/>
            </v:shape>
          </w:pict>
        </mc:Fallback>
      </mc:AlternateContent>
    </w:r>
    <w:r>
      <w:rPr>
        <w:noProof/>
      </w:rPr>
      <mc:AlternateContent>
        <mc:Choice Requires="wps">
          <w:drawing>
            <wp:anchor distT="0" distB="0" distL="114300" distR="114300" simplePos="0" relativeHeight="251847680" behindDoc="1" locked="0" layoutInCell="1" allowOverlap="1" wp14:anchorId="657DE8E8" wp14:editId="2A5CE91E">
              <wp:simplePos x="0" y="0"/>
              <wp:positionH relativeFrom="page">
                <wp:posOffset>532130</wp:posOffset>
              </wp:positionH>
              <wp:positionV relativeFrom="page">
                <wp:posOffset>419100</wp:posOffset>
              </wp:positionV>
              <wp:extent cx="4358640" cy="0"/>
              <wp:effectExtent l="0" t="0" r="0" b="0"/>
              <wp:wrapNone/>
              <wp:docPr id="1068" name="Shape 106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1C729E0" id="_x0000_t32" coordsize="21600,21600" o:spt="32" o:oned="t" path="m,l21600,21600e" filled="f">
              <v:path arrowok="t" fillok="f" o:connecttype="none"/>
              <o:lock v:ext="edit" shapetype="t"/>
            </v:shapetype>
            <v:shape id="Shape 1068" o:spid="_x0000_s1026" type="#_x0000_t32" style="position:absolute;margin-left:41.9pt;margin-top:33pt;width:343.2pt;height:0;z-index:-251468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1A3C" w14:textId="77777777" w:rsidR="00093A32" w:rsidRDefault="00093A32">
    <w:pPr>
      <w:spacing w:line="1" w:lineRule="exact"/>
    </w:pPr>
    <w:r>
      <w:rPr>
        <w:noProof/>
      </w:rPr>
      <mc:AlternateContent>
        <mc:Choice Requires="wps">
          <w:drawing>
            <wp:anchor distT="0" distB="0" distL="0" distR="0" simplePos="0" relativeHeight="252088320" behindDoc="1" locked="0" layoutInCell="1" allowOverlap="1" wp14:anchorId="4967FFC3" wp14:editId="35CBA9D7">
              <wp:simplePos x="0" y="0"/>
              <wp:positionH relativeFrom="page">
                <wp:posOffset>547370</wp:posOffset>
              </wp:positionH>
              <wp:positionV relativeFrom="page">
                <wp:posOffset>311150</wp:posOffset>
              </wp:positionV>
              <wp:extent cx="2551430" cy="69850"/>
              <wp:effectExtent l="0" t="0" r="0" b="0"/>
              <wp:wrapNone/>
              <wp:docPr id="1063" name="Shape 1063"/>
              <wp:cNvGraphicFramePr/>
              <a:graphic xmlns:a="http://schemas.openxmlformats.org/drawingml/2006/main">
                <a:graphicData uri="http://schemas.microsoft.com/office/word/2010/wordprocessingShape">
                  <wps:wsp>
                    <wps:cNvSpPr txBox="1"/>
                    <wps:spPr>
                      <a:xfrm>
                        <a:off x="0" y="0"/>
                        <a:ext cx="2551430" cy="69850"/>
                      </a:xfrm>
                      <a:prstGeom prst="rect">
                        <a:avLst/>
                      </a:prstGeom>
                      <a:noFill/>
                    </wps:spPr>
                    <wps:txbx>
                      <w:txbxContent>
                        <w:p w14:paraId="6E0B4B2F" w14:textId="77777777" w:rsidR="00093A32" w:rsidRDefault="00093A32">
                          <w:pPr>
                            <w:pStyle w:val="Headerorfooter0"/>
                            <w:tabs>
                              <w:tab w:val="right" w:pos="4018"/>
                            </w:tabs>
                          </w:pPr>
                          <w:r>
                            <w:rPr>
                              <w:sz w:val="16"/>
                              <w:szCs w:val="16"/>
                            </w:rPr>
                            <w:t>420</w:t>
                          </w:r>
                          <w:r>
                            <w:rPr>
                              <w:sz w:val="16"/>
                              <w:szCs w:val="16"/>
                            </w:rPr>
                            <w:tab/>
                          </w:r>
                          <w:r>
                            <w:t>HISTOPLASMOSIS</w:t>
                          </w:r>
                        </w:p>
                      </w:txbxContent>
                    </wps:txbx>
                    <wps:bodyPr lIns="0" tIns="0" rIns="0" bIns="0">
                      <a:spAutoFit/>
                    </wps:bodyPr>
                  </wps:wsp>
                </a:graphicData>
              </a:graphic>
            </wp:anchor>
          </w:drawing>
        </mc:Choice>
        <mc:Fallback>
          <w:pict>
            <v:shapetype w14:anchorId="4967FFC3" id="_x0000_t202" coordsize="21600,21600" o:spt="202" path="m,l,21600r21600,l21600,xe">
              <v:stroke joinstyle="miter"/>
              <v:path gradientshapeok="t" o:connecttype="rect"/>
            </v:shapetype>
            <v:shape id="Shape 1063" o:spid="_x0000_s1232" type="#_x0000_t202" style="position:absolute;margin-left:43.1pt;margin-top:24.5pt;width:200.9pt;height:5.5pt;z-index:-2512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" filled="f" stroked="f">
              <v:textbox style="mso-fit-shape-to-text:t" inset="0,0,0,0">
                <w:txbxContent>
                  <w:p w14:paraId="6E0B4B2F" w14:textId="77777777" w:rsidR="00093A32" w:rsidRDefault="00093A32">
                    <w:pPr>
                      <w:pStyle w:val="Headerorfooter0"/>
                      <w:tabs>
                        <w:tab w:val="right" w:pos="4018"/>
                      </w:tabs>
                    </w:pPr>
                    <w:r>
                      <w:rPr>
                        <w:sz w:val="16"/>
                        <w:szCs w:val="16"/>
                      </w:rPr>
                      <w:t>420</w:t>
                    </w:r>
                    <w:r>
                      <w:rPr>
                        <w:sz w:val="16"/>
                        <w:szCs w:val="16"/>
                      </w:rPr>
                      <w:tab/>
                    </w:r>
                    <w:r>
                      <w:t>HISTOPLASMOSIS</w:t>
                    </w:r>
                  </w:p>
                </w:txbxContent>
              </v:textbox>
              <w10:wrap anchorx="page" anchory="page"/>
            </v:shape>
          </w:pict>
        </mc:Fallback>
      </mc:AlternateContent>
    </w:r>
    <w:r>
      <w:rPr>
        <w:noProof/>
      </w:rPr>
      <mc:AlternateContent>
        <mc:Choice Requires="wps">
          <w:drawing>
            <wp:anchor distT="0" distB="0" distL="114300" distR="114300" simplePos="0" relativeHeight="251846656" behindDoc="1" locked="0" layoutInCell="1" allowOverlap="1" wp14:anchorId="613F7A51" wp14:editId="5B444DC4">
              <wp:simplePos x="0" y="0"/>
              <wp:positionH relativeFrom="page">
                <wp:posOffset>532130</wp:posOffset>
              </wp:positionH>
              <wp:positionV relativeFrom="page">
                <wp:posOffset>419100</wp:posOffset>
              </wp:positionV>
              <wp:extent cx="4358640" cy="0"/>
              <wp:effectExtent l="0" t="0" r="0" b="0"/>
              <wp:wrapNone/>
              <wp:docPr id="1065" name="Shape 106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2210AD" id="_x0000_t32" coordsize="21600,21600" o:spt="32" o:oned="t" path="m,l21600,21600e" filled="f">
              <v:path arrowok="t" fillok="f" o:connecttype="none"/>
              <o:lock v:ext="edit" shapetype="t"/>
            </v:shapetype>
            <v:shape id="Shape 1065" o:spid="_x0000_s1026" type="#_x0000_t32" style="position:absolute;margin-left:41.9pt;margin-top:33pt;width:343.2pt;height:0;z-index:-251469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B04D" w14:textId="77777777" w:rsidR="00093A32" w:rsidRDefault="00093A32">
    <w:pPr>
      <w:spacing w:line="1" w:lineRule="exact"/>
    </w:pPr>
    <w:r>
      <w:rPr>
        <w:noProof/>
      </w:rPr>
      <mc:AlternateContent>
        <mc:Choice Requires="wps">
          <w:drawing>
            <wp:anchor distT="0" distB="0" distL="0" distR="0" simplePos="0" relativeHeight="252090368" behindDoc="1" locked="0" layoutInCell="1" allowOverlap="1" wp14:anchorId="666837F6" wp14:editId="4737B773">
              <wp:simplePos x="0" y="0"/>
              <wp:positionH relativeFrom="page">
                <wp:posOffset>2332355</wp:posOffset>
              </wp:positionH>
              <wp:positionV relativeFrom="page">
                <wp:posOffset>311150</wp:posOffset>
              </wp:positionV>
              <wp:extent cx="2529840" cy="69850"/>
              <wp:effectExtent l="0" t="0" r="0" b="0"/>
              <wp:wrapNone/>
              <wp:docPr id="1069" name="Shape 1069"/>
              <wp:cNvGraphicFramePr/>
              <a:graphic xmlns:a="http://schemas.openxmlformats.org/drawingml/2006/main">
                <a:graphicData uri="http://schemas.microsoft.com/office/word/2010/wordprocessingShape">
                  <wps:wsp>
                    <wps:cNvSpPr txBox="1"/>
                    <wps:spPr>
                      <a:xfrm>
                        <a:off x="0" y="0"/>
                        <a:ext cx="2529840" cy="69850"/>
                      </a:xfrm>
                      <a:prstGeom prst="rect">
                        <a:avLst/>
                      </a:prstGeom>
                      <a:noFill/>
                    </wps:spPr>
                    <wps:txbx>
                      <w:txbxContent>
                        <w:p w14:paraId="18A6AC83" w14:textId="77777777" w:rsidR="00093A32" w:rsidRDefault="00093A32">
                          <w:pPr>
                            <w:pStyle w:val="Headerorfooter0"/>
                            <w:tabs>
                              <w:tab w:val="right" w:pos="3984"/>
                            </w:tabs>
                            <w:rPr>
                              <w:sz w:val="16"/>
                              <w:szCs w:val="16"/>
                            </w:rPr>
                          </w:pPr>
                          <w:r>
                            <w:t>HISTOPLASMOSIS</w:t>
                          </w:r>
                          <w:r>
                            <w:tab/>
                          </w:r>
                          <w:r>
                            <w:rPr>
                              <w:sz w:val="16"/>
                              <w:szCs w:val="16"/>
                            </w:rPr>
                            <w:t>421</w:t>
                          </w:r>
                        </w:p>
                      </w:txbxContent>
                    </wps:txbx>
                    <wps:bodyPr lIns="0" tIns="0" rIns="0" bIns="0">
                      <a:spAutoFit/>
                    </wps:bodyPr>
                  </wps:wsp>
                </a:graphicData>
              </a:graphic>
            </wp:anchor>
          </w:drawing>
        </mc:Choice>
        <mc:Fallback>
          <w:pict>
            <v:shapetype w14:anchorId="666837F6" id="_x0000_t202" coordsize="21600,21600" o:spt="202" path="m,l,21600r21600,l21600,xe">
              <v:stroke joinstyle="miter"/>
              <v:path gradientshapeok="t" o:connecttype="rect"/>
            </v:shapetype>
            <v:shape id="Shape 1069" o:spid="_x0000_s1233" type="#_x0000_t202" style="position:absolute;margin-left:183.65pt;margin-top:24.5pt;width:199.2pt;height:5.5pt;z-index:-2512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" filled="f" stroked="f">
              <v:textbox style="mso-fit-shape-to-text:t" inset="0,0,0,0">
                <w:txbxContent>
                  <w:p w14:paraId="18A6AC83" w14:textId="77777777" w:rsidR="00093A32" w:rsidRDefault="00093A32">
                    <w:pPr>
                      <w:pStyle w:val="Headerorfooter0"/>
                      <w:tabs>
                        <w:tab w:val="right" w:pos="3984"/>
                      </w:tabs>
                      <w:rPr>
                        <w:sz w:val="16"/>
                        <w:szCs w:val="16"/>
                      </w:rPr>
                    </w:pPr>
                    <w:r>
                      <w:t>HISTOPLASMOSIS</w:t>
                    </w:r>
                    <w:r>
                      <w:tab/>
                    </w:r>
                    <w:r>
                      <w:rPr>
                        <w:sz w:val="16"/>
                        <w:szCs w:val="16"/>
                      </w:rPr>
                      <w:t>421</w:t>
                    </w:r>
                  </w:p>
                </w:txbxContent>
              </v:textbox>
              <w10:wrap anchorx="page" anchory="page"/>
            </v:shape>
          </w:pict>
        </mc:Fallback>
      </mc:AlternateContent>
    </w:r>
    <w:r>
      <w:rPr>
        <w:noProof/>
      </w:rPr>
      <mc:AlternateContent>
        <mc:Choice Requires="wps">
          <w:drawing>
            <wp:anchor distT="0" distB="0" distL="114300" distR="114300" simplePos="0" relativeHeight="251848704" behindDoc="1" locked="0" layoutInCell="1" allowOverlap="1" wp14:anchorId="3F85A3E0" wp14:editId="04EC8DD6">
              <wp:simplePos x="0" y="0"/>
              <wp:positionH relativeFrom="page">
                <wp:posOffset>539750</wp:posOffset>
              </wp:positionH>
              <wp:positionV relativeFrom="page">
                <wp:posOffset>419100</wp:posOffset>
              </wp:positionV>
              <wp:extent cx="4358640" cy="0"/>
              <wp:effectExtent l="0" t="0" r="0" b="0"/>
              <wp:wrapNone/>
              <wp:docPr id="1071" name="Shape 107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80594C5" id="_x0000_t32" coordsize="21600,21600" o:spt="32" o:oned="t" path="m,l21600,21600e" filled="f">
              <v:path arrowok="t" fillok="f" o:connecttype="none"/>
              <o:lock v:ext="edit" shapetype="t"/>
            </v:shapetype>
            <v:shape id="Shape 1071" o:spid="_x0000_s1026" type="#_x0000_t32" style="position:absolute;margin-left:42.5pt;margin-top:33pt;width:343.2pt;height:0;z-index:-251467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4ZDr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Uq4SFWQZT9bzfLs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10;GQ612wAAAAgBAAAPAAAAAAAAAAAAAAAAAMIDAABkcnMvZG93bnJldi54bWxQSwUGAAAAAAQABADz&#10;AAAAygQAAAAA&#10;" strokeweight="1pt">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FA19" w14:textId="77777777" w:rsidR="00093A32" w:rsidRDefault="00093A32">
    <w:pPr>
      <w:spacing w:line="1" w:lineRule="exact"/>
    </w:pPr>
    <w:r>
      <w:rPr>
        <w:noProof/>
      </w:rPr>
      <mc:AlternateContent>
        <mc:Choice Requires="wps">
          <w:drawing>
            <wp:anchor distT="0" distB="0" distL="0" distR="0" simplePos="0" relativeHeight="252092416" behindDoc="1" locked="0" layoutInCell="1" allowOverlap="1" wp14:anchorId="020A0CD5" wp14:editId="569B02CC">
              <wp:simplePos x="0" y="0"/>
              <wp:positionH relativeFrom="page">
                <wp:posOffset>549275</wp:posOffset>
              </wp:positionH>
              <wp:positionV relativeFrom="page">
                <wp:posOffset>311150</wp:posOffset>
              </wp:positionV>
              <wp:extent cx="2956560" cy="85090"/>
              <wp:effectExtent l="0" t="0" r="0" b="0"/>
              <wp:wrapNone/>
              <wp:docPr id="1075" name="Shape 1075"/>
              <wp:cNvGraphicFramePr/>
              <a:graphic xmlns:a="http://schemas.openxmlformats.org/drawingml/2006/main">
                <a:graphicData uri="http://schemas.microsoft.com/office/word/2010/wordprocessingShape">
                  <wps:wsp>
                    <wps:cNvSpPr txBox="1"/>
                    <wps:spPr>
                      <a:xfrm>
                        <a:off x="0" y="0"/>
                        <a:ext cx="2956560" cy="85090"/>
                      </a:xfrm>
                      <a:prstGeom prst="rect">
                        <a:avLst/>
                      </a:prstGeom>
                      <a:noFill/>
                    </wps:spPr>
                    <wps:txbx>
                      <w:txbxContent>
                        <w:p w14:paraId="7FEBD7D5" w14:textId="77777777" w:rsidR="00093A32" w:rsidRDefault="00093A32">
                          <w:pPr>
                            <w:pStyle w:val="Headerorfooter0"/>
                            <w:tabs>
                              <w:tab w:val="right" w:pos="4656"/>
                            </w:tabs>
                          </w:pPr>
                          <w:r>
                            <w:rPr>
                              <w:sz w:val="16"/>
                              <w:szCs w:val="16"/>
                            </w:rPr>
                            <w:t>690</w:t>
                          </w:r>
                          <w:r>
                            <w:rPr>
                              <w:sz w:val="16"/>
                              <w:szCs w:val="16"/>
                            </w:rPr>
                            <w:tab/>
                          </w:r>
                          <w:r>
                            <w:t>UNCINARIASIS (ANQUILOSTOMIASIS)</w:t>
                          </w:r>
                        </w:p>
                      </w:txbxContent>
                    </wps:txbx>
                    <wps:bodyPr lIns="0" tIns="0" rIns="0" bIns="0">
                      <a:spAutoFit/>
                    </wps:bodyPr>
                  </wps:wsp>
                </a:graphicData>
              </a:graphic>
            </wp:anchor>
          </w:drawing>
        </mc:Choice>
        <mc:Fallback>
          <w:pict>
            <v:shapetype w14:anchorId="020A0CD5" id="_x0000_t202" coordsize="21600,21600" o:spt="202" path="m,l,21600r21600,l21600,xe">
              <v:stroke joinstyle="miter"/>
              <v:path gradientshapeok="t" o:connecttype="rect"/>
            </v:shapetype>
            <v:shape id="Shape 1075" o:spid="_x0000_s1234" type="#_x0000_t202" style="position:absolute;margin-left:43.25pt;margin-top:24.5pt;width:232.8pt;height:6.7pt;z-index:-2512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" filled="f" stroked="f">
              <v:textbox style="mso-fit-shape-to-text:t" inset="0,0,0,0">
                <w:txbxContent>
                  <w:p w14:paraId="7FEBD7D5" w14:textId="77777777" w:rsidR="00093A32" w:rsidRDefault="00093A32">
                    <w:pPr>
                      <w:pStyle w:val="Headerorfooter0"/>
                      <w:tabs>
                        <w:tab w:val="right" w:pos="4656"/>
                      </w:tabs>
                    </w:pPr>
                    <w:r>
                      <w:rPr>
                        <w:sz w:val="16"/>
                        <w:szCs w:val="16"/>
                      </w:rPr>
                      <w:t>690</w:t>
                    </w:r>
                    <w:r>
                      <w:rPr>
                        <w:sz w:val="16"/>
                        <w:szCs w:val="16"/>
                      </w:rPr>
                      <w:tab/>
                    </w:r>
                    <w:r>
                      <w:t>UNCINARIASIS (ANQUILOSTOMIASIS)</w:t>
                    </w:r>
                  </w:p>
                </w:txbxContent>
              </v:textbox>
              <w10:wrap anchorx="page" anchory="page"/>
            </v:shape>
          </w:pict>
        </mc:Fallback>
      </mc:AlternateContent>
    </w:r>
    <w:r>
      <w:rPr>
        <w:noProof/>
      </w:rPr>
      <mc:AlternateContent>
        <mc:Choice Requires="wps">
          <w:drawing>
            <wp:anchor distT="0" distB="0" distL="114300" distR="114300" simplePos="0" relativeHeight="251850752" behindDoc="1" locked="0" layoutInCell="1" allowOverlap="1" wp14:anchorId="13C72787" wp14:editId="5A44213C">
              <wp:simplePos x="0" y="0"/>
              <wp:positionH relativeFrom="page">
                <wp:posOffset>534035</wp:posOffset>
              </wp:positionH>
              <wp:positionV relativeFrom="page">
                <wp:posOffset>419100</wp:posOffset>
              </wp:positionV>
              <wp:extent cx="4358640" cy="0"/>
              <wp:effectExtent l="0" t="0" r="0" b="0"/>
              <wp:wrapNone/>
              <wp:docPr id="1077" name="Shape 107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4F2F11" id="_x0000_t32" coordsize="21600,21600" o:spt="32" o:oned="t" path="m,l21600,21600e" filled="f">
              <v:path arrowok="t" fillok="f" o:connecttype="none"/>
              <o:lock v:ext="edit" shapetype="t"/>
            </v:shapetype>
            <v:shape id="Shape 1077" o:spid="_x0000_s1026" type="#_x0000_t32" style="position:absolute;margin-left:42.05pt;margin-top:33pt;width:343.2pt;height:0;z-index:-251465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zviVP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Ds&#10;tpxUkGU8if08T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zv&#10;iVPaAAAACAEAAA8AAAAAAAAAAAAAAAAAwgMAAGRycy9kb3ducmV2LnhtbFBLBQYAAAAABAAEAPMA&#10;AADJBAAAAAA=&#10;" strokeweight="1pt">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346" w14:textId="77777777" w:rsidR="00093A32" w:rsidRDefault="00093A32">
    <w:pPr>
      <w:spacing w:line="1" w:lineRule="exact"/>
    </w:pPr>
    <w:r>
      <w:rPr>
        <w:noProof/>
      </w:rPr>
      <mc:AlternateContent>
        <mc:Choice Requires="wps">
          <w:drawing>
            <wp:anchor distT="0" distB="0" distL="0" distR="0" simplePos="0" relativeHeight="252091392" behindDoc="1" locked="0" layoutInCell="1" allowOverlap="1" wp14:anchorId="02BBE7AC" wp14:editId="7DB36209">
              <wp:simplePos x="0" y="0"/>
              <wp:positionH relativeFrom="page">
                <wp:posOffset>549275</wp:posOffset>
              </wp:positionH>
              <wp:positionV relativeFrom="page">
                <wp:posOffset>311150</wp:posOffset>
              </wp:positionV>
              <wp:extent cx="2956560" cy="85090"/>
              <wp:effectExtent l="0" t="0" r="0" b="0"/>
              <wp:wrapNone/>
              <wp:docPr id="1072" name="Shape 1072"/>
              <wp:cNvGraphicFramePr/>
              <a:graphic xmlns:a="http://schemas.openxmlformats.org/drawingml/2006/main">
                <a:graphicData uri="http://schemas.microsoft.com/office/word/2010/wordprocessingShape">
                  <wps:wsp>
                    <wps:cNvSpPr txBox="1"/>
                    <wps:spPr>
                      <a:xfrm>
                        <a:off x="0" y="0"/>
                        <a:ext cx="2956560" cy="85090"/>
                      </a:xfrm>
                      <a:prstGeom prst="rect">
                        <a:avLst/>
                      </a:prstGeom>
                      <a:noFill/>
                    </wps:spPr>
                    <wps:txbx>
                      <w:txbxContent>
                        <w:p w14:paraId="1D5FA6BE" w14:textId="77777777" w:rsidR="00093A32" w:rsidRDefault="00093A32">
                          <w:pPr>
                            <w:pStyle w:val="Headerorfooter0"/>
                            <w:tabs>
                              <w:tab w:val="right" w:pos="4656"/>
                            </w:tabs>
                          </w:pPr>
                          <w:r>
                            <w:rPr>
                              <w:sz w:val="16"/>
                              <w:szCs w:val="16"/>
                            </w:rPr>
                            <w:t>690</w:t>
                          </w:r>
                          <w:r>
                            <w:rPr>
                              <w:sz w:val="16"/>
                              <w:szCs w:val="16"/>
                            </w:rPr>
                            <w:tab/>
                          </w:r>
                          <w:r>
                            <w:t>UNCINARIASIS (ANQUILOSTOMIASIS)</w:t>
                          </w:r>
                        </w:p>
                      </w:txbxContent>
                    </wps:txbx>
                    <wps:bodyPr lIns="0" tIns="0" rIns="0" bIns="0">
                      <a:spAutoFit/>
                    </wps:bodyPr>
                  </wps:wsp>
                </a:graphicData>
              </a:graphic>
            </wp:anchor>
          </w:drawing>
        </mc:Choice>
        <mc:Fallback>
          <w:pict>
            <v:shapetype w14:anchorId="02BBE7AC" id="_x0000_t202" coordsize="21600,21600" o:spt="202" path="m,l,21600r21600,l21600,xe">
              <v:stroke joinstyle="miter"/>
              <v:path gradientshapeok="t" o:connecttype="rect"/>
            </v:shapetype>
            <v:shape id="Shape 1072" o:spid="_x0000_s1235" type="#_x0000_t202" style="position:absolute;margin-left:43.25pt;margin-top:24.5pt;width:232.8pt;height:6.7pt;z-index:-2512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" filled="f" stroked="f">
              <v:textbox style="mso-fit-shape-to-text:t" inset="0,0,0,0">
                <w:txbxContent>
                  <w:p w14:paraId="1D5FA6BE" w14:textId="77777777" w:rsidR="00093A32" w:rsidRDefault="00093A32">
                    <w:pPr>
                      <w:pStyle w:val="Headerorfooter0"/>
                      <w:tabs>
                        <w:tab w:val="right" w:pos="4656"/>
                      </w:tabs>
                    </w:pPr>
                    <w:r>
                      <w:rPr>
                        <w:sz w:val="16"/>
                        <w:szCs w:val="16"/>
                      </w:rPr>
                      <w:t>690</w:t>
                    </w:r>
                    <w:r>
                      <w:rPr>
                        <w:sz w:val="16"/>
                        <w:szCs w:val="16"/>
                      </w:rPr>
                      <w:tab/>
                    </w:r>
                    <w:r>
                      <w:t>UNCINARIASIS (ANQUILOSTOMIASIS)</w:t>
                    </w:r>
                  </w:p>
                </w:txbxContent>
              </v:textbox>
              <w10:wrap anchorx="page" anchory="page"/>
            </v:shape>
          </w:pict>
        </mc:Fallback>
      </mc:AlternateContent>
    </w:r>
    <w:r>
      <w:rPr>
        <w:noProof/>
      </w:rPr>
      <mc:AlternateContent>
        <mc:Choice Requires="wps">
          <w:drawing>
            <wp:anchor distT="0" distB="0" distL="114300" distR="114300" simplePos="0" relativeHeight="251849728" behindDoc="1" locked="0" layoutInCell="1" allowOverlap="1" wp14:anchorId="65C4E815" wp14:editId="4E08654A">
              <wp:simplePos x="0" y="0"/>
              <wp:positionH relativeFrom="page">
                <wp:posOffset>534035</wp:posOffset>
              </wp:positionH>
              <wp:positionV relativeFrom="page">
                <wp:posOffset>419100</wp:posOffset>
              </wp:positionV>
              <wp:extent cx="4358640" cy="0"/>
              <wp:effectExtent l="0" t="0" r="0" b="0"/>
              <wp:wrapNone/>
              <wp:docPr id="1074" name="Shape 107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369859" id="_x0000_t32" coordsize="21600,21600" o:spt="32" o:oned="t" path="m,l21600,21600e" filled="f">
              <v:path arrowok="t" fillok="f" o:connecttype="none"/>
              <o:lock v:ext="edit" shapetype="t"/>
            </v:shapetype>
            <v:shape id="Shape 1074" o:spid="_x0000_s1026" type="#_x0000_t32" style="position:absolute;margin-left:42.05pt;margin-top:33pt;width:343.2pt;height:0;z-index:-251466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zviVP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Ds&#10;tpxUkGU8if08T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zv&#10;iVPaAAAACAEAAA8AAAAAAAAAAAAAAAAAwgMAAGRycy9kb3ducmV2LnhtbFBLBQYAAAAABAAEAPMA&#10;AADJBAAAAAA=&#10;" strokeweight="1pt">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2EBA" w14:textId="77777777" w:rsidR="00093A32" w:rsidRDefault="00093A32">
    <w:pPr>
      <w:spacing w:line="1" w:lineRule="exact"/>
    </w:pPr>
    <w:r>
      <w:rPr>
        <w:noProof/>
      </w:rPr>
      <mc:AlternateContent>
        <mc:Choice Requires="wps">
          <w:drawing>
            <wp:anchor distT="0" distB="0" distL="0" distR="0" simplePos="0" relativeHeight="252093440" behindDoc="1" locked="0" layoutInCell="1" allowOverlap="1" wp14:anchorId="3322A4CC" wp14:editId="5318E293">
              <wp:simplePos x="0" y="0"/>
              <wp:positionH relativeFrom="page">
                <wp:posOffset>1327785</wp:posOffset>
              </wp:positionH>
              <wp:positionV relativeFrom="page">
                <wp:posOffset>295910</wp:posOffset>
              </wp:positionV>
              <wp:extent cx="3538855" cy="100330"/>
              <wp:effectExtent l="0" t="0" r="0" b="0"/>
              <wp:wrapNone/>
              <wp:docPr id="1078" name="Shape 1078"/>
              <wp:cNvGraphicFramePr/>
              <a:graphic xmlns:a="http://schemas.openxmlformats.org/drawingml/2006/main">
                <a:graphicData uri="http://schemas.microsoft.com/office/word/2010/wordprocessingShape">
                  <wps:wsp>
                    <wps:cNvSpPr txBox="1"/>
                    <wps:spPr>
                      <a:xfrm>
                        <a:off x="0" y="0"/>
                        <a:ext cx="3538855" cy="100330"/>
                      </a:xfrm>
                      <a:prstGeom prst="rect">
                        <a:avLst/>
                      </a:prstGeom>
                      <a:noFill/>
                    </wps:spPr>
                    <wps:txbx>
                      <w:txbxContent>
                        <w:p w14:paraId="1E1068FE" w14:textId="77777777" w:rsidR="00093A32" w:rsidRDefault="00093A32">
                          <w:pPr>
                            <w:pStyle w:val="Headerorfooter0"/>
                            <w:tabs>
                              <w:tab w:val="right" w:pos="5573"/>
                            </w:tabs>
                            <w:rPr>
                              <w:sz w:val="16"/>
                              <w:szCs w:val="16"/>
                            </w:rPr>
                          </w:pPr>
                          <w:r>
                            <w:t>HUMANA, INFECCIÓN POR VIRUS DE INMUNODEFICIENCIA (VIH)</w:t>
                          </w:r>
                          <w:r>
                            <w:tab/>
                          </w:r>
                          <w:r>
                            <w:rPr>
                              <w:sz w:val="16"/>
                              <w:szCs w:val="16"/>
                            </w:rPr>
                            <w:t>423</w:t>
                          </w:r>
                        </w:p>
                      </w:txbxContent>
                    </wps:txbx>
                    <wps:bodyPr lIns="0" tIns="0" rIns="0" bIns="0">
                      <a:spAutoFit/>
                    </wps:bodyPr>
                  </wps:wsp>
                </a:graphicData>
              </a:graphic>
            </wp:anchor>
          </w:drawing>
        </mc:Choice>
        <mc:Fallback>
          <w:pict>
            <v:shapetype w14:anchorId="3322A4CC" id="_x0000_t202" coordsize="21600,21600" o:spt="202" path="m,l,21600r21600,l21600,xe">
              <v:stroke joinstyle="miter"/>
              <v:path gradientshapeok="t" o:connecttype="rect"/>
            </v:shapetype>
            <v:shape id="Shape 1078" o:spid="_x0000_s1236" type="#_x0000_t202" style="position:absolute;margin-left:104.55pt;margin-top:23.3pt;width:278.65pt;height:7.9pt;z-index:-2512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" filled="f" stroked="f">
              <v:textbox style="mso-fit-shape-to-text:t" inset="0,0,0,0">
                <w:txbxContent>
                  <w:p w14:paraId="1E1068FE" w14:textId="77777777" w:rsidR="00093A32" w:rsidRDefault="00093A32">
                    <w:pPr>
                      <w:pStyle w:val="Headerorfooter0"/>
                      <w:tabs>
                        <w:tab w:val="right" w:pos="5573"/>
                      </w:tabs>
                      <w:rPr>
                        <w:sz w:val="16"/>
                        <w:szCs w:val="16"/>
                      </w:rPr>
                    </w:pPr>
                    <w:r>
                      <w:t>HUMANA, INFECCIÓN POR VIRUS DE INMUNODEFICIENCIA (VIH)</w:t>
                    </w:r>
                    <w:r>
                      <w:tab/>
                    </w:r>
                    <w:r>
                      <w:rPr>
                        <w:sz w:val="16"/>
                        <w:szCs w:val="16"/>
                      </w:rPr>
                      <w:t>423</w:t>
                    </w:r>
                  </w:p>
                </w:txbxContent>
              </v:textbox>
              <w10:wrap anchorx="page" anchory="page"/>
            </v:shape>
          </w:pict>
        </mc:Fallback>
      </mc:AlternateContent>
    </w:r>
    <w:r>
      <w:rPr>
        <w:noProof/>
      </w:rPr>
      <mc:AlternateContent>
        <mc:Choice Requires="wps">
          <w:drawing>
            <wp:anchor distT="0" distB="0" distL="114300" distR="114300" simplePos="0" relativeHeight="251851776" behindDoc="1" locked="0" layoutInCell="1" allowOverlap="1" wp14:anchorId="7CB911A4" wp14:editId="62E6C486">
              <wp:simplePos x="0" y="0"/>
              <wp:positionH relativeFrom="page">
                <wp:posOffset>529590</wp:posOffset>
              </wp:positionH>
              <wp:positionV relativeFrom="page">
                <wp:posOffset>419100</wp:posOffset>
              </wp:positionV>
              <wp:extent cx="4358640" cy="0"/>
              <wp:effectExtent l="0" t="0" r="0" b="0"/>
              <wp:wrapNone/>
              <wp:docPr id="1080" name="Shape 108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CF9AA3D" id="_x0000_t32" coordsize="21600,21600" o:spt="32" o:oned="t" path="m,l21600,21600e" filled="f">
              <v:path arrowok="t" fillok="f" o:connecttype="none"/>
              <o:lock v:ext="edit" shapetype="t"/>
            </v:shapetype>
            <v:shape id="Shape 1080" o:spid="_x0000_s1026" type="#_x0000_t32" style="position:absolute;margin-left:41.7pt;margin-top:33pt;width:343.2pt;height:0;z-index:-251464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" strokeweight="1pt">
              <w10:wrap anchorx="page" anchory="page"/>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A639" w14:textId="77777777" w:rsidR="00093A32" w:rsidRDefault="00093A32">
    <w:pPr>
      <w:spacing w:line="1" w:lineRule="exact"/>
    </w:pPr>
    <w:r>
      <w:rPr>
        <w:noProof/>
      </w:rPr>
      <mc:AlternateContent>
        <mc:Choice Requires="wps">
          <w:drawing>
            <wp:anchor distT="0" distB="0" distL="0" distR="0" simplePos="0" relativeHeight="252095488" behindDoc="1" locked="0" layoutInCell="1" allowOverlap="1" wp14:anchorId="4A0E43F0" wp14:editId="20512050">
              <wp:simplePos x="0" y="0"/>
              <wp:positionH relativeFrom="page">
                <wp:posOffset>1344930</wp:posOffset>
              </wp:positionH>
              <wp:positionV relativeFrom="page">
                <wp:posOffset>295910</wp:posOffset>
              </wp:positionV>
              <wp:extent cx="3520440" cy="100330"/>
              <wp:effectExtent l="0" t="0" r="0" b="0"/>
              <wp:wrapNone/>
              <wp:docPr id="1084" name="Shape 1084"/>
              <wp:cNvGraphicFramePr/>
              <a:graphic xmlns:a="http://schemas.openxmlformats.org/drawingml/2006/main">
                <a:graphicData uri="http://schemas.microsoft.com/office/word/2010/wordprocessingShape">
                  <wps:wsp>
                    <wps:cNvSpPr txBox="1"/>
                    <wps:spPr>
                      <a:xfrm>
                        <a:off x="0" y="0"/>
                        <a:ext cx="3520440" cy="100330"/>
                      </a:xfrm>
                      <a:prstGeom prst="rect">
                        <a:avLst/>
                      </a:prstGeom>
                      <a:noFill/>
                    </wps:spPr>
                    <wps:txbx>
                      <w:txbxContent>
                        <w:p w14:paraId="574CBE5E" w14:textId="77777777" w:rsidR="00093A32" w:rsidRDefault="00093A32">
                          <w:pPr>
                            <w:pStyle w:val="Headerorfooter0"/>
                            <w:tabs>
                              <w:tab w:val="right" w:pos="5544"/>
                            </w:tabs>
                            <w:rPr>
                              <w:sz w:val="16"/>
                              <w:szCs w:val="16"/>
                            </w:rPr>
                          </w:pPr>
                          <w:r>
                            <w:t>HUMANO, VIRUS HERPÉTICO 6 (INCLUIDO EL DE ROSÉOLA) Y 7</w:t>
                          </w:r>
                          <w:r>
                            <w:tab/>
                          </w:r>
                          <w:r>
                            <w:rPr>
                              <w:sz w:val="16"/>
                              <w:szCs w:val="16"/>
                            </w:rPr>
                            <w:t>447</w:t>
                          </w:r>
                        </w:p>
                      </w:txbxContent>
                    </wps:txbx>
                    <wps:bodyPr lIns="0" tIns="0" rIns="0" bIns="0">
                      <a:spAutoFit/>
                    </wps:bodyPr>
                  </wps:wsp>
                </a:graphicData>
              </a:graphic>
            </wp:anchor>
          </w:drawing>
        </mc:Choice>
        <mc:Fallback>
          <w:pict>
            <v:shapetype w14:anchorId="4A0E43F0" id="_x0000_t202" coordsize="21600,21600" o:spt="202" path="m,l,21600r21600,l21600,xe">
              <v:stroke joinstyle="miter"/>
              <v:path gradientshapeok="t" o:connecttype="rect"/>
            </v:shapetype>
            <v:shape id="Shape 1084" o:spid="_x0000_s1237" type="#_x0000_t202" style="position:absolute;margin-left:105.9pt;margin-top:23.3pt;width:277.2pt;height:7.9pt;z-index:-2512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" filled="f" stroked="f">
              <v:textbox style="mso-fit-shape-to-text:t" inset="0,0,0,0">
                <w:txbxContent>
                  <w:p w14:paraId="574CBE5E" w14:textId="77777777" w:rsidR="00093A32" w:rsidRDefault="00093A32">
                    <w:pPr>
                      <w:pStyle w:val="Headerorfooter0"/>
                      <w:tabs>
                        <w:tab w:val="right" w:pos="5544"/>
                      </w:tabs>
                      <w:rPr>
                        <w:sz w:val="16"/>
                        <w:szCs w:val="16"/>
                      </w:rPr>
                    </w:pPr>
                    <w:r>
                      <w:t>HUMANO, VIRUS HERPÉTICO 6 (INCLUIDO EL DE ROSÉOLA) Y 7</w:t>
                    </w:r>
                    <w:r>
                      <w:tab/>
                    </w:r>
                    <w:r>
                      <w:rPr>
                        <w:sz w:val="16"/>
                        <w:szCs w:val="16"/>
                      </w:rPr>
                      <w:t>447</w:t>
                    </w:r>
                  </w:p>
                </w:txbxContent>
              </v:textbox>
              <w10:wrap anchorx="page" anchory="page"/>
            </v:shape>
          </w:pict>
        </mc:Fallback>
      </mc:AlternateContent>
    </w:r>
    <w:r>
      <w:rPr>
        <w:noProof/>
      </w:rPr>
      <mc:AlternateContent>
        <mc:Choice Requires="wps">
          <w:drawing>
            <wp:anchor distT="0" distB="0" distL="114300" distR="114300" simplePos="0" relativeHeight="251853824" behindDoc="1" locked="0" layoutInCell="1" allowOverlap="1" wp14:anchorId="63515389" wp14:editId="41FE8AA2">
              <wp:simplePos x="0" y="0"/>
              <wp:positionH relativeFrom="page">
                <wp:posOffset>527685</wp:posOffset>
              </wp:positionH>
              <wp:positionV relativeFrom="page">
                <wp:posOffset>419100</wp:posOffset>
              </wp:positionV>
              <wp:extent cx="4358640" cy="0"/>
              <wp:effectExtent l="0" t="0" r="0" b="0"/>
              <wp:wrapNone/>
              <wp:docPr id="1086" name="Shape 108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832539B" id="_x0000_t32" coordsize="21600,21600" o:spt="32" o:oned="t" path="m,l21600,21600e" filled="f">
              <v:path arrowok="t" fillok="f" o:connecttype="none"/>
              <o:lock v:ext="edit" shapetype="t"/>
            </v:shapetype>
            <v:shape id="Shape 1086" o:spid="_x0000_s1026" type="#_x0000_t32" style="position:absolute;margin-left:41.55pt;margin-top:33pt;width:343.2pt;height:0;z-index:-251462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v2&#10;lODaAAAACAEAAA8AAAAAAAAAAAAAAAAAwgMAAGRycy9kb3ducmV2LnhtbFBLBQYAAAAABAAEAPMA&#10;AADJBAAAAAA=&#10;" strokeweight="1pt">
              <w10:wrap anchorx="page" anchory="page"/>
            </v:shape>
          </w:pict>
        </mc:Fallback>
      </mc:AlternateConten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330F" w14:textId="77777777" w:rsidR="00093A32" w:rsidRDefault="00093A32">
    <w:pPr>
      <w:spacing w:line="1" w:lineRule="exact"/>
    </w:pPr>
    <w:r>
      <w:rPr>
        <w:noProof/>
      </w:rPr>
      <mc:AlternateContent>
        <mc:Choice Requires="wps">
          <w:drawing>
            <wp:anchor distT="0" distB="0" distL="0" distR="0" simplePos="0" relativeHeight="252094464" behindDoc="1" locked="0" layoutInCell="1" allowOverlap="1" wp14:anchorId="5D1936DA" wp14:editId="2B5A2668">
              <wp:simplePos x="0" y="0"/>
              <wp:positionH relativeFrom="page">
                <wp:posOffset>1344930</wp:posOffset>
              </wp:positionH>
              <wp:positionV relativeFrom="page">
                <wp:posOffset>295910</wp:posOffset>
              </wp:positionV>
              <wp:extent cx="3520440" cy="100330"/>
              <wp:effectExtent l="0" t="0" r="0" b="0"/>
              <wp:wrapNone/>
              <wp:docPr id="1081" name="Shape 1081"/>
              <wp:cNvGraphicFramePr/>
              <a:graphic xmlns:a="http://schemas.openxmlformats.org/drawingml/2006/main">
                <a:graphicData uri="http://schemas.microsoft.com/office/word/2010/wordprocessingShape">
                  <wps:wsp>
                    <wps:cNvSpPr txBox="1"/>
                    <wps:spPr>
                      <a:xfrm>
                        <a:off x="0" y="0"/>
                        <a:ext cx="3520440" cy="100330"/>
                      </a:xfrm>
                      <a:prstGeom prst="rect">
                        <a:avLst/>
                      </a:prstGeom>
                      <a:noFill/>
                    </wps:spPr>
                    <wps:txbx>
                      <w:txbxContent>
                        <w:p w14:paraId="69083C10" w14:textId="77777777" w:rsidR="00093A32" w:rsidRDefault="00093A32">
                          <w:pPr>
                            <w:pStyle w:val="Headerorfooter0"/>
                            <w:tabs>
                              <w:tab w:val="right" w:pos="5544"/>
                            </w:tabs>
                            <w:rPr>
                              <w:sz w:val="16"/>
                              <w:szCs w:val="16"/>
                            </w:rPr>
                          </w:pPr>
                          <w:r>
                            <w:t>HUMANO, VIRUS HERPÉTICO 6 (INCLUIDO EL DE ROSÉOLA) Y 7</w:t>
                          </w:r>
                          <w:r>
                            <w:tab/>
                          </w:r>
                          <w:r>
                            <w:rPr>
                              <w:sz w:val="16"/>
                              <w:szCs w:val="16"/>
                            </w:rPr>
                            <w:t>447</w:t>
                          </w:r>
                        </w:p>
                      </w:txbxContent>
                    </wps:txbx>
                    <wps:bodyPr lIns="0" tIns="0" rIns="0" bIns="0">
                      <a:spAutoFit/>
                    </wps:bodyPr>
                  </wps:wsp>
                </a:graphicData>
              </a:graphic>
            </wp:anchor>
          </w:drawing>
        </mc:Choice>
        <mc:Fallback>
          <w:pict>
            <v:shapetype w14:anchorId="5D1936DA" id="_x0000_t202" coordsize="21600,21600" o:spt="202" path="m,l,21600r21600,l21600,xe">
              <v:stroke joinstyle="miter"/>
              <v:path gradientshapeok="t" o:connecttype="rect"/>
            </v:shapetype>
            <v:shape id="Shape 1081" o:spid="_x0000_s1238" type="#_x0000_t202" style="position:absolute;margin-left:105.9pt;margin-top:23.3pt;width:277.2pt;height:7.9pt;z-index:-2512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" filled="f" stroked="f">
              <v:textbox style="mso-fit-shape-to-text:t" inset="0,0,0,0">
                <w:txbxContent>
                  <w:p w14:paraId="69083C10" w14:textId="77777777" w:rsidR="00093A32" w:rsidRDefault="00093A32">
                    <w:pPr>
                      <w:pStyle w:val="Headerorfooter0"/>
                      <w:tabs>
                        <w:tab w:val="right" w:pos="5544"/>
                      </w:tabs>
                      <w:rPr>
                        <w:sz w:val="16"/>
                        <w:szCs w:val="16"/>
                      </w:rPr>
                    </w:pPr>
                    <w:r>
                      <w:t>HUMANO, VIRUS HERPÉTICO 6 (INCLUIDO EL DE ROSÉOLA) Y 7</w:t>
                    </w:r>
                    <w:r>
                      <w:tab/>
                    </w:r>
                    <w:r>
                      <w:rPr>
                        <w:sz w:val="16"/>
                        <w:szCs w:val="16"/>
                      </w:rPr>
                      <w:t>447</w:t>
                    </w:r>
                  </w:p>
                </w:txbxContent>
              </v:textbox>
              <w10:wrap anchorx="page" anchory="page"/>
            </v:shape>
          </w:pict>
        </mc:Fallback>
      </mc:AlternateContent>
    </w:r>
    <w:r>
      <w:rPr>
        <w:noProof/>
      </w:rPr>
      <mc:AlternateContent>
        <mc:Choice Requires="wps">
          <w:drawing>
            <wp:anchor distT="0" distB="0" distL="114300" distR="114300" simplePos="0" relativeHeight="251852800" behindDoc="1" locked="0" layoutInCell="1" allowOverlap="1" wp14:anchorId="3C803C1F" wp14:editId="1E8F5106">
              <wp:simplePos x="0" y="0"/>
              <wp:positionH relativeFrom="page">
                <wp:posOffset>527685</wp:posOffset>
              </wp:positionH>
              <wp:positionV relativeFrom="page">
                <wp:posOffset>419100</wp:posOffset>
              </wp:positionV>
              <wp:extent cx="4358640" cy="0"/>
              <wp:effectExtent l="0" t="0" r="0" b="0"/>
              <wp:wrapNone/>
              <wp:docPr id="1083" name="Shape 108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2777D6" id="_x0000_t32" coordsize="21600,21600" o:spt="32" o:oned="t" path="m,l21600,21600e" filled="f">
              <v:path arrowok="t" fillok="f" o:connecttype="none"/>
              <o:lock v:ext="edit" shapetype="t"/>
            </v:shapetype>
            <v:shape id="Shape 1083" o:spid="_x0000_s1026" type="#_x0000_t32" style="position:absolute;margin-left:41.55pt;margin-top:33pt;width:343.2pt;height:0;z-index:-251463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v2&#10;lODaAAAACAEAAA8AAAAAAAAAAAAAAAAAwgMAAGRycy9kb3ducmV2LnhtbFBLBQYAAAAABAAEAPMA&#10;AADJBAAAAAA=&#10;" strokeweight="1pt">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2329" w14:textId="77777777" w:rsidR="00093A32" w:rsidRDefault="00093A32">
    <w:pPr>
      <w:spacing w:line="1" w:lineRule="exact"/>
    </w:pPr>
    <w:r>
      <w:rPr>
        <w:noProof/>
      </w:rPr>
      <mc:AlternateContent>
        <mc:Choice Requires="wps">
          <w:drawing>
            <wp:anchor distT="0" distB="0" distL="0" distR="0" simplePos="0" relativeHeight="252096512" behindDoc="1" locked="0" layoutInCell="1" allowOverlap="1" wp14:anchorId="7B240BE6" wp14:editId="30E963A7">
              <wp:simplePos x="0" y="0"/>
              <wp:positionH relativeFrom="page">
                <wp:posOffset>1757680</wp:posOffset>
              </wp:positionH>
              <wp:positionV relativeFrom="page">
                <wp:posOffset>311150</wp:posOffset>
              </wp:positionV>
              <wp:extent cx="3096895" cy="79375"/>
              <wp:effectExtent l="0" t="0" r="0" b="0"/>
              <wp:wrapNone/>
              <wp:docPr id="1087" name="Shape 1087"/>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0602F25B" w14:textId="77777777" w:rsidR="00093A32" w:rsidRDefault="00093A32">
                          <w:pPr>
                            <w:pStyle w:val="Headerorfooter0"/>
                            <w:tabs>
                              <w:tab w:val="right" w:pos="4877"/>
                            </w:tabs>
                            <w:rPr>
                              <w:sz w:val="16"/>
                              <w:szCs w:val="16"/>
                            </w:rPr>
                          </w:pPr>
                          <w:r>
                            <w:t>UREAPLASMA UREALYTICUM, INFECCIONES</w:t>
                          </w:r>
                          <w:r>
                            <w:tab/>
                          </w:r>
                          <w:r>
                            <w:rPr>
                              <w:sz w:val="16"/>
                              <w:szCs w:val="16"/>
                            </w:rPr>
                            <w:t>691</w:t>
                          </w:r>
                        </w:p>
                      </w:txbxContent>
                    </wps:txbx>
                    <wps:bodyPr lIns="0" tIns="0" rIns="0" bIns="0">
                      <a:spAutoFit/>
                    </wps:bodyPr>
                  </wps:wsp>
                </a:graphicData>
              </a:graphic>
            </wp:anchor>
          </w:drawing>
        </mc:Choice>
        <mc:Fallback>
          <w:pict>
            <v:shapetype w14:anchorId="7B240BE6" id="_x0000_t202" coordsize="21600,21600" o:spt="202" path="m,l,21600r21600,l21600,xe">
              <v:stroke joinstyle="miter"/>
              <v:path gradientshapeok="t" o:connecttype="rect"/>
            </v:shapetype>
            <v:shape id="Shape 1087" o:spid="_x0000_s1239" type="#_x0000_t202" style="position:absolute;margin-left:138.4pt;margin-top:24.5pt;width:243.85pt;height:6.25pt;z-index:-2512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" filled="f" stroked="f">
              <v:textbox style="mso-fit-shape-to-text:t" inset="0,0,0,0">
                <w:txbxContent>
                  <w:p w14:paraId="0602F25B" w14:textId="77777777" w:rsidR="00093A32" w:rsidRDefault="00093A32">
                    <w:pPr>
                      <w:pStyle w:val="Headerorfooter0"/>
                      <w:tabs>
                        <w:tab w:val="right" w:pos="4877"/>
                      </w:tabs>
                      <w:rPr>
                        <w:sz w:val="16"/>
                        <w:szCs w:val="16"/>
                      </w:rPr>
                    </w:pPr>
                    <w:r>
                      <w:t>UREAPLASMA UREALYTICUM, INFECCIONES</w:t>
                    </w:r>
                    <w:r>
                      <w:tab/>
                    </w:r>
                    <w:r>
                      <w:rPr>
                        <w:sz w:val="16"/>
                        <w:szCs w:val="16"/>
                      </w:rPr>
                      <w:t>691</w:t>
                    </w:r>
                  </w:p>
                </w:txbxContent>
              </v:textbox>
              <w10:wrap anchorx="page" anchory="page"/>
            </v:shape>
          </w:pict>
        </mc:Fallback>
      </mc:AlternateContent>
    </w:r>
    <w:r>
      <w:rPr>
        <w:noProof/>
      </w:rPr>
      <mc:AlternateContent>
        <mc:Choice Requires="wps">
          <w:drawing>
            <wp:anchor distT="0" distB="0" distL="114300" distR="114300" simplePos="0" relativeHeight="251854848" behindDoc="1" locked="0" layoutInCell="1" allowOverlap="1" wp14:anchorId="04A0C321" wp14:editId="266A8B14">
              <wp:simplePos x="0" y="0"/>
              <wp:positionH relativeFrom="page">
                <wp:posOffset>532130</wp:posOffset>
              </wp:positionH>
              <wp:positionV relativeFrom="page">
                <wp:posOffset>419100</wp:posOffset>
              </wp:positionV>
              <wp:extent cx="4358640" cy="0"/>
              <wp:effectExtent l="0" t="0" r="0" b="0"/>
              <wp:wrapNone/>
              <wp:docPr id="1089" name="Shape 108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C7CAC59" id="_x0000_t32" coordsize="21600,21600" o:spt="32" o:oned="t" path="m,l21600,21600e" filled="f">
              <v:path arrowok="t" fillok="f" o:connecttype="none"/>
              <o:lock v:ext="edit" shapetype="t"/>
            </v:shapetype>
            <v:shape id="Shape 1089" o:spid="_x0000_s1026" type="#_x0000_t32" style="position:absolute;margin-left:41.9pt;margin-top:33pt;width:343.2pt;height:0;z-index:-251461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9F44" w14:textId="77777777" w:rsidR="00093A32" w:rsidRDefault="00093A32">
    <w:pPr>
      <w:spacing w:line="1" w:lineRule="exact"/>
    </w:pPr>
    <w:r>
      <w:rPr>
        <w:noProof/>
      </w:rPr>
      <mc:AlternateContent>
        <mc:Choice Requires="wps">
          <w:drawing>
            <wp:anchor distT="0" distB="0" distL="0" distR="0" simplePos="0" relativeHeight="252098560" behindDoc="1" locked="0" layoutInCell="1" allowOverlap="1" wp14:anchorId="606639AF" wp14:editId="4CBFC9FC">
              <wp:simplePos x="0" y="0"/>
              <wp:positionH relativeFrom="page">
                <wp:posOffset>547370</wp:posOffset>
              </wp:positionH>
              <wp:positionV relativeFrom="page">
                <wp:posOffset>295910</wp:posOffset>
              </wp:positionV>
              <wp:extent cx="2825750" cy="94615"/>
              <wp:effectExtent l="0" t="0" r="0" b="0"/>
              <wp:wrapNone/>
              <wp:docPr id="1093" name="Shape 1093"/>
              <wp:cNvGraphicFramePr/>
              <a:graphic xmlns:a="http://schemas.openxmlformats.org/drawingml/2006/main">
                <a:graphicData uri="http://schemas.microsoft.com/office/word/2010/wordprocessingShape">
                  <wps:wsp>
                    <wps:cNvSpPr txBox="1"/>
                    <wps:spPr>
                      <a:xfrm>
                        <a:off x="0" y="0"/>
                        <a:ext cx="2825750" cy="94615"/>
                      </a:xfrm>
                      <a:prstGeom prst="rect">
                        <a:avLst/>
                      </a:prstGeom>
                      <a:noFill/>
                    </wps:spPr>
                    <wps:txbx>
                      <w:txbxContent>
                        <w:p w14:paraId="50F787DA" w14:textId="77777777" w:rsidR="00093A32" w:rsidRDefault="00093A32">
                          <w:pPr>
                            <w:pStyle w:val="Headerorfooter0"/>
                            <w:tabs>
                              <w:tab w:val="right" w:pos="4450"/>
                            </w:tabs>
                          </w:pPr>
                          <w:r>
                            <w:rPr>
                              <w:sz w:val="16"/>
                              <w:szCs w:val="16"/>
                            </w:rPr>
                            <w:t>448</w:t>
                          </w:r>
                          <w:r>
                            <w:rPr>
                              <w:sz w:val="16"/>
                              <w:szCs w:val="16"/>
                            </w:rPr>
                            <w:tab/>
                          </w:r>
                          <w:r>
                            <w:t>HUMANO, VIRUS HERPÉTICO 8</w:t>
                          </w:r>
                        </w:p>
                      </w:txbxContent>
                    </wps:txbx>
                    <wps:bodyPr lIns="0" tIns="0" rIns="0" bIns="0">
                      <a:spAutoFit/>
                    </wps:bodyPr>
                  </wps:wsp>
                </a:graphicData>
              </a:graphic>
            </wp:anchor>
          </w:drawing>
        </mc:Choice>
        <mc:Fallback>
          <w:pict>
            <v:shapetype w14:anchorId="606639AF" id="_x0000_t202" coordsize="21600,21600" o:spt="202" path="m,l,21600r21600,l21600,xe">
              <v:stroke joinstyle="miter"/>
              <v:path gradientshapeok="t" o:connecttype="rect"/>
            </v:shapetype>
            <v:shape id="Shape 1093" o:spid="_x0000_s1240" type="#_x0000_t202" style="position:absolute;margin-left:43.1pt;margin-top:23.3pt;width:222.5pt;height:7.45pt;z-index:-2512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" filled="f" stroked="f">
              <v:textbox style="mso-fit-shape-to-text:t" inset="0,0,0,0">
                <w:txbxContent>
                  <w:p w14:paraId="50F787DA" w14:textId="77777777" w:rsidR="00093A32" w:rsidRDefault="00093A32">
                    <w:pPr>
                      <w:pStyle w:val="Headerorfooter0"/>
                      <w:tabs>
                        <w:tab w:val="right" w:pos="4450"/>
                      </w:tabs>
                    </w:pPr>
                    <w:r>
                      <w:rPr>
                        <w:sz w:val="16"/>
                        <w:szCs w:val="16"/>
                      </w:rPr>
                      <w:t>448</w:t>
                    </w:r>
                    <w:r>
                      <w:rPr>
                        <w:sz w:val="16"/>
                        <w:szCs w:val="16"/>
                      </w:rPr>
                      <w:tab/>
                    </w:r>
                    <w:r>
                      <w:t>HUMANO, VIRUS HERPÉTICO 8</w:t>
                    </w:r>
                  </w:p>
                </w:txbxContent>
              </v:textbox>
              <w10:wrap anchorx="page" anchory="page"/>
            </v:shape>
          </w:pict>
        </mc:Fallback>
      </mc:AlternateContent>
    </w:r>
    <w:r>
      <w:rPr>
        <w:noProof/>
      </w:rPr>
      <mc:AlternateContent>
        <mc:Choice Requires="wps">
          <w:drawing>
            <wp:anchor distT="0" distB="0" distL="114300" distR="114300" simplePos="0" relativeHeight="251856896" behindDoc="1" locked="0" layoutInCell="1" allowOverlap="1" wp14:anchorId="74B4B976" wp14:editId="543BD9CE">
              <wp:simplePos x="0" y="0"/>
              <wp:positionH relativeFrom="page">
                <wp:posOffset>532130</wp:posOffset>
              </wp:positionH>
              <wp:positionV relativeFrom="page">
                <wp:posOffset>419100</wp:posOffset>
              </wp:positionV>
              <wp:extent cx="4358640" cy="0"/>
              <wp:effectExtent l="0" t="0" r="0" b="0"/>
              <wp:wrapNone/>
              <wp:docPr id="1095" name="Shape 10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C1C717" id="_x0000_t32" coordsize="21600,21600" o:spt="32" o:oned="t" path="m,l21600,21600e" filled="f">
              <v:path arrowok="t" fillok="f" o:connecttype="none"/>
              <o:lock v:ext="edit" shapetype="t"/>
            </v:shapetype>
            <v:shape id="Shape 1095" o:spid="_x0000_s1026" type="#_x0000_t32" style="position:absolute;margin-left:41.9pt;margin-top:33pt;width:343.2pt;height:0;z-index:-251459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7D8B" w14:textId="77777777" w:rsidR="00093A32" w:rsidRDefault="00093A32">
    <w:pPr>
      <w:spacing w:line="1" w:lineRule="exact"/>
    </w:pPr>
    <w:r>
      <w:rPr>
        <w:noProof/>
      </w:rPr>
      <mc:AlternateContent>
        <mc:Choice Requires="wps">
          <w:drawing>
            <wp:anchor distT="0" distB="0" distL="0" distR="0" simplePos="0" relativeHeight="252097536" behindDoc="1" locked="0" layoutInCell="1" allowOverlap="1" wp14:anchorId="171F8A15" wp14:editId="3000FDBA">
              <wp:simplePos x="0" y="0"/>
              <wp:positionH relativeFrom="page">
                <wp:posOffset>547370</wp:posOffset>
              </wp:positionH>
              <wp:positionV relativeFrom="page">
                <wp:posOffset>295910</wp:posOffset>
              </wp:positionV>
              <wp:extent cx="2825750" cy="94615"/>
              <wp:effectExtent l="0" t="0" r="0" b="0"/>
              <wp:wrapNone/>
              <wp:docPr id="1090" name="Shape 1090"/>
              <wp:cNvGraphicFramePr/>
              <a:graphic xmlns:a="http://schemas.openxmlformats.org/drawingml/2006/main">
                <a:graphicData uri="http://schemas.microsoft.com/office/word/2010/wordprocessingShape">
                  <wps:wsp>
                    <wps:cNvSpPr txBox="1"/>
                    <wps:spPr>
                      <a:xfrm>
                        <a:off x="0" y="0"/>
                        <a:ext cx="2825750" cy="94615"/>
                      </a:xfrm>
                      <a:prstGeom prst="rect">
                        <a:avLst/>
                      </a:prstGeom>
                      <a:noFill/>
                    </wps:spPr>
                    <wps:txbx>
                      <w:txbxContent>
                        <w:p w14:paraId="488721DA" w14:textId="77777777" w:rsidR="00093A32" w:rsidRDefault="00093A32">
                          <w:pPr>
                            <w:pStyle w:val="Headerorfooter0"/>
                            <w:tabs>
                              <w:tab w:val="right" w:pos="4450"/>
                            </w:tabs>
                          </w:pPr>
                          <w:r>
                            <w:rPr>
                              <w:sz w:val="16"/>
                              <w:szCs w:val="16"/>
                            </w:rPr>
                            <w:t>448</w:t>
                          </w:r>
                          <w:r>
                            <w:rPr>
                              <w:sz w:val="16"/>
                              <w:szCs w:val="16"/>
                            </w:rPr>
                            <w:tab/>
                          </w:r>
                          <w:r>
                            <w:t>HUMANO, VIRUS HERPÉTICO 8</w:t>
                          </w:r>
                        </w:p>
                      </w:txbxContent>
                    </wps:txbx>
                    <wps:bodyPr lIns="0" tIns="0" rIns="0" bIns="0">
                      <a:spAutoFit/>
                    </wps:bodyPr>
                  </wps:wsp>
                </a:graphicData>
              </a:graphic>
            </wp:anchor>
          </w:drawing>
        </mc:Choice>
        <mc:Fallback>
          <w:pict>
            <v:shapetype w14:anchorId="171F8A15" id="_x0000_t202" coordsize="21600,21600" o:spt="202" path="m,l,21600r21600,l21600,xe">
              <v:stroke joinstyle="miter"/>
              <v:path gradientshapeok="t" o:connecttype="rect"/>
            </v:shapetype>
            <v:shape id="Shape 1090" o:spid="_x0000_s1241" type="#_x0000_t202" style="position:absolute;margin-left:43.1pt;margin-top:23.3pt;width:222.5pt;height:7.45pt;z-index:-2512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" filled="f" stroked="f">
              <v:textbox style="mso-fit-shape-to-text:t" inset="0,0,0,0">
                <w:txbxContent>
                  <w:p w14:paraId="488721DA" w14:textId="77777777" w:rsidR="00093A32" w:rsidRDefault="00093A32">
                    <w:pPr>
                      <w:pStyle w:val="Headerorfooter0"/>
                      <w:tabs>
                        <w:tab w:val="right" w:pos="4450"/>
                      </w:tabs>
                    </w:pPr>
                    <w:r>
                      <w:rPr>
                        <w:sz w:val="16"/>
                        <w:szCs w:val="16"/>
                      </w:rPr>
                      <w:t>448</w:t>
                    </w:r>
                    <w:r>
                      <w:rPr>
                        <w:sz w:val="16"/>
                        <w:szCs w:val="16"/>
                      </w:rPr>
                      <w:tab/>
                    </w:r>
                    <w:r>
                      <w:t>HUMANO, VIRUS HERPÉTICO 8</w:t>
                    </w:r>
                  </w:p>
                </w:txbxContent>
              </v:textbox>
              <w10:wrap anchorx="page" anchory="page"/>
            </v:shape>
          </w:pict>
        </mc:Fallback>
      </mc:AlternateContent>
    </w:r>
    <w:r>
      <w:rPr>
        <w:noProof/>
      </w:rPr>
      <mc:AlternateContent>
        <mc:Choice Requires="wps">
          <w:drawing>
            <wp:anchor distT="0" distB="0" distL="114300" distR="114300" simplePos="0" relativeHeight="251855872" behindDoc="1" locked="0" layoutInCell="1" allowOverlap="1" wp14:anchorId="3112A7F5" wp14:editId="33C21E3F">
              <wp:simplePos x="0" y="0"/>
              <wp:positionH relativeFrom="page">
                <wp:posOffset>532130</wp:posOffset>
              </wp:positionH>
              <wp:positionV relativeFrom="page">
                <wp:posOffset>419100</wp:posOffset>
              </wp:positionV>
              <wp:extent cx="4358640" cy="0"/>
              <wp:effectExtent l="0" t="0" r="0" b="0"/>
              <wp:wrapNone/>
              <wp:docPr id="1092" name="Shape 10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727D7D" id="_x0000_t32" coordsize="21600,21600" o:spt="32" o:oned="t" path="m,l21600,21600e" filled="f">
              <v:path arrowok="t" fillok="f" o:connecttype="none"/>
              <o:lock v:ext="edit" shapetype="t"/>
            </v:shapetype>
            <v:shape id="Shape 1092" o:spid="_x0000_s1026" type="#_x0000_t32" style="position:absolute;margin-left:41.9pt;margin-top:33pt;width:343.2pt;height:0;z-index:-251460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227D" w14:textId="77777777" w:rsidR="00093A32" w:rsidRDefault="00093A32">
    <w:pPr>
      <w:spacing w:line="1" w:lineRule="exact"/>
    </w:pPr>
    <w:r>
      <w:rPr>
        <w:noProof/>
      </w:rPr>
      <mc:AlternateContent>
        <mc:Choice Requires="wps">
          <w:drawing>
            <wp:anchor distT="0" distB="0" distL="0" distR="0" simplePos="0" relativeHeight="252100608" behindDoc="1" locked="0" layoutInCell="1" allowOverlap="1" wp14:anchorId="390F323A" wp14:editId="17069EA9">
              <wp:simplePos x="0" y="0"/>
              <wp:positionH relativeFrom="page">
                <wp:posOffset>2473960</wp:posOffset>
              </wp:positionH>
              <wp:positionV relativeFrom="page">
                <wp:posOffset>311150</wp:posOffset>
              </wp:positionV>
              <wp:extent cx="2395855" cy="69850"/>
              <wp:effectExtent l="0" t="0" r="0" b="0"/>
              <wp:wrapNone/>
              <wp:docPr id="1099" name="Shape 1099"/>
              <wp:cNvGraphicFramePr/>
              <a:graphic xmlns:a="http://schemas.openxmlformats.org/drawingml/2006/main">
                <a:graphicData uri="http://schemas.microsoft.com/office/word/2010/wordprocessingShape">
                  <wps:wsp>
                    <wps:cNvSpPr txBox="1"/>
                    <wps:spPr>
                      <a:xfrm>
                        <a:off x="0" y="0"/>
                        <a:ext cx="2395855" cy="69850"/>
                      </a:xfrm>
                      <a:prstGeom prst="rect">
                        <a:avLst/>
                      </a:prstGeom>
                      <a:noFill/>
                    </wps:spPr>
                    <wps:txbx>
                      <w:txbxContent>
                        <w:p w14:paraId="11A5DB1E" w14:textId="77777777" w:rsidR="00093A32" w:rsidRDefault="00093A32">
                          <w:pPr>
                            <w:pStyle w:val="Headerorfooter0"/>
                            <w:tabs>
                              <w:tab w:val="right" w:pos="3773"/>
                            </w:tabs>
                            <w:rPr>
                              <w:sz w:val="16"/>
                              <w:szCs w:val="16"/>
                            </w:rPr>
                          </w:pPr>
                          <w:r>
                            <w:t>INFLUENZA</w:t>
                          </w:r>
                          <w:r>
                            <w:tab/>
                          </w:r>
                          <w:r>
                            <w:rPr>
                              <w:sz w:val="16"/>
                              <w:szCs w:val="16"/>
                            </w:rPr>
                            <w:t>449</w:t>
                          </w:r>
                        </w:p>
                      </w:txbxContent>
                    </wps:txbx>
                    <wps:bodyPr lIns="0" tIns="0" rIns="0" bIns="0">
                      <a:spAutoFit/>
                    </wps:bodyPr>
                  </wps:wsp>
                </a:graphicData>
              </a:graphic>
            </wp:anchor>
          </w:drawing>
        </mc:Choice>
        <mc:Fallback>
          <w:pict>
            <v:shapetype w14:anchorId="390F323A" id="_x0000_t202" coordsize="21600,21600" o:spt="202" path="m,l,21600r21600,l21600,xe">
              <v:stroke joinstyle="miter"/>
              <v:path gradientshapeok="t" o:connecttype="rect"/>
            </v:shapetype>
            <v:shape id="Shape 1099" o:spid="_x0000_s1242" type="#_x0000_t202" style="position:absolute;margin-left:194.8pt;margin-top:24.5pt;width:188.65pt;height:5.5pt;z-index:-2512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" filled="f" stroked="f">
              <v:textbox style="mso-fit-shape-to-text:t" inset="0,0,0,0">
                <w:txbxContent>
                  <w:p w14:paraId="11A5DB1E" w14:textId="77777777" w:rsidR="00093A32" w:rsidRDefault="00093A32">
                    <w:pPr>
                      <w:pStyle w:val="Headerorfooter0"/>
                      <w:tabs>
                        <w:tab w:val="right" w:pos="3773"/>
                      </w:tabs>
                      <w:rPr>
                        <w:sz w:val="16"/>
                        <w:szCs w:val="16"/>
                      </w:rPr>
                    </w:pPr>
                    <w:r>
                      <w:t>INFLUENZA</w:t>
                    </w:r>
                    <w:r>
                      <w:tab/>
                    </w:r>
                    <w:r>
                      <w:rPr>
                        <w:sz w:val="16"/>
                        <w:szCs w:val="16"/>
                      </w:rPr>
                      <w:t>449</w:t>
                    </w:r>
                  </w:p>
                </w:txbxContent>
              </v:textbox>
              <w10:wrap anchorx="page" anchory="page"/>
            </v:shape>
          </w:pict>
        </mc:Fallback>
      </mc:AlternateContent>
    </w:r>
    <w:r>
      <w:rPr>
        <w:noProof/>
      </w:rPr>
      <mc:AlternateContent>
        <mc:Choice Requires="wps">
          <w:drawing>
            <wp:anchor distT="0" distB="0" distL="114300" distR="114300" simplePos="0" relativeHeight="251858944" behindDoc="1" locked="0" layoutInCell="1" allowOverlap="1" wp14:anchorId="740166B9" wp14:editId="74CEC349">
              <wp:simplePos x="0" y="0"/>
              <wp:positionH relativeFrom="page">
                <wp:posOffset>532130</wp:posOffset>
              </wp:positionH>
              <wp:positionV relativeFrom="page">
                <wp:posOffset>419100</wp:posOffset>
              </wp:positionV>
              <wp:extent cx="4358640" cy="0"/>
              <wp:effectExtent l="0" t="0" r="0" b="0"/>
              <wp:wrapNone/>
              <wp:docPr id="1101" name="Shape 11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10B3FD7" id="_x0000_t32" coordsize="21600,21600" o:spt="32" o:oned="t" path="m,l21600,21600e" filled="f">
              <v:path arrowok="t" fillok="f" o:connecttype="none"/>
              <o:lock v:ext="edit" shapetype="t"/>
            </v:shapetype>
            <v:shape id="Shape 1101" o:spid="_x0000_s1026" type="#_x0000_t32" style="position:absolute;margin-left:41.9pt;margin-top:33pt;width:343.2pt;height:0;z-index:-251457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C4C6" w14:textId="77777777" w:rsidR="00093A32" w:rsidRDefault="00093A32">
    <w:pPr>
      <w:spacing w:line="1" w:lineRule="exact"/>
    </w:pPr>
    <w:r>
      <w:rPr>
        <w:noProof/>
      </w:rPr>
      <mc:AlternateContent>
        <mc:Choice Requires="wps">
          <w:drawing>
            <wp:anchor distT="0" distB="0" distL="0" distR="0" simplePos="0" relativeHeight="252099584" behindDoc="1" locked="0" layoutInCell="1" allowOverlap="1" wp14:anchorId="3B26BFEE" wp14:editId="589DE367">
              <wp:simplePos x="0" y="0"/>
              <wp:positionH relativeFrom="page">
                <wp:posOffset>2473960</wp:posOffset>
              </wp:positionH>
              <wp:positionV relativeFrom="page">
                <wp:posOffset>311150</wp:posOffset>
              </wp:positionV>
              <wp:extent cx="2395855" cy="69850"/>
              <wp:effectExtent l="0" t="0" r="0" b="0"/>
              <wp:wrapNone/>
              <wp:docPr id="1096" name="Shape 1096"/>
              <wp:cNvGraphicFramePr/>
              <a:graphic xmlns:a="http://schemas.openxmlformats.org/drawingml/2006/main">
                <a:graphicData uri="http://schemas.microsoft.com/office/word/2010/wordprocessingShape">
                  <wps:wsp>
                    <wps:cNvSpPr txBox="1"/>
                    <wps:spPr>
                      <a:xfrm>
                        <a:off x="0" y="0"/>
                        <a:ext cx="2395855" cy="69850"/>
                      </a:xfrm>
                      <a:prstGeom prst="rect">
                        <a:avLst/>
                      </a:prstGeom>
                      <a:noFill/>
                    </wps:spPr>
                    <wps:txbx>
                      <w:txbxContent>
                        <w:p w14:paraId="2FABB431" w14:textId="77777777" w:rsidR="00093A32" w:rsidRDefault="00093A32">
                          <w:pPr>
                            <w:pStyle w:val="Headerorfooter0"/>
                            <w:tabs>
                              <w:tab w:val="right" w:pos="3773"/>
                            </w:tabs>
                            <w:rPr>
                              <w:sz w:val="16"/>
                              <w:szCs w:val="16"/>
                            </w:rPr>
                          </w:pPr>
                          <w:r>
                            <w:t>INFLUENZA</w:t>
                          </w:r>
                          <w:r>
                            <w:tab/>
                          </w:r>
                          <w:r>
                            <w:rPr>
                              <w:sz w:val="16"/>
                              <w:szCs w:val="16"/>
                            </w:rPr>
                            <w:t>449</w:t>
                          </w:r>
                        </w:p>
                      </w:txbxContent>
                    </wps:txbx>
                    <wps:bodyPr lIns="0" tIns="0" rIns="0" bIns="0">
                      <a:spAutoFit/>
                    </wps:bodyPr>
                  </wps:wsp>
                </a:graphicData>
              </a:graphic>
            </wp:anchor>
          </w:drawing>
        </mc:Choice>
        <mc:Fallback>
          <w:pict>
            <v:shapetype w14:anchorId="3B26BFEE" id="_x0000_t202" coordsize="21600,21600" o:spt="202" path="m,l,21600r21600,l21600,xe">
              <v:stroke joinstyle="miter"/>
              <v:path gradientshapeok="t" o:connecttype="rect"/>
            </v:shapetype>
            <v:shape id="Shape 1096" o:spid="_x0000_s1243" type="#_x0000_t202" style="position:absolute;margin-left:194.8pt;margin-top:24.5pt;width:188.65pt;height:5.5pt;z-index:-2512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" filled="f" stroked="f">
              <v:textbox style="mso-fit-shape-to-text:t" inset="0,0,0,0">
                <w:txbxContent>
                  <w:p w14:paraId="2FABB431" w14:textId="77777777" w:rsidR="00093A32" w:rsidRDefault="00093A32">
                    <w:pPr>
                      <w:pStyle w:val="Headerorfooter0"/>
                      <w:tabs>
                        <w:tab w:val="right" w:pos="3773"/>
                      </w:tabs>
                      <w:rPr>
                        <w:sz w:val="16"/>
                        <w:szCs w:val="16"/>
                      </w:rPr>
                    </w:pPr>
                    <w:r>
                      <w:t>INFLUENZA</w:t>
                    </w:r>
                    <w:r>
                      <w:tab/>
                    </w:r>
                    <w:r>
                      <w:rPr>
                        <w:sz w:val="16"/>
                        <w:szCs w:val="16"/>
                      </w:rPr>
                      <w:t>449</w:t>
                    </w:r>
                  </w:p>
                </w:txbxContent>
              </v:textbox>
              <w10:wrap anchorx="page" anchory="page"/>
            </v:shape>
          </w:pict>
        </mc:Fallback>
      </mc:AlternateContent>
    </w:r>
    <w:r>
      <w:rPr>
        <w:noProof/>
      </w:rPr>
      <mc:AlternateContent>
        <mc:Choice Requires="wps">
          <w:drawing>
            <wp:anchor distT="0" distB="0" distL="114300" distR="114300" simplePos="0" relativeHeight="251857920" behindDoc="1" locked="0" layoutInCell="1" allowOverlap="1" wp14:anchorId="3C29CD5F" wp14:editId="2AB87F05">
              <wp:simplePos x="0" y="0"/>
              <wp:positionH relativeFrom="page">
                <wp:posOffset>532130</wp:posOffset>
              </wp:positionH>
              <wp:positionV relativeFrom="page">
                <wp:posOffset>419100</wp:posOffset>
              </wp:positionV>
              <wp:extent cx="4358640" cy="0"/>
              <wp:effectExtent l="0" t="0" r="0" b="0"/>
              <wp:wrapNone/>
              <wp:docPr id="1098" name="Shape 10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E012E2E" id="_x0000_t32" coordsize="21600,21600" o:spt="32" o:oned="t" path="m,l21600,21600e" filled="f">
              <v:path arrowok="t" fillok="f" o:connecttype="none"/>
              <o:lock v:ext="edit" shapetype="t"/>
            </v:shapetype>
            <v:shape id="Shape 1098" o:spid="_x0000_s1026" type="#_x0000_t32" style="position:absolute;margin-left:41.9pt;margin-top:33pt;width:343.2pt;height:0;z-index:-251458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N+B&#10;RP3aAAAACAEAAA8AAAAAAAAAAAAAAAAAwgMAAGRycy9kb3ducmV2LnhtbFBLBQYAAAAABAAEAPMA&#10;AADJBAAAAAA=&#10;" strokeweight="1pt">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FDBD" w14:textId="77777777" w:rsidR="00093A32" w:rsidRDefault="00093A32">
    <w:pPr>
      <w:spacing w:line="1" w:lineRule="exact"/>
    </w:pPr>
    <w:r>
      <w:rPr>
        <w:noProof/>
      </w:rPr>
      <mc:AlternateContent>
        <mc:Choice Requires="wps">
          <w:drawing>
            <wp:anchor distT="0" distB="0" distL="0" distR="0" simplePos="0" relativeHeight="252102656" behindDoc="1" locked="0" layoutInCell="1" allowOverlap="1" wp14:anchorId="02ED9D90" wp14:editId="70C2605F">
              <wp:simplePos x="0" y="0"/>
              <wp:positionH relativeFrom="page">
                <wp:posOffset>558165</wp:posOffset>
              </wp:positionH>
              <wp:positionV relativeFrom="page">
                <wp:posOffset>287020</wp:posOffset>
              </wp:positionV>
              <wp:extent cx="3544570" cy="100330"/>
              <wp:effectExtent l="0" t="0" r="0" b="0"/>
              <wp:wrapNone/>
              <wp:docPr id="1105" name="Shape 1105"/>
              <wp:cNvGraphicFramePr/>
              <a:graphic xmlns:a="http://schemas.openxmlformats.org/drawingml/2006/main">
                <a:graphicData uri="http://schemas.microsoft.com/office/word/2010/wordprocessingShape">
                  <wps:wsp>
                    <wps:cNvSpPr txBox="1"/>
                    <wps:spPr>
                      <a:xfrm>
                        <a:off x="0" y="0"/>
                        <a:ext cx="3544570" cy="100330"/>
                      </a:xfrm>
                      <a:prstGeom prst="rect">
                        <a:avLst/>
                      </a:prstGeom>
                      <a:noFill/>
                    </wps:spPr>
                    <wps:txbx>
                      <w:txbxContent>
                        <w:p w14:paraId="6B1FCCA8" w14:textId="77777777" w:rsidR="00093A32" w:rsidRDefault="00093A32">
                          <w:pPr>
                            <w:pStyle w:val="Headerorfooter0"/>
                            <w:tabs>
                              <w:tab w:val="right" w:pos="558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HUMANA, INFECCIÓN POR VIRUS DE INMUNODEFICIENCIA (VIH)</w:t>
                          </w:r>
                        </w:p>
                      </w:txbxContent>
                    </wps:txbx>
                    <wps:bodyPr lIns="0" tIns="0" rIns="0" bIns="0">
                      <a:spAutoFit/>
                    </wps:bodyPr>
                  </wps:wsp>
                </a:graphicData>
              </a:graphic>
            </wp:anchor>
          </w:drawing>
        </mc:Choice>
        <mc:Fallback>
          <w:pict>
            <v:shapetype w14:anchorId="02ED9D90" id="_x0000_t202" coordsize="21600,21600" o:spt="202" path="m,l,21600r21600,l21600,xe">
              <v:stroke joinstyle="miter"/>
              <v:path gradientshapeok="t" o:connecttype="rect"/>
            </v:shapetype>
            <v:shape id="Shape 1105" o:spid="_x0000_s1244" type="#_x0000_t202" style="position:absolute;margin-left:43.95pt;margin-top:22.6pt;width:279.1pt;height:7.9pt;z-index:-2512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ItgQEAAP0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" filled="f" stroked="f">
              <v:textbox style="mso-fit-shape-to-text:t" inset="0,0,0,0">
                <w:txbxContent>
                  <w:p w14:paraId="6B1FCCA8" w14:textId="77777777" w:rsidR="00093A32" w:rsidRDefault="00093A32">
                    <w:pPr>
                      <w:pStyle w:val="Headerorfooter0"/>
                      <w:tabs>
                        <w:tab w:val="right" w:pos="558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HUMANA, INFECCIÓN POR VIRUS DE INMUNODEFICIENCIA (VIH)</w:t>
                    </w:r>
                  </w:p>
                </w:txbxContent>
              </v:textbox>
              <w10:wrap anchorx="page" anchory="page"/>
            </v:shape>
          </w:pict>
        </mc:Fallback>
      </mc:AlternateContent>
    </w:r>
    <w:r>
      <w:rPr>
        <w:noProof/>
      </w:rPr>
      <mc:AlternateContent>
        <mc:Choice Requires="wps">
          <w:drawing>
            <wp:anchor distT="0" distB="0" distL="114300" distR="114300" simplePos="0" relativeHeight="251860992" behindDoc="1" locked="0" layoutInCell="1" allowOverlap="1" wp14:anchorId="6BF80C28" wp14:editId="25F73DD0">
              <wp:simplePos x="0" y="0"/>
              <wp:positionH relativeFrom="page">
                <wp:posOffset>542925</wp:posOffset>
              </wp:positionH>
              <wp:positionV relativeFrom="page">
                <wp:posOffset>419100</wp:posOffset>
              </wp:positionV>
              <wp:extent cx="4358640" cy="0"/>
              <wp:effectExtent l="0" t="0" r="0" b="0"/>
              <wp:wrapNone/>
              <wp:docPr id="1107" name="Shape 11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F3BF11" id="_x0000_t32" coordsize="21600,21600" o:spt="32" o:oned="t" path="m,l21600,21600e" filled="f">
              <v:path arrowok="t" fillok="f" o:connecttype="none"/>
              <o:lock v:ext="edit" shapetype="t"/>
            </v:shapetype>
            <v:shape id="Shape 1107" o:spid="_x0000_s1026" type="#_x0000_t32" style="position:absolute;margin-left:42.75pt;margin-top:33pt;width:343.2pt;height:0;z-index:-251455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pmyfr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UWa&#10;xqSCLIuTop/n2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Bpm&#10;yfraAAAACAEAAA8AAAAAAAAAAAAAAAAAwgMAAGRycy9kb3ducmV2LnhtbFBLBQYAAAAABAAEAPMA&#10;AADJBAAAAAA=&#10;" strokeweight="1pt">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3DAD" w14:textId="77777777" w:rsidR="00093A32" w:rsidRDefault="00093A32">
    <w:pPr>
      <w:spacing w:line="1" w:lineRule="exact"/>
    </w:pPr>
    <w:r>
      <w:rPr>
        <w:noProof/>
      </w:rPr>
      <mc:AlternateContent>
        <mc:Choice Requires="wps">
          <w:drawing>
            <wp:anchor distT="0" distB="0" distL="0" distR="0" simplePos="0" relativeHeight="252101632" behindDoc="1" locked="0" layoutInCell="1" allowOverlap="1" wp14:anchorId="190B21F7" wp14:editId="5B22CC8E">
              <wp:simplePos x="0" y="0"/>
              <wp:positionH relativeFrom="page">
                <wp:posOffset>1327785</wp:posOffset>
              </wp:positionH>
              <wp:positionV relativeFrom="page">
                <wp:posOffset>287020</wp:posOffset>
              </wp:positionV>
              <wp:extent cx="3538855" cy="100330"/>
              <wp:effectExtent l="0" t="0" r="0" b="0"/>
              <wp:wrapNone/>
              <wp:docPr id="1102" name="Shape 1102"/>
              <wp:cNvGraphicFramePr/>
              <a:graphic xmlns:a="http://schemas.openxmlformats.org/drawingml/2006/main">
                <a:graphicData uri="http://schemas.microsoft.com/office/word/2010/wordprocessingShape">
                  <wps:wsp>
                    <wps:cNvSpPr txBox="1"/>
                    <wps:spPr>
                      <a:xfrm>
                        <a:off x="0" y="0"/>
                        <a:ext cx="3538855" cy="100330"/>
                      </a:xfrm>
                      <a:prstGeom prst="rect">
                        <a:avLst/>
                      </a:prstGeom>
                      <a:noFill/>
                    </wps:spPr>
                    <wps:txbx>
                      <w:txbxContent>
                        <w:p w14:paraId="6B973B94" w14:textId="77777777" w:rsidR="00093A32" w:rsidRDefault="00093A32">
                          <w:pPr>
                            <w:pStyle w:val="Headerorfooter0"/>
                            <w:tabs>
                              <w:tab w:val="right" w:pos="5573"/>
                            </w:tabs>
                            <w:rPr>
                              <w:sz w:val="16"/>
                              <w:szCs w:val="16"/>
                            </w:rPr>
                          </w:pPr>
                          <w:r>
                            <w:t>HUMANA, INFECCIÓN POR VIRUS DE INMUNODEFICIENCIA (VIH)</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90B21F7" id="_x0000_t202" coordsize="21600,21600" o:spt="202" path="m,l,21600r21600,l21600,xe">
              <v:stroke joinstyle="miter"/>
              <v:path gradientshapeok="t" o:connecttype="rect"/>
            </v:shapetype>
            <v:shape id="Shape 1102" o:spid="_x0000_s1245" type="#_x0000_t202" style="position:absolute;margin-left:104.55pt;margin-top:22.6pt;width:278.65pt;height:7.9pt;z-index:-2512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" filled="f" stroked="f">
              <v:textbox style="mso-fit-shape-to-text:t" inset="0,0,0,0">
                <w:txbxContent>
                  <w:p w14:paraId="6B973B94" w14:textId="77777777" w:rsidR="00093A32" w:rsidRDefault="00093A32">
                    <w:pPr>
                      <w:pStyle w:val="Headerorfooter0"/>
                      <w:tabs>
                        <w:tab w:val="right" w:pos="5573"/>
                      </w:tabs>
                      <w:rPr>
                        <w:sz w:val="16"/>
                        <w:szCs w:val="16"/>
                      </w:rPr>
                    </w:pPr>
                    <w:r>
                      <w:t>HUMANA, INFECCIÓN POR VIRUS DE INMUNODEFICIENCIA (VIH)</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59968" behindDoc="1" locked="0" layoutInCell="1" allowOverlap="1" wp14:anchorId="610E5CE5" wp14:editId="7F0E99F3">
              <wp:simplePos x="0" y="0"/>
              <wp:positionH relativeFrom="page">
                <wp:posOffset>529590</wp:posOffset>
              </wp:positionH>
              <wp:positionV relativeFrom="page">
                <wp:posOffset>419100</wp:posOffset>
              </wp:positionV>
              <wp:extent cx="4358640" cy="0"/>
              <wp:effectExtent l="0" t="0" r="0" b="0"/>
              <wp:wrapNone/>
              <wp:docPr id="1104" name="Shape 11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1E53B8E" id="_x0000_t32" coordsize="21600,21600" o:spt="32" o:oned="t" path="m,l21600,21600e" filled="f">
              <v:path arrowok="t" fillok="f" o:connecttype="none"/>
              <o:lock v:ext="edit" shapetype="t"/>
            </v:shapetype>
            <v:shape id="Shape 1104" o:spid="_x0000_s1026" type="#_x0000_t32" style="position:absolute;margin-left:41.7pt;margin-top:33pt;width:343.2pt;height:0;z-index:-251456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" strokeweight="1pt">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ADD4" w14:textId="77777777" w:rsidR="00093A32" w:rsidRDefault="00093A32"/>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6503" w14:textId="77777777" w:rsidR="00093A32" w:rsidRDefault="00093A32"/>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9248" w14:textId="77777777" w:rsidR="00093A32" w:rsidRDefault="00093A32">
    <w:pPr>
      <w:spacing w:line="1" w:lineRule="exact"/>
    </w:pPr>
    <w:r>
      <w:rPr>
        <w:noProof/>
      </w:rPr>
      <mc:AlternateContent>
        <mc:Choice Requires="wps">
          <w:drawing>
            <wp:anchor distT="0" distB="0" distL="0" distR="0" simplePos="0" relativeHeight="252104704" behindDoc="1" locked="0" layoutInCell="1" allowOverlap="1" wp14:anchorId="6E34FA88" wp14:editId="017C2BF8">
              <wp:simplePos x="0" y="0"/>
              <wp:positionH relativeFrom="page">
                <wp:posOffset>558165</wp:posOffset>
              </wp:positionH>
              <wp:positionV relativeFrom="page">
                <wp:posOffset>287020</wp:posOffset>
              </wp:positionV>
              <wp:extent cx="3544570" cy="100330"/>
              <wp:effectExtent l="0" t="0" r="0" b="0"/>
              <wp:wrapNone/>
              <wp:docPr id="1129" name="Shape 1129"/>
              <wp:cNvGraphicFramePr/>
              <a:graphic xmlns:a="http://schemas.openxmlformats.org/drawingml/2006/main">
                <a:graphicData uri="http://schemas.microsoft.com/office/word/2010/wordprocessingShape">
                  <wps:wsp>
                    <wps:cNvSpPr txBox="1"/>
                    <wps:spPr>
                      <a:xfrm>
                        <a:off x="0" y="0"/>
                        <a:ext cx="3544570" cy="100330"/>
                      </a:xfrm>
                      <a:prstGeom prst="rect">
                        <a:avLst/>
                      </a:prstGeom>
                      <a:noFill/>
                    </wps:spPr>
                    <wps:txbx>
                      <w:txbxContent>
                        <w:p w14:paraId="545B4EC5" w14:textId="77777777" w:rsidR="00093A32" w:rsidRDefault="00093A32">
                          <w:pPr>
                            <w:pStyle w:val="Headerorfooter0"/>
                            <w:tabs>
                              <w:tab w:val="right" w:pos="558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HUMANA, INFECCIÓN POR VIRUS DE INMUNODEFICIENCIA (VIH)</w:t>
                          </w:r>
                        </w:p>
                      </w:txbxContent>
                    </wps:txbx>
                    <wps:bodyPr lIns="0" tIns="0" rIns="0" bIns="0">
                      <a:spAutoFit/>
                    </wps:bodyPr>
                  </wps:wsp>
                </a:graphicData>
              </a:graphic>
            </wp:anchor>
          </w:drawing>
        </mc:Choice>
        <mc:Fallback>
          <w:pict>
            <v:shapetype w14:anchorId="6E34FA88" id="_x0000_t202" coordsize="21600,21600" o:spt="202" path="m,l,21600r21600,l21600,xe">
              <v:stroke joinstyle="miter"/>
              <v:path gradientshapeok="t" o:connecttype="rect"/>
            </v:shapetype>
            <v:shape id="Shape 1129" o:spid="_x0000_s1246" type="#_x0000_t202" style="position:absolute;margin-left:43.95pt;margin-top:22.6pt;width:279.1pt;height:7.9pt;z-index:-2512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" filled="f" stroked="f">
              <v:textbox style="mso-fit-shape-to-text:t" inset="0,0,0,0">
                <w:txbxContent>
                  <w:p w14:paraId="545B4EC5" w14:textId="77777777" w:rsidR="00093A32" w:rsidRDefault="00093A32">
                    <w:pPr>
                      <w:pStyle w:val="Headerorfooter0"/>
                      <w:tabs>
                        <w:tab w:val="right" w:pos="558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HUMANA, INFECCIÓN POR VIRUS DE INMUNODEFICIENCIA (VIH)</w:t>
                    </w:r>
                  </w:p>
                </w:txbxContent>
              </v:textbox>
              <w10:wrap anchorx="page" anchory="page"/>
            </v:shape>
          </w:pict>
        </mc:Fallback>
      </mc:AlternateContent>
    </w:r>
    <w:r>
      <w:rPr>
        <w:noProof/>
      </w:rPr>
      <mc:AlternateContent>
        <mc:Choice Requires="wps">
          <w:drawing>
            <wp:anchor distT="0" distB="0" distL="114300" distR="114300" simplePos="0" relativeHeight="251863040" behindDoc="1" locked="0" layoutInCell="1" allowOverlap="1" wp14:anchorId="13AF869D" wp14:editId="4FCBED62">
              <wp:simplePos x="0" y="0"/>
              <wp:positionH relativeFrom="page">
                <wp:posOffset>542925</wp:posOffset>
              </wp:positionH>
              <wp:positionV relativeFrom="page">
                <wp:posOffset>419100</wp:posOffset>
              </wp:positionV>
              <wp:extent cx="4358640" cy="0"/>
              <wp:effectExtent l="0" t="0" r="0" b="0"/>
              <wp:wrapNone/>
              <wp:docPr id="1131" name="Shape 113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7B6AE0" id="_x0000_t32" coordsize="21600,21600" o:spt="32" o:oned="t" path="m,l21600,21600e" filled="f">
              <v:path arrowok="t" fillok="f" o:connecttype="none"/>
              <o:lock v:ext="edit" shapetype="t"/>
            </v:shapetype>
            <v:shape id="Shape 1131" o:spid="_x0000_s1026" type="#_x0000_t32" style="position:absolute;margin-left:42.75pt;margin-top:33pt;width:343.2pt;height:0;z-index:-251453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Bpm&#10;yfraAAAACAEAAA8AAAAAAAAAAAAAAAAAwgMAAGRycy9kb3ducmV2LnhtbFBLBQYAAAAABAAEAPMA&#10;AADJBAAAAAA=&#10;" strokeweight="1pt">
              <w10:wrap anchorx="page" anchory="page"/>
            </v:shape>
          </w:pict>
        </mc:Fallback>
      </mc:AlternateConten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503D" w14:textId="77777777" w:rsidR="00093A32" w:rsidRDefault="00093A32">
    <w:pPr>
      <w:spacing w:line="1" w:lineRule="exact"/>
    </w:pPr>
    <w:r>
      <w:rPr>
        <w:noProof/>
      </w:rPr>
      <mc:AlternateContent>
        <mc:Choice Requires="wps">
          <w:drawing>
            <wp:anchor distT="0" distB="0" distL="0" distR="0" simplePos="0" relativeHeight="252103680" behindDoc="1" locked="0" layoutInCell="1" allowOverlap="1" wp14:anchorId="5D5E9E5B" wp14:editId="11EDF1D0">
              <wp:simplePos x="0" y="0"/>
              <wp:positionH relativeFrom="page">
                <wp:posOffset>1327785</wp:posOffset>
              </wp:positionH>
              <wp:positionV relativeFrom="page">
                <wp:posOffset>287020</wp:posOffset>
              </wp:positionV>
              <wp:extent cx="3538855" cy="100330"/>
              <wp:effectExtent l="0" t="0" r="0" b="0"/>
              <wp:wrapNone/>
              <wp:docPr id="1126" name="Shape 1126"/>
              <wp:cNvGraphicFramePr/>
              <a:graphic xmlns:a="http://schemas.openxmlformats.org/drawingml/2006/main">
                <a:graphicData uri="http://schemas.microsoft.com/office/word/2010/wordprocessingShape">
                  <wps:wsp>
                    <wps:cNvSpPr txBox="1"/>
                    <wps:spPr>
                      <a:xfrm>
                        <a:off x="0" y="0"/>
                        <a:ext cx="3538855" cy="100330"/>
                      </a:xfrm>
                      <a:prstGeom prst="rect">
                        <a:avLst/>
                      </a:prstGeom>
                      <a:noFill/>
                    </wps:spPr>
                    <wps:txbx>
                      <w:txbxContent>
                        <w:p w14:paraId="1A23457B" w14:textId="77777777" w:rsidR="00093A32" w:rsidRDefault="00093A32">
                          <w:pPr>
                            <w:pStyle w:val="Headerorfooter0"/>
                            <w:tabs>
                              <w:tab w:val="right" w:pos="5573"/>
                            </w:tabs>
                            <w:rPr>
                              <w:sz w:val="16"/>
                              <w:szCs w:val="16"/>
                            </w:rPr>
                          </w:pPr>
                          <w:r>
                            <w:t>HUMANA, INFECCIÓN POR VIRUS DE INMUNODEFICIENCIA (VIH)</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D5E9E5B" id="_x0000_t202" coordsize="21600,21600" o:spt="202" path="m,l,21600r21600,l21600,xe">
              <v:stroke joinstyle="miter"/>
              <v:path gradientshapeok="t" o:connecttype="rect"/>
            </v:shapetype>
            <v:shape id="Shape 1126" o:spid="_x0000_s1247" type="#_x0000_t202" style="position:absolute;margin-left:104.55pt;margin-top:22.6pt;width:278.65pt;height:7.9pt;z-index:-2512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" filled="f" stroked="f">
              <v:textbox style="mso-fit-shape-to-text:t" inset="0,0,0,0">
                <w:txbxContent>
                  <w:p w14:paraId="1A23457B" w14:textId="77777777" w:rsidR="00093A32" w:rsidRDefault="00093A32">
                    <w:pPr>
                      <w:pStyle w:val="Headerorfooter0"/>
                      <w:tabs>
                        <w:tab w:val="right" w:pos="5573"/>
                      </w:tabs>
                      <w:rPr>
                        <w:sz w:val="16"/>
                        <w:szCs w:val="16"/>
                      </w:rPr>
                    </w:pPr>
                    <w:r>
                      <w:t>HUMANA, INFECCIÓN POR VIRUS DE INMUNODEFICIENCIA (VIH)</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62016" behindDoc="1" locked="0" layoutInCell="1" allowOverlap="1" wp14:anchorId="7062697D" wp14:editId="0A75D1B5">
              <wp:simplePos x="0" y="0"/>
              <wp:positionH relativeFrom="page">
                <wp:posOffset>529590</wp:posOffset>
              </wp:positionH>
              <wp:positionV relativeFrom="page">
                <wp:posOffset>419100</wp:posOffset>
              </wp:positionV>
              <wp:extent cx="4358640" cy="0"/>
              <wp:effectExtent l="0" t="0" r="0" b="0"/>
              <wp:wrapNone/>
              <wp:docPr id="1128" name="Shape 11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0F0FC1" id="_x0000_t32" coordsize="21600,21600" o:spt="32" o:oned="t" path="m,l21600,21600e" filled="f">
              <v:path arrowok="t" fillok="f" o:connecttype="none"/>
              <o:lock v:ext="edit" shapetype="t"/>
            </v:shapetype>
            <v:shape id="Shape 1128" o:spid="_x0000_s1026" type="#_x0000_t32" style="position:absolute;margin-left:41.7pt;margin-top:33pt;width:343.2pt;height:0;z-index:-251454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" strokeweight="1pt">
              <w10:wrap anchorx="page" anchory="page"/>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97F0" w14:textId="77777777" w:rsidR="00093A32" w:rsidRDefault="00093A32">
    <w:pPr>
      <w:spacing w:line="1" w:lineRule="exact"/>
    </w:pPr>
    <w:r>
      <w:rPr>
        <w:noProof/>
      </w:rPr>
      <mc:AlternateContent>
        <mc:Choice Requires="wps">
          <w:drawing>
            <wp:anchor distT="0" distB="0" distL="0" distR="0" simplePos="0" relativeHeight="252106752" behindDoc="1" locked="0" layoutInCell="1" allowOverlap="1" wp14:anchorId="64FAB271" wp14:editId="009C80E8">
              <wp:simplePos x="0" y="0"/>
              <wp:positionH relativeFrom="page">
                <wp:posOffset>1334135</wp:posOffset>
              </wp:positionH>
              <wp:positionV relativeFrom="page">
                <wp:posOffset>287020</wp:posOffset>
              </wp:positionV>
              <wp:extent cx="3520440" cy="100330"/>
              <wp:effectExtent l="0" t="0" r="0" b="0"/>
              <wp:wrapNone/>
              <wp:docPr id="1135" name="Shape 1135"/>
              <wp:cNvGraphicFramePr/>
              <a:graphic xmlns:a="http://schemas.openxmlformats.org/drawingml/2006/main">
                <a:graphicData uri="http://schemas.microsoft.com/office/word/2010/wordprocessingShape">
                  <wps:wsp>
                    <wps:cNvSpPr txBox="1"/>
                    <wps:spPr>
                      <a:xfrm>
                        <a:off x="0" y="0"/>
                        <a:ext cx="3520440" cy="100330"/>
                      </a:xfrm>
                      <a:prstGeom prst="rect">
                        <a:avLst/>
                      </a:prstGeom>
                      <a:noFill/>
                    </wps:spPr>
                    <wps:txbx>
                      <w:txbxContent>
                        <w:p w14:paraId="220A3B4C" w14:textId="77777777" w:rsidR="00093A32" w:rsidRDefault="00093A32">
                          <w:pPr>
                            <w:pStyle w:val="Headerorfooter0"/>
                            <w:tabs>
                              <w:tab w:val="right" w:pos="5544"/>
                            </w:tabs>
                            <w:rPr>
                              <w:sz w:val="16"/>
                              <w:szCs w:val="16"/>
                            </w:rPr>
                          </w:pPr>
                          <w:r>
                            <w:t>HUMANO, VIRUS HERPÉTICO 6 (INCLUIDO EL DE ROSÉOLA) Y 7</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4FAB271" id="_x0000_t202" coordsize="21600,21600" o:spt="202" path="m,l,21600r21600,l21600,xe">
              <v:stroke joinstyle="miter"/>
              <v:path gradientshapeok="t" o:connecttype="rect"/>
            </v:shapetype>
            <v:shape id="Shape 1135" o:spid="_x0000_s1248" type="#_x0000_t202" style="position:absolute;margin-left:105.05pt;margin-top:22.6pt;width:277.2pt;height:7.9pt;z-index:-2512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U5gQEAAP0CAAAOAAAAZHJzL2Uyb0RvYy54bWysUttOwzAMfUfiH6K8s3YbIF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" filled="f" stroked="f">
              <v:textbox style="mso-fit-shape-to-text:t" inset="0,0,0,0">
                <w:txbxContent>
                  <w:p w14:paraId="220A3B4C" w14:textId="77777777" w:rsidR="00093A32" w:rsidRDefault="00093A32">
                    <w:pPr>
                      <w:pStyle w:val="Headerorfooter0"/>
                      <w:tabs>
                        <w:tab w:val="right" w:pos="5544"/>
                      </w:tabs>
                      <w:rPr>
                        <w:sz w:val="16"/>
                        <w:szCs w:val="16"/>
                      </w:rPr>
                    </w:pPr>
                    <w:r>
                      <w:t>HUMANO, VIRUS HERPÉTICO 6 (INCLUIDO EL DE ROSÉOLA) Y 7</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65088" behindDoc="1" locked="0" layoutInCell="1" allowOverlap="1" wp14:anchorId="0F09EE52" wp14:editId="0B086F73">
              <wp:simplePos x="0" y="0"/>
              <wp:positionH relativeFrom="page">
                <wp:posOffset>516890</wp:posOffset>
              </wp:positionH>
              <wp:positionV relativeFrom="page">
                <wp:posOffset>410210</wp:posOffset>
              </wp:positionV>
              <wp:extent cx="4358640" cy="0"/>
              <wp:effectExtent l="0" t="0" r="0" b="0"/>
              <wp:wrapNone/>
              <wp:docPr id="1137" name="Shape 11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C2C6C52" id="_x0000_t32" coordsize="21600,21600" o:spt="32" o:oned="t" path="m,l21600,21600e" filled="f">
              <v:path arrowok="t" fillok="f" o:connecttype="none"/>
              <o:lock v:ext="edit" shapetype="t"/>
            </v:shapetype>
            <v:shape id="Shape 1137" o:spid="_x0000_s1026" type="#_x0000_t32" style="position:absolute;margin-left:40.7pt;margin-top:32.3pt;width:343.2pt;height:0;z-index:-251451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yb&#10;Xn/aAAAACAEAAA8AAAAAAAAAAAAAAAAAwgMAAGRycy9kb3ducmV2LnhtbFBLBQYAAAAABAAEAPMA&#10;AADJBAAAAAA=&#10;" strokeweight="1pt">
              <w10:wrap anchorx="page" anchory="page"/>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4883" w14:textId="77777777" w:rsidR="00093A32" w:rsidRDefault="00093A32">
    <w:pPr>
      <w:spacing w:line="1" w:lineRule="exact"/>
    </w:pPr>
    <w:r>
      <w:rPr>
        <w:noProof/>
      </w:rPr>
      <mc:AlternateContent>
        <mc:Choice Requires="wps">
          <w:drawing>
            <wp:anchor distT="0" distB="0" distL="0" distR="0" simplePos="0" relativeHeight="252105728" behindDoc="1" locked="0" layoutInCell="1" allowOverlap="1" wp14:anchorId="5DA83B78" wp14:editId="19FE64FE">
              <wp:simplePos x="0" y="0"/>
              <wp:positionH relativeFrom="page">
                <wp:posOffset>1334135</wp:posOffset>
              </wp:positionH>
              <wp:positionV relativeFrom="page">
                <wp:posOffset>287020</wp:posOffset>
              </wp:positionV>
              <wp:extent cx="3520440" cy="100330"/>
              <wp:effectExtent l="0" t="0" r="0" b="0"/>
              <wp:wrapNone/>
              <wp:docPr id="1132" name="Shape 1132"/>
              <wp:cNvGraphicFramePr/>
              <a:graphic xmlns:a="http://schemas.openxmlformats.org/drawingml/2006/main">
                <a:graphicData uri="http://schemas.microsoft.com/office/word/2010/wordprocessingShape">
                  <wps:wsp>
                    <wps:cNvSpPr txBox="1"/>
                    <wps:spPr>
                      <a:xfrm>
                        <a:off x="0" y="0"/>
                        <a:ext cx="3520440" cy="100330"/>
                      </a:xfrm>
                      <a:prstGeom prst="rect">
                        <a:avLst/>
                      </a:prstGeom>
                      <a:noFill/>
                    </wps:spPr>
                    <wps:txbx>
                      <w:txbxContent>
                        <w:p w14:paraId="55D14922" w14:textId="77777777" w:rsidR="00093A32" w:rsidRDefault="00093A32">
                          <w:pPr>
                            <w:pStyle w:val="Headerorfooter0"/>
                            <w:tabs>
                              <w:tab w:val="right" w:pos="5544"/>
                            </w:tabs>
                            <w:rPr>
                              <w:sz w:val="16"/>
                              <w:szCs w:val="16"/>
                            </w:rPr>
                          </w:pPr>
                          <w:r>
                            <w:t>HUMANO, VIRUS HERPÉTICO 6 (INCLUIDO EL DE ROSÉOLA) Y 7</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DA83B78" id="_x0000_t202" coordsize="21600,21600" o:spt="202" path="m,l,21600r21600,l21600,xe">
              <v:stroke joinstyle="miter"/>
              <v:path gradientshapeok="t" o:connecttype="rect"/>
            </v:shapetype>
            <v:shape id="Shape 1132" o:spid="_x0000_s1249" type="#_x0000_t202" style="position:absolute;margin-left:105.05pt;margin-top:22.6pt;width:277.2pt;height:7.9pt;z-index:-2512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BEgAEAAP0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" filled="f" stroked="f">
              <v:textbox style="mso-fit-shape-to-text:t" inset="0,0,0,0">
                <w:txbxContent>
                  <w:p w14:paraId="55D14922" w14:textId="77777777" w:rsidR="00093A32" w:rsidRDefault="00093A32">
                    <w:pPr>
                      <w:pStyle w:val="Headerorfooter0"/>
                      <w:tabs>
                        <w:tab w:val="right" w:pos="5544"/>
                      </w:tabs>
                      <w:rPr>
                        <w:sz w:val="16"/>
                        <w:szCs w:val="16"/>
                      </w:rPr>
                    </w:pPr>
                    <w:r>
                      <w:t>HUMANO, VIRUS HERPÉTICO 6 (INCLUIDO EL DE ROSÉOLA) Y 7</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64064" behindDoc="1" locked="0" layoutInCell="1" allowOverlap="1" wp14:anchorId="4F751FC4" wp14:editId="5B508495">
              <wp:simplePos x="0" y="0"/>
              <wp:positionH relativeFrom="page">
                <wp:posOffset>516890</wp:posOffset>
              </wp:positionH>
              <wp:positionV relativeFrom="page">
                <wp:posOffset>410210</wp:posOffset>
              </wp:positionV>
              <wp:extent cx="4358640" cy="0"/>
              <wp:effectExtent l="0" t="0" r="0" b="0"/>
              <wp:wrapNone/>
              <wp:docPr id="1134" name="Shape 11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94DA992" id="_x0000_t32" coordsize="21600,21600" o:spt="32" o:oned="t" path="m,l21600,21600e" filled="f">
              <v:path arrowok="t" fillok="f" o:connecttype="none"/>
              <o:lock v:ext="edit" shapetype="t"/>
            </v:shapetype>
            <v:shape id="Shape 1134" o:spid="_x0000_s1026" type="#_x0000_t32" style="position:absolute;margin-left:40.7pt;margin-top:32.3pt;width:343.2pt;height:0;z-index:-251452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yb&#10;Xn/aAAAACAEAAA8AAAAAAAAAAAAAAAAAwgMAAGRycy9kb3ducmV2LnhtbFBLBQYAAAAABAAEAPMA&#10;AADJBAAAAAA=&#10;" strokeweight="1pt">
              <w10:wrap anchorx="page" anchory="page"/>
            </v:shape>
          </w:pict>
        </mc:Fallback>
      </mc:AlternateConten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40EB" w14:textId="77777777" w:rsidR="00093A32" w:rsidRDefault="00093A32">
    <w:pPr>
      <w:spacing w:line="1" w:lineRule="exact"/>
    </w:pPr>
    <w:r>
      <w:rPr>
        <w:noProof/>
      </w:rPr>
      <mc:AlternateContent>
        <mc:Choice Requires="wps">
          <w:drawing>
            <wp:anchor distT="0" distB="0" distL="0" distR="0" simplePos="0" relativeHeight="252108800" behindDoc="1" locked="0" layoutInCell="1" allowOverlap="1" wp14:anchorId="3AFB34ED" wp14:editId="522A380C">
              <wp:simplePos x="0" y="0"/>
              <wp:positionH relativeFrom="page">
                <wp:posOffset>2463165</wp:posOffset>
              </wp:positionH>
              <wp:positionV relativeFrom="page">
                <wp:posOffset>317500</wp:posOffset>
              </wp:positionV>
              <wp:extent cx="2395855" cy="69850"/>
              <wp:effectExtent l="0" t="0" r="0" b="0"/>
              <wp:wrapNone/>
              <wp:docPr id="1141" name="Shape 1141"/>
              <wp:cNvGraphicFramePr/>
              <a:graphic xmlns:a="http://schemas.openxmlformats.org/drawingml/2006/main">
                <a:graphicData uri="http://schemas.microsoft.com/office/word/2010/wordprocessingShape">
                  <wps:wsp>
                    <wps:cNvSpPr txBox="1"/>
                    <wps:spPr>
                      <a:xfrm>
                        <a:off x="0" y="0"/>
                        <a:ext cx="2395855" cy="69850"/>
                      </a:xfrm>
                      <a:prstGeom prst="rect">
                        <a:avLst/>
                      </a:prstGeom>
                      <a:noFill/>
                    </wps:spPr>
                    <wps:txbx>
                      <w:txbxContent>
                        <w:p w14:paraId="77829009" w14:textId="77777777" w:rsidR="00093A32" w:rsidRDefault="00093A32">
                          <w:pPr>
                            <w:pStyle w:val="Headerorfooter0"/>
                            <w:tabs>
                              <w:tab w:val="right" w:pos="3773"/>
                            </w:tabs>
                            <w:rPr>
                              <w:sz w:val="16"/>
                              <w:szCs w:val="16"/>
                            </w:rPr>
                          </w:pPr>
                          <w:r>
                            <w:t>INFLUENZA</w:t>
                          </w:r>
                          <w:r>
                            <w:tab/>
                          </w:r>
                          <w:r>
                            <w:rPr>
                              <w:sz w:val="16"/>
                              <w:szCs w:val="16"/>
                            </w:rPr>
                            <w:t>449</w:t>
                          </w:r>
                        </w:p>
                      </w:txbxContent>
                    </wps:txbx>
                    <wps:bodyPr lIns="0" tIns="0" rIns="0" bIns="0">
                      <a:spAutoFit/>
                    </wps:bodyPr>
                  </wps:wsp>
                </a:graphicData>
              </a:graphic>
            </wp:anchor>
          </w:drawing>
        </mc:Choice>
        <mc:Fallback>
          <w:pict>
            <v:shapetype w14:anchorId="3AFB34ED" id="_x0000_t202" coordsize="21600,21600" o:spt="202" path="m,l,21600r21600,l21600,xe">
              <v:stroke joinstyle="miter"/>
              <v:path gradientshapeok="t" o:connecttype="rect"/>
            </v:shapetype>
            <v:shape id="Shape 1141" o:spid="_x0000_s1250" type="#_x0000_t202" style="position:absolute;margin-left:193.95pt;margin-top:25pt;width:188.65pt;height:5.5pt;z-index:-2512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" filled="f" stroked="f">
              <v:textbox style="mso-fit-shape-to-text:t" inset="0,0,0,0">
                <w:txbxContent>
                  <w:p w14:paraId="77829009" w14:textId="77777777" w:rsidR="00093A32" w:rsidRDefault="00093A32">
                    <w:pPr>
                      <w:pStyle w:val="Headerorfooter0"/>
                      <w:tabs>
                        <w:tab w:val="right" w:pos="3773"/>
                      </w:tabs>
                      <w:rPr>
                        <w:sz w:val="16"/>
                        <w:szCs w:val="16"/>
                      </w:rPr>
                    </w:pPr>
                    <w:r>
                      <w:t>INFLUENZA</w:t>
                    </w:r>
                    <w:r>
                      <w:tab/>
                    </w:r>
                    <w:r>
                      <w:rPr>
                        <w:sz w:val="16"/>
                        <w:szCs w:val="16"/>
                      </w:rPr>
                      <w:t>449</w:t>
                    </w:r>
                  </w:p>
                </w:txbxContent>
              </v:textbox>
              <w10:wrap anchorx="page" anchory="page"/>
            </v:shape>
          </w:pict>
        </mc:Fallback>
      </mc:AlternateContent>
    </w:r>
    <w:r>
      <w:rPr>
        <w:noProof/>
      </w:rPr>
      <mc:AlternateContent>
        <mc:Choice Requires="wps">
          <w:drawing>
            <wp:anchor distT="0" distB="0" distL="114300" distR="114300" simplePos="0" relativeHeight="251867136" behindDoc="1" locked="0" layoutInCell="1" allowOverlap="1" wp14:anchorId="38B4F6EE" wp14:editId="1171E8BF">
              <wp:simplePos x="0" y="0"/>
              <wp:positionH relativeFrom="page">
                <wp:posOffset>521970</wp:posOffset>
              </wp:positionH>
              <wp:positionV relativeFrom="page">
                <wp:posOffset>425450</wp:posOffset>
              </wp:positionV>
              <wp:extent cx="4358640" cy="0"/>
              <wp:effectExtent l="0" t="0" r="0" b="0"/>
              <wp:wrapNone/>
              <wp:docPr id="1143" name="Shape 114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A8CD1F" id="_x0000_t32" coordsize="21600,21600" o:spt="32" o:oned="t" path="m,l21600,21600e" filled="f">
              <v:path arrowok="t" fillok="f" o:connecttype="none"/>
              <o:lock v:ext="edit" shapetype="t"/>
            </v:shapetype>
            <v:shape id="Shape 1143" o:spid="_x0000_s1026" type="#_x0000_t32" style="position:absolute;margin-left:41.1pt;margin-top:33.5pt;width:343.2pt;height:0;z-index:-251449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70FB6" w14:textId="77777777" w:rsidR="00093A32" w:rsidRDefault="00093A32">
    <w:pPr>
      <w:spacing w:line="1" w:lineRule="exact"/>
    </w:pPr>
    <w:r>
      <w:rPr>
        <w:noProof/>
      </w:rPr>
      <mc:AlternateContent>
        <mc:Choice Requires="wps">
          <w:drawing>
            <wp:anchor distT="0" distB="0" distL="0" distR="0" simplePos="0" relativeHeight="252107776" behindDoc="1" locked="0" layoutInCell="1" allowOverlap="1" wp14:anchorId="59FAAA85" wp14:editId="006CA6EF">
              <wp:simplePos x="0" y="0"/>
              <wp:positionH relativeFrom="page">
                <wp:posOffset>538480</wp:posOffset>
              </wp:positionH>
              <wp:positionV relativeFrom="page">
                <wp:posOffset>317500</wp:posOffset>
              </wp:positionV>
              <wp:extent cx="2407920" cy="69850"/>
              <wp:effectExtent l="0" t="0" r="0" b="0"/>
              <wp:wrapNone/>
              <wp:docPr id="1138" name="Shape 1138"/>
              <wp:cNvGraphicFramePr/>
              <a:graphic xmlns:a="http://schemas.openxmlformats.org/drawingml/2006/main">
                <a:graphicData uri="http://schemas.microsoft.com/office/word/2010/wordprocessingShape">
                  <wps:wsp>
                    <wps:cNvSpPr txBox="1"/>
                    <wps:spPr>
                      <a:xfrm>
                        <a:off x="0" y="0"/>
                        <a:ext cx="2407920" cy="69850"/>
                      </a:xfrm>
                      <a:prstGeom prst="rect">
                        <a:avLst/>
                      </a:prstGeom>
                      <a:noFill/>
                    </wps:spPr>
                    <wps:txbx>
                      <w:txbxContent>
                        <w:p w14:paraId="3A7557AB" w14:textId="77777777" w:rsidR="00093A32" w:rsidRDefault="00093A32">
                          <w:pPr>
                            <w:pStyle w:val="Headerorfooter0"/>
                            <w:tabs>
                              <w:tab w:val="right" w:pos="3792"/>
                            </w:tabs>
                          </w:pPr>
                          <w:r>
                            <w:rPr>
                              <w:sz w:val="16"/>
                              <w:szCs w:val="16"/>
                            </w:rPr>
                            <w:t>450</w:t>
                          </w:r>
                          <w:r>
                            <w:rPr>
                              <w:sz w:val="16"/>
                              <w:szCs w:val="16"/>
                            </w:rPr>
                            <w:tab/>
                          </w:r>
                          <w:r>
                            <w:t>INFLUENZA</w:t>
                          </w:r>
                        </w:p>
                      </w:txbxContent>
                    </wps:txbx>
                    <wps:bodyPr lIns="0" tIns="0" rIns="0" bIns="0">
                      <a:spAutoFit/>
                    </wps:bodyPr>
                  </wps:wsp>
                </a:graphicData>
              </a:graphic>
            </wp:anchor>
          </w:drawing>
        </mc:Choice>
        <mc:Fallback>
          <w:pict>
            <v:shapetype w14:anchorId="59FAAA85" id="_x0000_t202" coordsize="21600,21600" o:spt="202" path="m,l,21600r21600,l21600,xe">
              <v:stroke joinstyle="miter"/>
              <v:path gradientshapeok="t" o:connecttype="rect"/>
            </v:shapetype>
            <v:shape id="Shape 1138" o:spid="_x0000_s1251" type="#_x0000_t202" style="position:absolute;margin-left:42.4pt;margin-top:25pt;width:189.6pt;height:5.5pt;z-index:-2512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" filled="f" stroked="f">
              <v:textbox style="mso-fit-shape-to-text:t" inset="0,0,0,0">
                <w:txbxContent>
                  <w:p w14:paraId="3A7557AB" w14:textId="77777777" w:rsidR="00093A32" w:rsidRDefault="00093A32">
                    <w:pPr>
                      <w:pStyle w:val="Headerorfooter0"/>
                      <w:tabs>
                        <w:tab w:val="right" w:pos="3792"/>
                      </w:tabs>
                    </w:pPr>
                    <w:r>
                      <w:rPr>
                        <w:sz w:val="16"/>
                        <w:szCs w:val="16"/>
                      </w:rPr>
                      <w:t>450</w:t>
                    </w:r>
                    <w:r>
                      <w:rPr>
                        <w:sz w:val="16"/>
                        <w:szCs w:val="16"/>
                      </w:rPr>
                      <w:tab/>
                    </w:r>
                    <w:r>
                      <w:t>INFLUENZA</w:t>
                    </w:r>
                  </w:p>
                </w:txbxContent>
              </v:textbox>
              <w10:wrap anchorx="page" anchory="page"/>
            </v:shape>
          </w:pict>
        </mc:Fallback>
      </mc:AlternateContent>
    </w:r>
    <w:r>
      <w:rPr>
        <w:noProof/>
      </w:rPr>
      <mc:AlternateContent>
        <mc:Choice Requires="wps">
          <w:drawing>
            <wp:anchor distT="0" distB="0" distL="114300" distR="114300" simplePos="0" relativeHeight="251866112" behindDoc="1" locked="0" layoutInCell="1" allowOverlap="1" wp14:anchorId="634CC08A" wp14:editId="1283644D">
              <wp:simplePos x="0" y="0"/>
              <wp:positionH relativeFrom="page">
                <wp:posOffset>523240</wp:posOffset>
              </wp:positionH>
              <wp:positionV relativeFrom="page">
                <wp:posOffset>425450</wp:posOffset>
              </wp:positionV>
              <wp:extent cx="4358640" cy="0"/>
              <wp:effectExtent l="0" t="0" r="0" b="0"/>
              <wp:wrapNone/>
              <wp:docPr id="1140" name="Shape 11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4FF4A0" id="_x0000_t32" coordsize="21600,21600" o:spt="32" o:oned="t" path="m,l21600,21600e" filled="f">
              <v:path arrowok="t" fillok="f" o:connecttype="none"/>
              <o:lock v:ext="edit" shapetype="t"/>
            </v:shapetype>
            <v:shape id="Shape 1140" o:spid="_x0000_s1026" type="#_x0000_t32" style="position:absolute;margin-left:41.2pt;margin-top:33.5pt;width:343.2pt;height:0;z-index:-251450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Ndw&#10;5+jaAAAACAEAAA8AAAAAAAAAAAAAAAAAwgMAAGRycy9kb3ducmV2LnhtbFBLBQYAAAAABAAEAPMA&#10;AADJBAAAAAA=&#10;" strokeweight="1pt">
              <w10:wrap anchorx="page" anchory="page"/>
            </v:shape>
          </w:pict>
        </mc:Fallback>
      </mc:AlternateConten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96FA" w14:textId="77777777" w:rsidR="00093A32" w:rsidRDefault="00093A32">
    <w:pPr>
      <w:spacing w:line="1" w:lineRule="exact"/>
    </w:pPr>
    <w:r>
      <w:rPr>
        <w:noProof/>
      </w:rPr>
      <mc:AlternateContent>
        <mc:Choice Requires="wps">
          <w:drawing>
            <wp:anchor distT="0" distB="0" distL="0" distR="0" simplePos="0" relativeHeight="252110848" behindDoc="1" locked="0" layoutInCell="1" allowOverlap="1" wp14:anchorId="55AB87B5" wp14:editId="30820B43">
              <wp:simplePos x="0" y="0"/>
              <wp:positionH relativeFrom="page">
                <wp:posOffset>535305</wp:posOffset>
              </wp:positionH>
              <wp:positionV relativeFrom="page">
                <wp:posOffset>317500</wp:posOffset>
              </wp:positionV>
              <wp:extent cx="2475230" cy="69850"/>
              <wp:effectExtent l="0" t="0" r="0" b="0"/>
              <wp:wrapNone/>
              <wp:docPr id="1147" name="Shape 1147"/>
              <wp:cNvGraphicFramePr/>
              <a:graphic xmlns:a="http://schemas.openxmlformats.org/drawingml/2006/main">
                <a:graphicData uri="http://schemas.microsoft.com/office/word/2010/wordprocessingShape">
                  <wps:wsp>
                    <wps:cNvSpPr txBox="1"/>
                    <wps:spPr>
                      <a:xfrm>
                        <a:off x="0" y="0"/>
                        <a:ext cx="2475230" cy="69850"/>
                      </a:xfrm>
                      <a:prstGeom prst="rect">
                        <a:avLst/>
                      </a:prstGeom>
                      <a:noFill/>
                    </wps:spPr>
                    <wps:txbx>
                      <w:txbxContent>
                        <w:p w14:paraId="2046FE7A" w14:textId="77777777" w:rsidR="00093A32" w:rsidRDefault="00093A32">
                          <w:pPr>
                            <w:pStyle w:val="Headerorfooter0"/>
                            <w:tabs>
                              <w:tab w:val="right" w:pos="3898"/>
                            </w:tabs>
                          </w:pPr>
                          <w:r>
                            <w:rPr>
                              <w:sz w:val="16"/>
                              <w:szCs w:val="16"/>
                            </w:rPr>
                            <w:t>458</w:t>
                          </w:r>
                          <w:r>
                            <w:rPr>
                              <w:sz w:val="16"/>
                              <w:szCs w:val="16"/>
                            </w:rPr>
                            <w:tab/>
                          </w:r>
                          <w:r>
                            <w:t>ISOSPORIASIS</w:t>
                          </w:r>
                        </w:p>
                      </w:txbxContent>
                    </wps:txbx>
                    <wps:bodyPr lIns="0" tIns="0" rIns="0" bIns="0">
                      <a:spAutoFit/>
                    </wps:bodyPr>
                  </wps:wsp>
                </a:graphicData>
              </a:graphic>
            </wp:anchor>
          </w:drawing>
        </mc:Choice>
        <mc:Fallback>
          <w:pict>
            <v:shapetype w14:anchorId="55AB87B5" id="_x0000_t202" coordsize="21600,21600" o:spt="202" path="m,l,21600r21600,l21600,xe">
              <v:stroke joinstyle="miter"/>
              <v:path gradientshapeok="t" o:connecttype="rect"/>
            </v:shapetype>
            <v:shape id="Shape 1147" o:spid="_x0000_s1252" type="#_x0000_t202" style="position:absolute;margin-left:42.15pt;margin-top:25pt;width:194.9pt;height:5.5pt;z-index:-2512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" filled="f" stroked="f">
              <v:textbox style="mso-fit-shape-to-text:t" inset="0,0,0,0">
                <w:txbxContent>
                  <w:p w14:paraId="2046FE7A" w14:textId="77777777" w:rsidR="00093A32" w:rsidRDefault="00093A32">
                    <w:pPr>
                      <w:pStyle w:val="Headerorfooter0"/>
                      <w:tabs>
                        <w:tab w:val="right" w:pos="3898"/>
                      </w:tabs>
                    </w:pPr>
                    <w:r>
                      <w:rPr>
                        <w:sz w:val="16"/>
                        <w:szCs w:val="16"/>
                      </w:rPr>
                      <w:t>458</w:t>
                    </w:r>
                    <w:r>
                      <w:rPr>
                        <w:sz w:val="16"/>
                        <w:szCs w:val="16"/>
                      </w:rPr>
                      <w:tab/>
                    </w:r>
                    <w:r>
                      <w:t>ISOSPORIASIS</w:t>
                    </w:r>
                  </w:p>
                </w:txbxContent>
              </v:textbox>
              <w10:wrap anchorx="page" anchory="page"/>
            </v:shape>
          </w:pict>
        </mc:Fallback>
      </mc:AlternateContent>
    </w:r>
    <w:r>
      <w:rPr>
        <w:noProof/>
      </w:rPr>
      <mc:AlternateContent>
        <mc:Choice Requires="wps">
          <w:drawing>
            <wp:anchor distT="0" distB="0" distL="114300" distR="114300" simplePos="0" relativeHeight="251869184" behindDoc="1" locked="0" layoutInCell="1" allowOverlap="1" wp14:anchorId="07F6E162" wp14:editId="2531307D">
              <wp:simplePos x="0" y="0"/>
              <wp:positionH relativeFrom="page">
                <wp:posOffset>520065</wp:posOffset>
              </wp:positionH>
              <wp:positionV relativeFrom="page">
                <wp:posOffset>425450</wp:posOffset>
              </wp:positionV>
              <wp:extent cx="4358640" cy="0"/>
              <wp:effectExtent l="0" t="0" r="0" b="0"/>
              <wp:wrapNone/>
              <wp:docPr id="1149" name="Shape 11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8D43EA" id="_x0000_t32" coordsize="21600,21600" o:spt="32" o:oned="t" path="m,l21600,21600e" filled="f">
              <v:path arrowok="t" fillok="f" o:connecttype="none"/>
              <o:lock v:ext="edit" shapetype="t"/>
            </v:shapetype>
            <v:shape id="Shape 1149" o:spid="_x0000_s1026" type="#_x0000_t32" style="position:absolute;margin-left:40.95pt;margin-top:33.5pt;width:343.2pt;height:0;z-index:-251447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Dp&#10;gq7aAAAACAEAAA8AAAAAAAAAAAAAAAAAwgMAAGRycy9kb3ducmV2LnhtbFBLBQYAAAAABAAEAPMA&#10;AADJBAAAAAA=&#10;" strokeweight="1pt">
              <w10:wrap anchorx="page" anchory="page"/>
            </v:shape>
          </w:pict>
        </mc:Fallback>
      </mc:AlternateConten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68F6" w14:textId="77777777" w:rsidR="00093A32" w:rsidRDefault="00093A32">
    <w:pPr>
      <w:spacing w:line="1" w:lineRule="exact"/>
    </w:pPr>
    <w:r>
      <w:rPr>
        <w:noProof/>
      </w:rPr>
      <mc:AlternateContent>
        <mc:Choice Requires="wps">
          <w:drawing>
            <wp:anchor distT="0" distB="0" distL="0" distR="0" simplePos="0" relativeHeight="252109824" behindDoc="1" locked="0" layoutInCell="1" allowOverlap="1" wp14:anchorId="6B1DF49D" wp14:editId="773E16A1">
              <wp:simplePos x="0" y="0"/>
              <wp:positionH relativeFrom="page">
                <wp:posOffset>535305</wp:posOffset>
              </wp:positionH>
              <wp:positionV relativeFrom="page">
                <wp:posOffset>317500</wp:posOffset>
              </wp:positionV>
              <wp:extent cx="2475230" cy="69850"/>
              <wp:effectExtent l="0" t="0" r="0" b="0"/>
              <wp:wrapNone/>
              <wp:docPr id="1144" name="Shape 1144"/>
              <wp:cNvGraphicFramePr/>
              <a:graphic xmlns:a="http://schemas.openxmlformats.org/drawingml/2006/main">
                <a:graphicData uri="http://schemas.microsoft.com/office/word/2010/wordprocessingShape">
                  <wps:wsp>
                    <wps:cNvSpPr txBox="1"/>
                    <wps:spPr>
                      <a:xfrm>
                        <a:off x="0" y="0"/>
                        <a:ext cx="2475230" cy="69850"/>
                      </a:xfrm>
                      <a:prstGeom prst="rect">
                        <a:avLst/>
                      </a:prstGeom>
                      <a:noFill/>
                    </wps:spPr>
                    <wps:txbx>
                      <w:txbxContent>
                        <w:p w14:paraId="572AA4A5" w14:textId="77777777" w:rsidR="00093A32" w:rsidRDefault="00093A32">
                          <w:pPr>
                            <w:pStyle w:val="Headerorfooter0"/>
                            <w:tabs>
                              <w:tab w:val="right" w:pos="3898"/>
                            </w:tabs>
                          </w:pPr>
                          <w:r>
                            <w:rPr>
                              <w:sz w:val="16"/>
                              <w:szCs w:val="16"/>
                            </w:rPr>
                            <w:t>458</w:t>
                          </w:r>
                          <w:r>
                            <w:rPr>
                              <w:sz w:val="16"/>
                              <w:szCs w:val="16"/>
                            </w:rPr>
                            <w:tab/>
                          </w:r>
                          <w:r>
                            <w:t>ISOSPORIASIS</w:t>
                          </w:r>
                        </w:p>
                      </w:txbxContent>
                    </wps:txbx>
                    <wps:bodyPr lIns="0" tIns="0" rIns="0" bIns="0">
                      <a:spAutoFit/>
                    </wps:bodyPr>
                  </wps:wsp>
                </a:graphicData>
              </a:graphic>
            </wp:anchor>
          </w:drawing>
        </mc:Choice>
        <mc:Fallback>
          <w:pict>
            <v:shapetype w14:anchorId="6B1DF49D" id="_x0000_t202" coordsize="21600,21600" o:spt="202" path="m,l,21600r21600,l21600,xe">
              <v:stroke joinstyle="miter"/>
              <v:path gradientshapeok="t" o:connecttype="rect"/>
            </v:shapetype>
            <v:shape id="Shape 1144" o:spid="_x0000_s1253" type="#_x0000_t202" style="position:absolute;margin-left:42.15pt;margin-top:25pt;width:194.9pt;height:5.5pt;z-index:-2512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" filled="f" stroked="f">
              <v:textbox style="mso-fit-shape-to-text:t" inset="0,0,0,0">
                <w:txbxContent>
                  <w:p w14:paraId="572AA4A5" w14:textId="77777777" w:rsidR="00093A32" w:rsidRDefault="00093A32">
                    <w:pPr>
                      <w:pStyle w:val="Headerorfooter0"/>
                      <w:tabs>
                        <w:tab w:val="right" w:pos="3898"/>
                      </w:tabs>
                    </w:pPr>
                    <w:r>
                      <w:rPr>
                        <w:sz w:val="16"/>
                        <w:szCs w:val="16"/>
                      </w:rPr>
                      <w:t>458</w:t>
                    </w:r>
                    <w:r>
                      <w:rPr>
                        <w:sz w:val="16"/>
                        <w:szCs w:val="16"/>
                      </w:rPr>
                      <w:tab/>
                    </w:r>
                    <w:r>
                      <w:t>ISOSPORIASIS</w:t>
                    </w:r>
                  </w:p>
                </w:txbxContent>
              </v:textbox>
              <w10:wrap anchorx="page" anchory="page"/>
            </v:shape>
          </w:pict>
        </mc:Fallback>
      </mc:AlternateContent>
    </w:r>
    <w:r>
      <w:rPr>
        <w:noProof/>
      </w:rPr>
      <mc:AlternateContent>
        <mc:Choice Requires="wps">
          <w:drawing>
            <wp:anchor distT="0" distB="0" distL="114300" distR="114300" simplePos="0" relativeHeight="251868160" behindDoc="1" locked="0" layoutInCell="1" allowOverlap="1" wp14:anchorId="23F71866" wp14:editId="596FC8E9">
              <wp:simplePos x="0" y="0"/>
              <wp:positionH relativeFrom="page">
                <wp:posOffset>520065</wp:posOffset>
              </wp:positionH>
              <wp:positionV relativeFrom="page">
                <wp:posOffset>425450</wp:posOffset>
              </wp:positionV>
              <wp:extent cx="4358640" cy="0"/>
              <wp:effectExtent l="0" t="0" r="0" b="0"/>
              <wp:wrapNone/>
              <wp:docPr id="1146" name="Shape 11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C2A100" id="_x0000_t32" coordsize="21600,21600" o:spt="32" o:oned="t" path="m,l21600,21600e" filled="f">
              <v:path arrowok="t" fillok="f" o:connecttype="none"/>
              <o:lock v:ext="edit" shapetype="t"/>
            </v:shapetype>
            <v:shape id="Shape 1146" o:spid="_x0000_s1026" type="#_x0000_t32" style="position:absolute;margin-left:40.95pt;margin-top:33.5pt;width:343.2pt;height:0;z-index:-2514483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Dp&#10;gq7aAAAACAEAAA8AAAAAAAAAAAAAAAAAwgMAAGRycy9kb3ducmV2LnhtbFBLBQYAAAAABAAEAPMA&#10;AADJBAAAAAA=&#10;" strokeweight="1pt">
              <w10:wrap anchorx="page" anchory="page"/>
            </v:shape>
          </w:pict>
        </mc:Fallback>
      </mc:AlternateContent>
    </w: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993F" w14:textId="77777777" w:rsidR="00093A32" w:rsidRDefault="00093A32">
    <w:pPr>
      <w:spacing w:line="1" w:lineRule="exact"/>
    </w:pPr>
    <w:r>
      <w:rPr>
        <w:noProof/>
      </w:rPr>
      <mc:AlternateContent>
        <mc:Choice Requires="wps">
          <w:drawing>
            <wp:anchor distT="0" distB="0" distL="0" distR="0" simplePos="0" relativeHeight="252112896" behindDoc="1" locked="0" layoutInCell="1" allowOverlap="1" wp14:anchorId="307B73E7" wp14:editId="0B1A35EB">
              <wp:simplePos x="0" y="0"/>
              <wp:positionH relativeFrom="page">
                <wp:posOffset>2213610</wp:posOffset>
              </wp:positionH>
              <wp:positionV relativeFrom="page">
                <wp:posOffset>292735</wp:posOffset>
              </wp:positionV>
              <wp:extent cx="2645410" cy="94615"/>
              <wp:effectExtent l="0" t="0" r="0" b="0"/>
              <wp:wrapNone/>
              <wp:docPr id="1153" name="Shape 1153"/>
              <wp:cNvGraphicFramePr/>
              <a:graphic xmlns:a="http://schemas.openxmlformats.org/drawingml/2006/main">
                <a:graphicData uri="http://schemas.microsoft.com/office/word/2010/wordprocessingShape">
                  <wps:wsp>
                    <wps:cNvSpPr txBox="1"/>
                    <wps:spPr>
                      <a:xfrm>
                        <a:off x="0" y="0"/>
                        <a:ext cx="2645410" cy="94615"/>
                      </a:xfrm>
                      <a:prstGeom prst="rect">
                        <a:avLst/>
                      </a:prstGeom>
                      <a:noFill/>
                    </wps:spPr>
                    <wps:txbx>
                      <w:txbxContent>
                        <w:p w14:paraId="536892DF" w14:textId="77777777" w:rsidR="00093A32" w:rsidRDefault="00093A32">
                          <w:pPr>
                            <w:pStyle w:val="Headerorfooter0"/>
                            <w:tabs>
                              <w:tab w:val="right" w:pos="4166"/>
                            </w:tabs>
                            <w:rPr>
                              <w:sz w:val="16"/>
                              <w:szCs w:val="16"/>
                            </w:rPr>
                          </w:pPr>
                          <w:r>
                            <w:t>KAWASAKI, SÍNDROME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07B73E7" id="_x0000_t202" coordsize="21600,21600" o:spt="202" path="m,l,21600r21600,l21600,xe">
              <v:stroke joinstyle="miter"/>
              <v:path gradientshapeok="t" o:connecttype="rect"/>
            </v:shapetype>
            <v:shape id="Shape 1153" o:spid="_x0000_s1254" type="#_x0000_t202" style="position:absolute;margin-left:174.3pt;margin-top:23.05pt;width:208.3pt;height:7.45pt;z-index:-2512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" filled="f" stroked="f">
              <v:textbox style="mso-fit-shape-to-text:t" inset="0,0,0,0">
                <w:txbxContent>
                  <w:p w14:paraId="536892DF" w14:textId="77777777" w:rsidR="00093A32" w:rsidRDefault="00093A32">
                    <w:pPr>
                      <w:pStyle w:val="Headerorfooter0"/>
                      <w:tabs>
                        <w:tab w:val="right" w:pos="4166"/>
                      </w:tabs>
                      <w:rPr>
                        <w:sz w:val="16"/>
                        <w:szCs w:val="16"/>
                      </w:rPr>
                    </w:pPr>
                    <w:r>
                      <w:t>KAWASAKI, SÍNDROME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71232" behindDoc="1" locked="0" layoutInCell="1" allowOverlap="1" wp14:anchorId="0793396A" wp14:editId="360E3E19">
              <wp:simplePos x="0" y="0"/>
              <wp:positionH relativeFrom="page">
                <wp:posOffset>521970</wp:posOffset>
              </wp:positionH>
              <wp:positionV relativeFrom="page">
                <wp:posOffset>416560</wp:posOffset>
              </wp:positionV>
              <wp:extent cx="4358640" cy="0"/>
              <wp:effectExtent l="0" t="0" r="0" b="0"/>
              <wp:wrapNone/>
              <wp:docPr id="1155" name="Shape 115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CA76168" id="_x0000_t32" coordsize="21600,21600" o:spt="32" o:oned="t" path="m,l21600,21600e" filled="f">
              <v:path arrowok="t" fillok="f" o:connecttype="none"/>
              <o:lock v:ext="edit" shapetype="t"/>
            </v:shapetype>
            <v:shape id="Shape 1155" o:spid="_x0000_s1026" type="#_x0000_t32" style="position:absolute;margin-left:41.1pt;margin-top:32.8pt;width:343.2pt;height:0;z-index:-2514452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MrI&#10;jy7aAAAACAEAAA8AAAAAAAAAAAAAAAAAwgMAAGRycy9kb3ducmV2LnhtbFBLBQYAAAAABAAEAPMA&#10;AADJBAAAAAA=&#10;" strokeweight="1pt">
              <w10:wrap anchorx="page" anchory="page"/>
            </v:shape>
          </w:pict>
        </mc:Fallback>
      </mc:AlternateConten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0829" w14:textId="77777777" w:rsidR="00093A32" w:rsidRDefault="00093A32">
    <w:pPr>
      <w:spacing w:line="1" w:lineRule="exact"/>
    </w:pPr>
    <w:r>
      <w:rPr>
        <w:noProof/>
      </w:rPr>
      <mc:AlternateContent>
        <mc:Choice Requires="wps">
          <w:drawing>
            <wp:anchor distT="0" distB="0" distL="0" distR="0" simplePos="0" relativeHeight="252111872" behindDoc="1" locked="0" layoutInCell="1" allowOverlap="1" wp14:anchorId="5B710D76" wp14:editId="1B1E538B">
              <wp:simplePos x="0" y="0"/>
              <wp:positionH relativeFrom="page">
                <wp:posOffset>2213610</wp:posOffset>
              </wp:positionH>
              <wp:positionV relativeFrom="page">
                <wp:posOffset>292735</wp:posOffset>
              </wp:positionV>
              <wp:extent cx="2645410" cy="94615"/>
              <wp:effectExtent l="0" t="0" r="0" b="0"/>
              <wp:wrapNone/>
              <wp:docPr id="1150" name="Shape 1150"/>
              <wp:cNvGraphicFramePr/>
              <a:graphic xmlns:a="http://schemas.openxmlformats.org/drawingml/2006/main">
                <a:graphicData uri="http://schemas.microsoft.com/office/word/2010/wordprocessingShape">
                  <wps:wsp>
                    <wps:cNvSpPr txBox="1"/>
                    <wps:spPr>
                      <a:xfrm>
                        <a:off x="0" y="0"/>
                        <a:ext cx="2645410" cy="94615"/>
                      </a:xfrm>
                      <a:prstGeom prst="rect">
                        <a:avLst/>
                      </a:prstGeom>
                      <a:noFill/>
                    </wps:spPr>
                    <wps:txbx>
                      <w:txbxContent>
                        <w:p w14:paraId="77AB365B" w14:textId="77777777" w:rsidR="00093A32" w:rsidRDefault="00093A32">
                          <w:pPr>
                            <w:pStyle w:val="Headerorfooter0"/>
                            <w:tabs>
                              <w:tab w:val="right" w:pos="4166"/>
                            </w:tabs>
                            <w:rPr>
                              <w:sz w:val="16"/>
                              <w:szCs w:val="16"/>
                            </w:rPr>
                          </w:pPr>
                          <w:r>
                            <w:t>KAWASAKI, SÍNDROME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B710D76" id="_x0000_t202" coordsize="21600,21600" o:spt="202" path="m,l,21600r21600,l21600,xe">
              <v:stroke joinstyle="miter"/>
              <v:path gradientshapeok="t" o:connecttype="rect"/>
            </v:shapetype>
            <v:shape id="Shape 1150" o:spid="_x0000_s1255" type="#_x0000_t202" style="position:absolute;margin-left:174.3pt;margin-top:23.05pt;width:208.3pt;height:7.45pt;z-index:-251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" filled="f" stroked="f">
              <v:textbox style="mso-fit-shape-to-text:t" inset="0,0,0,0">
                <w:txbxContent>
                  <w:p w14:paraId="77AB365B" w14:textId="77777777" w:rsidR="00093A32" w:rsidRDefault="00093A32">
                    <w:pPr>
                      <w:pStyle w:val="Headerorfooter0"/>
                      <w:tabs>
                        <w:tab w:val="right" w:pos="4166"/>
                      </w:tabs>
                      <w:rPr>
                        <w:sz w:val="16"/>
                        <w:szCs w:val="16"/>
                      </w:rPr>
                    </w:pPr>
                    <w:r>
                      <w:t>KAWASAKI, SÍNDROME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70208" behindDoc="1" locked="0" layoutInCell="1" allowOverlap="1" wp14:anchorId="7577AFA5" wp14:editId="0B9A36F8">
              <wp:simplePos x="0" y="0"/>
              <wp:positionH relativeFrom="page">
                <wp:posOffset>521970</wp:posOffset>
              </wp:positionH>
              <wp:positionV relativeFrom="page">
                <wp:posOffset>416560</wp:posOffset>
              </wp:positionV>
              <wp:extent cx="4358640" cy="0"/>
              <wp:effectExtent l="0" t="0" r="0" b="0"/>
              <wp:wrapNone/>
              <wp:docPr id="1152" name="Shape 11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DF6540" id="_x0000_t32" coordsize="21600,21600" o:spt="32" o:oned="t" path="m,l21600,21600e" filled="f">
              <v:path arrowok="t" fillok="f" o:connecttype="none"/>
              <o:lock v:ext="edit" shapetype="t"/>
            </v:shapetype>
            <v:shape id="Shape 1152" o:spid="_x0000_s1026" type="#_x0000_t32" style="position:absolute;margin-left:41.1pt;margin-top:32.8pt;width:343.2pt;height:0;z-index:-2514462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MrI&#10;jy7aAAAACAEAAA8AAAAAAAAAAAAAAAAAwgMAAGRycy9kb3ducmV2LnhtbFBLBQYAAAAABAAEAPMA&#10;AADJBAAAAAA=&#10;" strokeweight="1pt">
              <w10:wrap anchorx="page" anchory="page"/>
            </v:shape>
          </w:pict>
        </mc:Fallback>
      </mc:AlternateConten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E782" w14:textId="77777777" w:rsidR="00093A32" w:rsidRDefault="00093A32">
    <w:pPr>
      <w:spacing w:line="1" w:lineRule="exact"/>
    </w:pPr>
    <w:r>
      <w:rPr>
        <w:noProof/>
      </w:rPr>
      <mc:AlternateContent>
        <mc:Choice Requires="wps">
          <w:drawing>
            <wp:anchor distT="0" distB="0" distL="0" distR="0" simplePos="0" relativeHeight="252113920" behindDoc="1" locked="0" layoutInCell="1" allowOverlap="1" wp14:anchorId="363B7C78" wp14:editId="2322E029">
              <wp:simplePos x="0" y="0"/>
              <wp:positionH relativeFrom="page">
                <wp:posOffset>535305</wp:posOffset>
              </wp:positionH>
              <wp:positionV relativeFrom="page">
                <wp:posOffset>317500</wp:posOffset>
              </wp:positionV>
              <wp:extent cx="2475230" cy="69850"/>
              <wp:effectExtent l="0" t="0" r="0" b="0"/>
              <wp:wrapNone/>
              <wp:docPr id="1156" name="Shape 1156"/>
              <wp:cNvGraphicFramePr/>
              <a:graphic xmlns:a="http://schemas.openxmlformats.org/drawingml/2006/main">
                <a:graphicData uri="http://schemas.microsoft.com/office/word/2010/wordprocessingShape">
                  <wps:wsp>
                    <wps:cNvSpPr txBox="1"/>
                    <wps:spPr>
                      <a:xfrm>
                        <a:off x="0" y="0"/>
                        <a:ext cx="2475230" cy="69850"/>
                      </a:xfrm>
                      <a:prstGeom prst="rect">
                        <a:avLst/>
                      </a:prstGeom>
                      <a:noFill/>
                    </wps:spPr>
                    <wps:txbx>
                      <w:txbxContent>
                        <w:p w14:paraId="0DA08055" w14:textId="77777777" w:rsidR="00093A32" w:rsidRDefault="00093A32">
                          <w:pPr>
                            <w:pStyle w:val="Headerorfooter0"/>
                            <w:tabs>
                              <w:tab w:val="right" w:pos="3898"/>
                            </w:tabs>
                          </w:pPr>
                          <w:r>
                            <w:rPr>
                              <w:sz w:val="16"/>
                              <w:szCs w:val="16"/>
                            </w:rPr>
                            <w:t>458</w:t>
                          </w:r>
                          <w:r>
                            <w:rPr>
                              <w:sz w:val="16"/>
                              <w:szCs w:val="16"/>
                            </w:rPr>
                            <w:tab/>
                          </w:r>
                          <w:r>
                            <w:t>ISOSPORIASIS</w:t>
                          </w:r>
                        </w:p>
                      </w:txbxContent>
                    </wps:txbx>
                    <wps:bodyPr lIns="0" tIns="0" rIns="0" bIns="0">
                      <a:spAutoFit/>
                    </wps:bodyPr>
                  </wps:wsp>
                </a:graphicData>
              </a:graphic>
            </wp:anchor>
          </w:drawing>
        </mc:Choice>
        <mc:Fallback>
          <w:pict>
            <v:shapetype w14:anchorId="363B7C78" id="_x0000_t202" coordsize="21600,21600" o:spt="202" path="m,l,21600r21600,l21600,xe">
              <v:stroke joinstyle="miter"/>
              <v:path gradientshapeok="t" o:connecttype="rect"/>
            </v:shapetype>
            <v:shape id="Shape 1156" o:spid="_x0000_s1256" type="#_x0000_t202" style="position:absolute;margin-left:42.15pt;margin-top:25pt;width:194.9pt;height:5.5pt;z-index:-2512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" filled="f" stroked="f">
              <v:textbox style="mso-fit-shape-to-text:t" inset="0,0,0,0">
                <w:txbxContent>
                  <w:p w14:paraId="0DA08055" w14:textId="77777777" w:rsidR="00093A32" w:rsidRDefault="00093A32">
                    <w:pPr>
                      <w:pStyle w:val="Headerorfooter0"/>
                      <w:tabs>
                        <w:tab w:val="right" w:pos="3898"/>
                      </w:tabs>
                    </w:pPr>
                    <w:r>
                      <w:rPr>
                        <w:sz w:val="16"/>
                        <w:szCs w:val="16"/>
                      </w:rPr>
                      <w:t>458</w:t>
                    </w:r>
                    <w:r>
                      <w:rPr>
                        <w:sz w:val="16"/>
                        <w:szCs w:val="16"/>
                      </w:rPr>
                      <w:tab/>
                    </w:r>
                    <w:r>
                      <w:t>ISOSPORIASIS</w:t>
                    </w:r>
                  </w:p>
                </w:txbxContent>
              </v:textbox>
              <w10:wrap anchorx="page" anchory="page"/>
            </v:shape>
          </w:pict>
        </mc:Fallback>
      </mc:AlternateContent>
    </w:r>
    <w:r>
      <w:rPr>
        <w:noProof/>
      </w:rPr>
      <mc:AlternateContent>
        <mc:Choice Requires="wps">
          <w:drawing>
            <wp:anchor distT="0" distB="0" distL="114300" distR="114300" simplePos="0" relativeHeight="251872256" behindDoc="1" locked="0" layoutInCell="1" allowOverlap="1" wp14:anchorId="0BFE5333" wp14:editId="36CA77E3">
              <wp:simplePos x="0" y="0"/>
              <wp:positionH relativeFrom="page">
                <wp:posOffset>520065</wp:posOffset>
              </wp:positionH>
              <wp:positionV relativeFrom="page">
                <wp:posOffset>425450</wp:posOffset>
              </wp:positionV>
              <wp:extent cx="4358640" cy="0"/>
              <wp:effectExtent l="0" t="0" r="0" b="0"/>
              <wp:wrapNone/>
              <wp:docPr id="1158" name="Shape 115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833683" id="_x0000_t32" coordsize="21600,21600" o:spt="32" o:oned="t" path="m,l21600,21600e" filled="f">
              <v:path arrowok="t" fillok="f" o:connecttype="none"/>
              <o:lock v:ext="edit" shapetype="t"/>
            </v:shapetype>
            <v:shape id="Shape 1158" o:spid="_x0000_s1026" type="#_x0000_t32" style="position:absolute;margin-left:40.95pt;margin-top:33.5pt;width:343.2pt;height:0;z-index:-2514442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Dp&#10;gq7aAAAACAEAAA8AAAAAAAAAAAAAAAAAwgMAAGRycy9kb3ducmV2LnhtbFBLBQYAAAAABAAEAPMA&#10;AADJBAAAAAA=&#10;" strokeweight="1pt">
              <w10:wrap anchorx="page" anchory="page"/>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8CDB" w14:textId="77777777" w:rsidR="00093A32" w:rsidRDefault="00093A32">
    <w:pPr>
      <w:spacing w:line="1" w:lineRule="exact"/>
    </w:pPr>
    <w:r>
      <w:rPr>
        <w:noProof/>
      </w:rPr>
      <mc:AlternateContent>
        <mc:Choice Requires="wps">
          <w:drawing>
            <wp:anchor distT="0" distB="0" distL="0" distR="0" simplePos="0" relativeHeight="252115968" behindDoc="1" locked="0" layoutInCell="1" allowOverlap="1" wp14:anchorId="10660753" wp14:editId="3533B60C">
              <wp:simplePos x="0" y="0"/>
              <wp:positionH relativeFrom="page">
                <wp:posOffset>2213610</wp:posOffset>
              </wp:positionH>
              <wp:positionV relativeFrom="page">
                <wp:posOffset>292735</wp:posOffset>
              </wp:positionV>
              <wp:extent cx="2645410" cy="94615"/>
              <wp:effectExtent l="0" t="0" r="0" b="0"/>
              <wp:wrapNone/>
              <wp:docPr id="1162" name="Shape 1162"/>
              <wp:cNvGraphicFramePr/>
              <a:graphic xmlns:a="http://schemas.openxmlformats.org/drawingml/2006/main">
                <a:graphicData uri="http://schemas.microsoft.com/office/word/2010/wordprocessingShape">
                  <wps:wsp>
                    <wps:cNvSpPr txBox="1"/>
                    <wps:spPr>
                      <a:xfrm>
                        <a:off x="0" y="0"/>
                        <a:ext cx="2645410" cy="94615"/>
                      </a:xfrm>
                      <a:prstGeom prst="rect">
                        <a:avLst/>
                      </a:prstGeom>
                      <a:noFill/>
                    </wps:spPr>
                    <wps:txbx>
                      <w:txbxContent>
                        <w:p w14:paraId="6C909850" w14:textId="77777777" w:rsidR="00093A32" w:rsidRDefault="00093A32">
                          <w:pPr>
                            <w:pStyle w:val="Headerorfooter0"/>
                            <w:tabs>
                              <w:tab w:val="right" w:pos="4166"/>
                            </w:tabs>
                            <w:rPr>
                              <w:sz w:val="16"/>
                              <w:szCs w:val="16"/>
                            </w:rPr>
                          </w:pPr>
                          <w:r>
                            <w:t>KAWASAKI, SÍNDROME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0660753" id="_x0000_t202" coordsize="21600,21600" o:spt="202" path="m,l,21600r21600,l21600,xe">
              <v:stroke joinstyle="miter"/>
              <v:path gradientshapeok="t" o:connecttype="rect"/>
            </v:shapetype>
            <v:shape id="Shape 1162" o:spid="_x0000_s1257" type="#_x0000_t202" style="position:absolute;margin-left:174.3pt;margin-top:23.05pt;width:208.3pt;height:7.45pt;z-index:-2512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" filled="f" stroked="f">
              <v:textbox style="mso-fit-shape-to-text:t" inset="0,0,0,0">
                <w:txbxContent>
                  <w:p w14:paraId="6C909850" w14:textId="77777777" w:rsidR="00093A32" w:rsidRDefault="00093A32">
                    <w:pPr>
                      <w:pStyle w:val="Headerorfooter0"/>
                      <w:tabs>
                        <w:tab w:val="right" w:pos="4166"/>
                      </w:tabs>
                      <w:rPr>
                        <w:sz w:val="16"/>
                        <w:szCs w:val="16"/>
                      </w:rPr>
                    </w:pPr>
                    <w:r>
                      <w:t>KAWASAKI, SÍNDROME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74304" behindDoc="1" locked="0" layoutInCell="1" allowOverlap="1" wp14:anchorId="1BDBBB5C" wp14:editId="57AF7975">
              <wp:simplePos x="0" y="0"/>
              <wp:positionH relativeFrom="page">
                <wp:posOffset>521970</wp:posOffset>
              </wp:positionH>
              <wp:positionV relativeFrom="page">
                <wp:posOffset>416560</wp:posOffset>
              </wp:positionV>
              <wp:extent cx="4358640" cy="0"/>
              <wp:effectExtent l="0" t="0" r="0" b="0"/>
              <wp:wrapNone/>
              <wp:docPr id="1164" name="Shape 116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650882" id="_x0000_t32" coordsize="21600,21600" o:spt="32" o:oned="t" path="m,l21600,21600e" filled="f">
              <v:path arrowok="t" fillok="f" o:connecttype="none"/>
              <o:lock v:ext="edit" shapetype="t"/>
            </v:shapetype>
            <v:shape id="Shape 1164" o:spid="_x0000_s1026" type="#_x0000_t32" style="position:absolute;margin-left:41.1pt;margin-top:32.8pt;width:343.2pt;height:0;z-index:-2514421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MrI&#10;jy7aAAAACAEAAA8AAAAAAAAAAAAAAAAAwgMAAGRycy9kb3ducmV2LnhtbFBLBQYAAAAABAAEAPMA&#10;AADJBAAAAAA=&#10;" strokeweight="1pt">
              <w10:wrap anchorx="page" anchory="page"/>
            </v:shape>
          </w:pict>
        </mc:Fallback>
      </mc:AlternateConten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1415" w14:textId="77777777" w:rsidR="00093A32" w:rsidRDefault="00093A32">
    <w:pPr>
      <w:spacing w:line="1" w:lineRule="exact"/>
    </w:pPr>
    <w:r>
      <w:rPr>
        <w:noProof/>
      </w:rPr>
      <mc:AlternateContent>
        <mc:Choice Requires="wps">
          <w:drawing>
            <wp:anchor distT="0" distB="0" distL="0" distR="0" simplePos="0" relativeHeight="252114944" behindDoc="1" locked="0" layoutInCell="1" allowOverlap="1" wp14:anchorId="01D370D3" wp14:editId="279BF0AC">
              <wp:simplePos x="0" y="0"/>
              <wp:positionH relativeFrom="page">
                <wp:posOffset>537210</wp:posOffset>
              </wp:positionH>
              <wp:positionV relativeFrom="page">
                <wp:posOffset>292735</wp:posOffset>
              </wp:positionV>
              <wp:extent cx="2651760" cy="94615"/>
              <wp:effectExtent l="0" t="0" r="0" b="0"/>
              <wp:wrapNone/>
              <wp:docPr id="1159" name="Shape 1159"/>
              <wp:cNvGraphicFramePr/>
              <a:graphic xmlns:a="http://schemas.openxmlformats.org/drawingml/2006/main">
                <a:graphicData uri="http://schemas.microsoft.com/office/word/2010/wordprocessingShape">
                  <wps:wsp>
                    <wps:cNvSpPr txBox="1"/>
                    <wps:spPr>
                      <a:xfrm>
                        <a:off x="0" y="0"/>
                        <a:ext cx="2651760" cy="94615"/>
                      </a:xfrm>
                      <a:prstGeom prst="rect">
                        <a:avLst/>
                      </a:prstGeom>
                      <a:noFill/>
                    </wps:spPr>
                    <wps:txbx>
                      <w:txbxContent>
                        <w:p w14:paraId="0C9B18EC" w14:textId="77777777" w:rsidR="00093A32" w:rsidRDefault="00093A32">
                          <w:pPr>
                            <w:pStyle w:val="Headerorfooter0"/>
                            <w:tabs>
                              <w:tab w:val="right" w:pos="4176"/>
                            </w:tabs>
                          </w:pPr>
                          <w:r>
                            <w:rPr>
                              <w:sz w:val="16"/>
                              <w:szCs w:val="16"/>
                            </w:rPr>
                            <w:t>460</w:t>
                          </w:r>
                          <w:r>
                            <w:rPr>
                              <w:sz w:val="16"/>
                              <w:szCs w:val="16"/>
                            </w:rPr>
                            <w:tab/>
                          </w:r>
                          <w:r>
                            <w:t>KAWASAKI, SÍNDROME</w:t>
                          </w:r>
                        </w:p>
                      </w:txbxContent>
                    </wps:txbx>
                    <wps:bodyPr lIns="0" tIns="0" rIns="0" bIns="0">
                      <a:spAutoFit/>
                    </wps:bodyPr>
                  </wps:wsp>
                </a:graphicData>
              </a:graphic>
            </wp:anchor>
          </w:drawing>
        </mc:Choice>
        <mc:Fallback>
          <w:pict>
            <v:shapetype w14:anchorId="01D370D3" id="_x0000_t202" coordsize="21600,21600" o:spt="202" path="m,l,21600r21600,l21600,xe">
              <v:stroke joinstyle="miter"/>
              <v:path gradientshapeok="t" o:connecttype="rect"/>
            </v:shapetype>
            <v:shape id="Shape 1159" o:spid="_x0000_s1258" type="#_x0000_t202" style="position:absolute;margin-left:42.3pt;margin-top:23.05pt;width:208.8pt;height:7.45pt;z-index:-2512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" filled="f" stroked="f">
              <v:textbox style="mso-fit-shape-to-text:t" inset="0,0,0,0">
                <w:txbxContent>
                  <w:p w14:paraId="0C9B18EC" w14:textId="77777777" w:rsidR="00093A32" w:rsidRDefault="00093A32">
                    <w:pPr>
                      <w:pStyle w:val="Headerorfooter0"/>
                      <w:tabs>
                        <w:tab w:val="right" w:pos="4176"/>
                      </w:tabs>
                    </w:pPr>
                    <w:r>
                      <w:rPr>
                        <w:sz w:val="16"/>
                        <w:szCs w:val="16"/>
                      </w:rPr>
                      <w:t>460</w:t>
                    </w:r>
                    <w:r>
                      <w:rPr>
                        <w:sz w:val="16"/>
                        <w:szCs w:val="16"/>
                      </w:rPr>
                      <w:tab/>
                    </w:r>
                    <w:r>
                      <w:t>KAWASAKI, SÍNDROME</w:t>
                    </w:r>
                  </w:p>
                </w:txbxContent>
              </v:textbox>
              <w10:wrap anchorx="page" anchory="page"/>
            </v:shape>
          </w:pict>
        </mc:Fallback>
      </mc:AlternateContent>
    </w:r>
    <w:r>
      <w:rPr>
        <w:noProof/>
      </w:rPr>
      <mc:AlternateContent>
        <mc:Choice Requires="wps">
          <w:drawing>
            <wp:anchor distT="0" distB="0" distL="114300" distR="114300" simplePos="0" relativeHeight="251873280" behindDoc="1" locked="0" layoutInCell="1" allowOverlap="1" wp14:anchorId="246CBBCC" wp14:editId="7A6D4C42">
              <wp:simplePos x="0" y="0"/>
              <wp:positionH relativeFrom="page">
                <wp:posOffset>521970</wp:posOffset>
              </wp:positionH>
              <wp:positionV relativeFrom="page">
                <wp:posOffset>416560</wp:posOffset>
              </wp:positionV>
              <wp:extent cx="4358640" cy="0"/>
              <wp:effectExtent l="0" t="0" r="0" b="0"/>
              <wp:wrapNone/>
              <wp:docPr id="1161" name="Shape 116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09316C" id="_x0000_t32" coordsize="21600,21600" o:spt="32" o:oned="t" path="m,l21600,21600e" filled="f">
              <v:path arrowok="t" fillok="f" o:connecttype="none"/>
              <o:lock v:ext="edit" shapetype="t"/>
            </v:shapetype>
            <v:shape id="Shape 1161" o:spid="_x0000_s1026" type="#_x0000_t32" style="position:absolute;margin-left:41.1pt;margin-top:32.8pt;width:343.2pt;height:0;z-index:-2514432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MrI&#10;jy7aAAAACAEAAA8AAAAAAAAAAAAAAAAAwgMAAGRycy9kb3ducmV2LnhtbFBLBQYAAAAABAAEAPMA&#10;AADJBAAAAAA=&#10;" strokeweight="1pt">
              <w10:wrap anchorx="page" anchory="page"/>
            </v:shape>
          </w:pict>
        </mc:Fallback>
      </mc:AlternateConten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1883" w14:textId="77777777" w:rsidR="00093A32" w:rsidRDefault="00093A32">
    <w:pPr>
      <w:spacing w:line="1" w:lineRule="exact"/>
    </w:pPr>
    <w:r>
      <w:rPr>
        <w:noProof/>
      </w:rPr>
      <mc:AlternateContent>
        <mc:Choice Requires="wps">
          <w:drawing>
            <wp:anchor distT="0" distB="0" distL="0" distR="0" simplePos="0" relativeHeight="252118016" behindDoc="1" locked="0" layoutInCell="1" allowOverlap="1" wp14:anchorId="4E13874C" wp14:editId="5E3A4A3F">
              <wp:simplePos x="0" y="0"/>
              <wp:positionH relativeFrom="page">
                <wp:posOffset>1986280</wp:posOffset>
              </wp:positionH>
              <wp:positionV relativeFrom="page">
                <wp:posOffset>307975</wp:posOffset>
              </wp:positionV>
              <wp:extent cx="2880360" cy="79375"/>
              <wp:effectExtent l="0" t="0" r="0" b="0"/>
              <wp:wrapNone/>
              <wp:docPr id="1168" name="Shape 1168"/>
              <wp:cNvGraphicFramePr/>
              <a:graphic xmlns:a="http://schemas.openxmlformats.org/drawingml/2006/main">
                <a:graphicData uri="http://schemas.microsoft.com/office/word/2010/wordprocessingShape">
                  <wps:wsp>
                    <wps:cNvSpPr txBox="1"/>
                    <wps:spPr>
                      <a:xfrm>
                        <a:off x="0" y="0"/>
                        <a:ext cx="2880360" cy="79375"/>
                      </a:xfrm>
                      <a:prstGeom prst="rect">
                        <a:avLst/>
                      </a:prstGeom>
                      <a:noFill/>
                    </wps:spPr>
                    <wps:txbx>
                      <w:txbxContent>
                        <w:p w14:paraId="6C91E527" w14:textId="77777777" w:rsidR="00093A32" w:rsidRDefault="00093A32">
                          <w:pPr>
                            <w:pStyle w:val="Headerorfooter0"/>
                            <w:tabs>
                              <w:tab w:val="right" w:pos="4536"/>
                            </w:tabs>
                            <w:rPr>
                              <w:sz w:val="16"/>
                              <w:szCs w:val="16"/>
                            </w:rPr>
                          </w:pPr>
                          <w:r>
                            <w:rPr>
                              <w:i/>
                              <w:iCs/>
                              <w:sz w:val="13"/>
                              <w:szCs w:val="13"/>
                            </w:rPr>
                            <w:t>KINGELLA KINGAE,</w:t>
                          </w:r>
                          <w:r>
                            <w:t xml:space="preserve"> INFECCIONES</w:t>
                          </w:r>
                          <w:r>
                            <w:tab/>
                          </w:r>
                          <w:r>
                            <w:rPr>
                              <w:sz w:val="16"/>
                              <w:szCs w:val="16"/>
                            </w:rPr>
                            <w:t>463</w:t>
                          </w:r>
                        </w:p>
                      </w:txbxContent>
                    </wps:txbx>
                    <wps:bodyPr lIns="0" tIns="0" rIns="0" bIns="0">
                      <a:spAutoFit/>
                    </wps:bodyPr>
                  </wps:wsp>
                </a:graphicData>
              </a:graphic>
            </wp:anchor>
          </w:drawing>
        </mc:Choice>
        <mc:Fallback>
          <w:pict>
            <v:shapetype w14:anchorId="4E13874C" id="_x0000_t202" coordsize="21600,21600" o:spt="202" path="m,l,21600r21600,l21600,xe">
              <v:stroke joinstyle="miter"/>
              <v:path gradientshapeok="t" o:connecttype="rect"/>
            </v:shapetype>
            <v:shape id="Shape 1168" o:spid="_x0000_s1259" type="#_x0000_t202" style="position:absolute;margin-left:156.4pt;margin-top:24.25pt;width:226.8pt;height:6.25pt;z-index:-2511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xavfwEAAPwCAAAOAAAAZHJzL2Uyb0RvYy54bWysUttOwzAMfUfiH6K8s3ZDsFG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" filled="f" stroked="f">
              <v:textbox style="mso-fit-shape-to-text:t" inset="0,0,0,0">
                <w:txbxContent>
                  <w:p w14:paraId="6C91E527" w14:textId="77777777" w:rsidR="00093A32" w:rsidRDefault="00093A32">
                    <w:pPr>
                      <w:pStyle w:val="Headerorfooter0"/>
                      <w:tabs>
                        <w:tab w:val="right" w:pos="4536"/>
                      </w:tabs>
                      <w:rPr>
                        <w:sz w:val="16"/>
                        <w:szCs w:val="16"/>
                      </w:rPr>
                    </w:pPr>
                    <w:r>
                      <w:rPr>
                        <w:i/>
                        <w:iCs/>
                        <w:sz w:val="13"/>
                        <w:szCs w:val="13"/>
                      </w:rPr>
                      <w:t>KINGELLA KINGAE,</w:t>
                    </w:r>
                    <w:r>
                      <w:t xml:space="preserve"> INFECCIONES</w:t>
                    </w:r>
                    <w:r>
                      <w:tab/>
                    </w:r>
                    <w:r>
                      <w:rPr>
                        <w:sz w:val="16"/>
                        <w:szCs w:val="16"/>
                      </w:rPr>
                      <w:t>463</w:t>
                    </w:r>
                  </w:p>
                </w:txbxContent>
              </v:textbox>
              <w10:wrap anchorx="page" anchory="page"/>
            </v:shape>
          </w:pict>
        </mc:Fallback>
      </mc:AlternateContent>
    </w:r>
    <w:r>
      <w:rPr>
        <w:noProof/>
      </w:rPr>
      <mc:AlternateContent>
        <mc:Choice Requires="wps">
          <w:drawing>
            <wp:anchor distT="0" distB="0" distL="114300" distR="114300" simplePos="0" relativeHeight="251876352" behindDoc="1" locked="0" layoutInCell="1" allowOverlap="1" wp14:anchorId="7D3F3258" wp14:editId="7C7B438A">
              <wp:simplePos x="0" y="0"/>
              <wp:positionH relativeFrom="page">
                <wp:posOffset>529590</wp:posOffset>
              </wp:positionH>
              <wp:positionV relativeFrom="page">
                <wp:posOffset>416560</wp:posOffset>
              </wp:positionV>
              <wp:extent cx="4358640" cy="0"/>
              <wp:effectExtent l="0" t="0" r="0" b="0"/>
              <wp:wrapNone/>
              <wp:docPr id="1170" name="Shape 117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74ED29" id="_x0000_t32" coordsize="21600,21600" o:spt="32" o:oned="t" path="m,l21600,21600e" filled="f">
              <v:path arrowok="t" fillok="f" o:connecttype="none"/>
              <o:lock v:ext="edit" shapetype="t"/>
            </v:shapetype>
            <v:shape id="Shape 1170" o:spid="_x0000_s1026" type="#_x0000_t32" style="position:absolute;margin-left:41.7pt;margin-top:32.8pt;width:343.2pt;height:0;z-index:-251440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JoH&#10;hw7aAAAACAEAAA8AAAAAAAAAAAAAAAAAwgMAAGRycy9kb3ducmV2LnhtbFBLBQYAAAAABAAEAPMA&#10;AADJBAAAAAA=&#10;" strokeweight="1pt">
              <w10:wrap anchorx="page" anchory="page"/>
            </v:shape>
          </w:pict>
        </mc:Fallback>
      </mc:AlternateConten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9B9E" w14:textId="77777777" w:rsidR="00093A32" w:rsidRDefault="00093A32">
    <w:pPr>
      <w:spacing w:line="1" w:lineRule="exact"/>
    </w:pPr>
    <w:r>
      <w:rPr>
        <w:noProof/>
      </w:rPr>
      <mc:AlternateContent>
        <mc:Choice Requires="wps">
          <w:drawing>
            <wp:anchor distT="0" distB="0" distL="0" distR="0" simplePos="0" relativeHeight="252116992" behindDoc="1" locked="0" layoutInCell="1" allowOverlap="1" wp14:anchorId="1FDB02CA" wp14:editId="3006CA63">
              <wp:simplePos x="0" y="0"/>
              <wp:positionH relativeFrom="page">
                <wp:posOffset>1986280</wp:posOffset>
              </wp:positionH>
              <wp:positionV relativeFrom="page">
                <wp:posOffset>307975</wp:posOffset>
              </wp:positionV>
              <wp:extent cx="2880360" cy="79375"/>
              <wp:effectExtent l="0" t="0" r="0" b="0"/>
              <wp:wrapNone/>
              <wp:docPr id="1165" name="Shape 1165"/>
              <wp:cNvGraphicFramePr/>
              <a:graphic xmlns:a="http://schemas.openxmlformats.org/drawingml/2006/main">
                <a:graphicData uri="http://schemas.microsoft.com/office/word/2010/wordprocessingShape">
                  <wps:wsp>
                    <wps:cNvSpPr txBox="1"/>
                    <wps:spPr>
                      <a:xfrm>
                        <a:off x="0" y="0"/>
                        <a:ext cx="2880360" cy="79375"/>
                      </a:xfrm>
                      <a:prstGeom prst="rect">
                        <a:avLst/>
                      </a:prstGeom>
                      <a:noFill/>
                    </wps:spPr>
                    <wps:txbx>
                      <w:txbxContent>
                        <w:p w14:paraId="084D3514" w14:textId="77777777" w:rsidR="00093A32" w:rsidRDefault="00093A32">
                          <w:pPr>
                            <w:pStyle w:val="Headerorfooter0"/>
                            <w:tabs>
                              <w:tab w:val="right" w:pos="4536"/>
                            </w:tabs>
                            <w:rPr>
                              <w:sz w:val="16"/>
                              <w:szCs w:val="16"/>
                            </w:rPr>
                          </w:pPr>
                          <w:r>
                            <w:rPr>
                              <w:i/>
                              <w:iCs/>
                              <w:sz w:val="13"/>
                              <w:szCs w:val="13"/>
                            </w:rPr>
                            <w:t>KINGELLA KINGAE,</w:t>
                          </w:r>
                          <w:r>
                            <w:t xml:space="preserve"> INFECCIONES</w:t>
                          </w:r>
                          <w:r>
                            <w:tab/>
                          </w:r>
                          <w:r>
                            <w:rPr>
                              <w:sz w:val="16"/>
                              <w:szCs w:val="16"/>
                            </w:rPr>
                            <w:t>463</w:t>
                          </w:r>
                        </w:p>
                      </w:txbxContent>
                    </wps:txbx>
                    <wps:bodyPr lIns="0" tIns="0" rIns="0" bIns="0">
                      <a:spAutoFit/>
                    </wps:bodyPr>
                  </wps:wsp>
                </a:graphicData>
              </a:graphic>
            </wp:anchor>
          </w:drawing>
        </mc:Choice>
        <mc:Fallback>
          <w:pict>
            <v:shapetype w14:anchorId="1FDB02CA" id="_x0000_t202" coordsize="21600,21600" o:spt="202" path="m,l,21600r21600,l21600,xe">
              <v:stroke joinstyle="miter"/>
              <v:path gradientshapeok="t" o:connecttype="rect"/>
            </v:shapetype>
            <v:shape id="Shape 1165" o:spid="_x0000_s1260" type="#_x0000_t202" style="position:absolute;margin-left:156.4pt;margin-top:24.25pt;width:226.8pt;height:6.25pt;z-index:-2511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" filled="f" stroked="f">
              <v:textbox style="mso-fit-shape-to-text:t" inset="0,0,0,0">
                <w:txbxContent>
                  <w:p w14:paraId="084D3514" w14:textId="77777777" w:rsidR="00093A32" w:rsidRDefault="00093A32">
                    <w:pPr>
                      <w:pStyle w:val="Headerorfooter0"/>
                      <w:tabs>
                        <w:tab w:val="right" w:pos="4536"/>
                      </w:tabs>
                      <w:rPr>
                        <w:sz w:val="16"/>
                        <w:szCs w:val="16"/>
                      </w:rPr>
                    </w:pPr>
                    <w:r>
                      <w:rPr>
                        <w:i/>
                        <w:iCs/>
                        <w:sz w:val="13"/>
                        <w:szCs w:val="13"/>
                      </w:rPr>
                      <w:t>KINGELLA KINGAE,</w:t>
                    </w:r>
                    <w:r>
                      <w:t xml:space="preserve"> INFECCIONES</w:t>
                    </w:r>
                    <w:r>
                      <w:tab/>
                    </w:r>
                    <w:r>
                      <w:rPr>
                        <w:sz w:val="16"/>
                        <w:szCs w:val="16"/>
                      </w:rPr>
                      <w:t>463</w:t>
                    </w:r>
                  </w:p>
                </w:txbxContent>
              </v:textbox>
              <w10:wrap anchorx="page" anchory="page"/>
            </v:shape>
          </w:pict>
        </mc:Fallback>
      </mc:AlternateContent>
    </w:r>
    <w:r>
      <w:rPr>
        <w:noProof/>
      </w:rPr>
      <mc:AlternateContent>
        <mc:Choice Requires="wps">
          <w:drawing>
            <wp:anchor distT="0" distB="0" distL="114300" distR="114300" simplePos="0" relativeHeight="251875328" behindDoc="1" locked="0" layoutInCell="1" allowOverlap="1" wp14:anchorId="0F8F0AFD" wp14:editId="7DA54946">
              <wp:simplePos x="0" y="0"/>
              <wp:positionH relativeFrom="page">
                <wp:posOffset>529590</wp:posOffset>
              </wp:positionH>
              <wp:positionV relativeFrom="page">
                <wp:posOffset>416560</wp:posOffset>
              </wp:positionV>
              <wp:extent cx="4358640" cy="0"/>
              <wp:effectExtent l="0" t="0" r="0" b="0"/>
              <wp:wrapNone/>
              <wp:docPr id="1167" name="Shape 11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11C2CEC" id="_x0000_t32" coordsize="21600,21600" o:spt="32" o:oned="t" path="m,l21600,21600e" filled="f">
              <v:path arrowok="t" fillok="f" o:connecttype="none"/>
              <o:lock v:ext="edit" shapetype="t"/>
            </v:shapetype>
            <v:shape id="Shape 1167" o:spid="_x0000_s1026" type="#_x0000_t32" style="position:absolute;margin-left:41.7pt;margin-top:32.8pt;width:343.2pt;height:0;z-index:-2514411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JoH&#10;hw7aAAAACAEAAA8AAAAAAAAAAAAAAAAAwgMAAGRycy9kb3ducmV2LnhtbFBLBQYAAAAABAAEAPMA&#10;AADJBAAAAAA=&#10;" strokeweight="1pt">
              <w10:wrap anchorx="page" anchory="page"/>
            </v:shape>
          </w:pict>
        </mc:Fallback>
      </mc:AlternateConten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DDA8" w14:textId="77777777" w:rsidR="00093A32" w:rsidRDefault="00093A32">
    <w:pPr>
      <w:spacing w:line="1" w:lineRule="exact"/>
    </w:pPr>
    <w:r>
      <w:rPr>
        <w:noProof/>
      </w:rPr>
      <mc:AlternateContent>
        <mc:Choice Requires="wps">
          <w:drawing>
            <wp:anchor distT="0" distB="0" distL="0" distR="0" simplePos="0" relativeHeight="252120064" behindDoc="1" locked="0" layoutInCell="1" allowOverlap="1" wp14:anchorId="48F8F991" wp14:editId="128B0253">
              <wp:simplePos x="0" y="0"/>
              <wp:positionH relativeFrom="page">
                <wp:posOffset>2368550</wp:posOffset>
              </wp:positionH>
              <wp:positionV relativeFrom="page">
                <wp:posOffset>317500</wp:posOffset>
              </wp:positionV>
              <wp:extent cx="2493010" cy="69850"/>
              <wp:effectExtent l="0" t="0" r="0" b="0"/>
              <wp:wrapNone/>
              <wp:docPr id="1174" name="Shape 1174"/>
              <wp:cNvGraphicFramePr/>
              <a:graphic xmlns:a="http://schemas.openxmlformats.org/drawingml/2006/main">
                <a:graphicData uri="http://schemas.microsoft.com/office/word/2010/wordprocessingShape">
                  <wps:wsp>
                    <wps:cNvSpPr txBox="1"/>
                    <wps:spPr>
                      <a:xfrm>
                        <a:off x="0" y="0"/>
                        <a:ext cx="2493010" cy="69850"/>
                      </a:xfrm>
                      <a:prstGeom prst="rect">
                        <a:avLst/>
                      </a:prstGeom>
                      <a:noFill/>
                    </wps:spPr>
                    <wps:txbx>
                      <w:txbxContent>
                        <w:p w14:paraId="56DA113C" w14:textId="77777777" w:rsidR="00093A32" w:rsidRDefault="00093A32">
                          <w:pPr>
                            <w:pStyle w:val="Headerorfooter0"/>
                            <w:tabs>
                              <w:tab w:val="right" w:pos="3926"/>
                            </w:tabs>
                            <w:rPr>
                              <w:sz w:val="16"/>
                              <w:szCs w:val="16"/>
                            </w:rPr>
                          </w:pPr>
                          <w:r>
                            <w:t>LEISHMANIASIS</w:t>
                          </w:r>
                          <w:r>
                            <w:tab/>
                          </w:r>
                          <w:r>
                            <w:rPr>
                              <w:sz w:val="16"/>
                              <w:szCs w:val="16"/>
                            </w:rPr>
                            <w:t>465</w:t>
                          </w:r>
                        </w:p>
                      </w:txbxContent>
                    </wps:txbx>
                    <wps:bodyPr lIns="0" tIns="0" rIns="0" bIns="0">
                      <a:spAutoFit/>
                    </wps:bodyPr>
                  </wps:wsp>
                </a:graphicData>
              </a:graphic>
            </wp:anchor>
          </w:drawing>
        </mc:Choice>
        <mc:Fallback>
          <w:pict>
            <v:shapetype w14:anchorId="48F8F991" id="_x0000_t202" coordsize="21600,21600" o:spt="202" path="m,l,21600r21600,l21600,xe">
              <v:stroke joinstyle="miter"/>
              <v:path gradientshapeok="t" o:connecttype="rect"/>
            </v:shapetype>
            <v:shape id="Shape 1174" o:spid="_x0000_s1261" type="#_x0000_t202" style="position:absolute;margin-left:186.5pt;margin-top:25pt;width:196.3pt;height:5.5pt;z-index:-2511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" filled="f" stroked="f">
              <v:textbox style="mso-fit-shape-to-text:t" inset="0,0,0,0">
                <w:txbxContent>
                  <w:p w14:paraId="56DA113C" w14:textId="77777777" w:rsidR="00093A32" w:rsidRDefault="00093A32">
                    <w:pPr>
                      <w:pStyle w:val="Headerorfooter0"/>
                      <w:tabs>
                        <w:tab w:val="right" w:pos="3926"/>
                      </w:tabs>
                      <w:rPr>
                        <w:sz w:val="16"/>
                        <w:szCs w:val="16"/>
                      </w:rPr>
                    </w:pPr>
                    <w:r>
                      <w:t>LEISHMANIASIS</w:t>
                    </w:r>
                    <w:r>
                      <w:tab/>
                    </w:r>
                    <w:r>
                      <w:rPr>
                        <w:sz w:val="16"/>
                        <w:szCs w:val="16"/>
                      </w:rPr>
                      <w:t>465</w:t>
                    </w:r>
                  </w:p>
                </w:txbxContent>
              </v:textbox>
              <w10:wrap anchorx="page" anchory="page"/>
            </v:shape>
          </w:pict>
        </mc:Fallback>
      </mc:AlternateContent>
    </w:r>
    <w:r>
      <w:rPr>
        <w:noProof/>
      </w:rPr>
      <mc:AlternateContent>
        <mc:Choice Requires="wps">
          <w:drawing>
            <wp:anchor distT="0" distB="0" distL="114300" distR="114300" simplePos="0" relativeHeight="251878400" behindDoc="1" locked="0" layoutInCell="1" allowOverlap="1" wp14:anchorId="79E4EB09" wp14:editId="5E19C402">
              <wp:simplePos x="0" y="0"/>
              <wp:positionH relativeFrom="page">
                <wp:posOffset>524510</wp:posOffset>
              </wp:positionH>
              <wp:positionV relativeFrom="page">
                <wp:posOffset>425450</wp:posOffset>
              </wp:positionV>
              <wp:extent cx="4358640" cy="0"/>
              <wp:effectExtent l="0" t="0" r="0" b="0"/>
              <wp:wrapNone/>
              <wp:docPr id="1176" name="Shape 11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44CD37E" id="_x0000_t32" coordsize="21600,21600" o:spt="32" o:oned="t" path="m,l21600,21600e" filled="f">
              <v:path arrowok="t" fillok="f" o:connecttype="none"/>
              <o:lock v:ext="edit" shapetype="t"/>
            </v:shapetype>
            <v:shape id="Shape 1176" o:spid="_x0000_s1026" type="#_x0000_t32" style="position:absolute;margin-left:41.3pt;margin-top:33.5pt;width:343.2pt;height:0;z-index:-251438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" strokeweight="1pt">
              <w10:wrap anchorx="page" anchory="page"/>
            </v:shape>
          </w:pict>
        </mc:Fallback>
      </mc:AlternateConten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099B" w14:textId="77777777" w:rsidR="00093A32" w:rsidRDefault="00093A32">
    <w:pPr>
      <w:spacing w:line="1" w:lineRule="exact"/>
    </w:pPr>
    <w:r>
      <w:rPr>
        <w:noProof/>
      </w:rPr>
      <mc:AlternateContent>
        <mc:Choice Requires="wps">
          <w:drawing>
            <wp:anchor distT="0" distB="0" distL="0" distR="0" simplePos="0" relativeHeight="252119040" behindDoc="1" locked="0" layoutInCell="1" allowOverlap="1" wp14:anchorId="1D8177CA" wp14:editId="0ADD4BEA">
              <wp:simplePos x="0" y="0"/>
              <wp:positionH relativeFrom="page">
                <wp:posOffset>2368550</wp:posOffset>
              </wp:positionH>
              <wp:positionV relativeFrom="page">
                <wp:posOffset>317500</wp:posOffset>
              </wp:positionV>
              <wp:extent cx="2493010" cy="69850"/>
              <wp:effectExtent l="0" t="0" r="0" b="0"/>
              <wp:wrapNone/>
              <wp:docPr id="1171" name="Shape 1171"/>
              <wp:cNvGraphicFramePr/>
              <a:graphic xmlns:a="http://schemas.openxmlformats.org/drawingml/2006/main">
                <a:graphicData uri="http://schemas.microsoft.com/office/word/2010/wordprocessingShape">
                  <wps:wsp>
                    <wps:cNvSpPr txBox="1"/>
                    <wps:spPr>
                      <a:xfrm>
                        <a:off x="0" y="0"/>
                        <a:ext cx="2493010" cy="69850"/>
                      </a:xfrm>
                      <a:prstGeom prst="rect">
                        <a:avLst/>
                      </a:prstGeom>
                      <a:noFill/>
                    </wps:spPr>
                    <wps:txbx>
                      <w:txbxContent>
                        <w:p w14:paraId="0EE81135" w14:textId="77777777" w:rsidR="00093A32" w:rsidRDefault="00093A32">
                          <w:pPr>
                            <w:pStyle w:val="Headerorfooter0"/>
                            <w:tabs>
                              <w:tab w:val="right" w:pos="3926"/>
                            </w:tabs>
                            <w:rPr>
                              <w:sz w:val="16"/>
                              <w:szCs w:val="16"/>
                            </w:rPr>
                          </w:pPr>
                          <w:r>
                            <w:t>LEISHMANIASIS</w:t>
                          </w:r>
                          <w:r>
                            <w:tab/>
                          </w:r>
                          <w:r>
                            <w:rPr>
                              <w:sz w:val="16"/>
                              <w:szCs w:val="16"/>
                            </w:rPr>
                            <w:t>465</w:t>
                          </w:r>
                        </w:p>
                      </w:txbxContent>
                    </wps:txbx>
                    <wps:bodyPr lIns="0" tIns="0" rIns="0" bIns="0">
                      <a:spAutoFit/>
                    </wps:bodyPr>
                  </wps:wsp>
                </a:graphicData>
              </a:graphic>
            </wp:anchor>
          </w:drawing>
        </mc:Choice>
        <mc:Fallback>
          <w:pict>
            <v:shapetype w14:anchorId="1D8177CA" id="_x0000_t202" coordsize="21600,21600" o:spt="202" path="m,l,21600r21600,l21600,xe">
              <v:stroke joinstyle="miter"/>
              <v:path gradientshapeok="t" o:connecttype="rect"/>
            </v:shapetype>
            <v:shape id="Shape 1171" o:spid="_x0000_s1262" type="#_x0000_t202" style="position:absolute;margin-left:186.5pt;margin-top:25pt;width:196.3pt;height:5.5pt;z-index:-2511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" filled="f" stroked="f">
              <v:textbox style="mso-fit-shape-to-text:t" inset="0,0,0,0">
                <w:txbxContent>
                  <w:p w14:paraId="0EE81135" w14:textId="77777777" w:rsidR="00093A32" w:rsidRDefault="00093A32">
                    <w:pPr>
                      <w:pStyle w:val="Headerorfooter0"/>
                      <w:tabs>
                        <w:tab w:val="right" w:pos="3926"/>
                      </w:tabs>
                      <w:rPr>
                        <w:sz w:val="16"/>
                        <w:szCs w:val="16"/>
                      </w:rPr>
                    </w:pPr>
                    <w:r>
                      <w:t>LEISHMANIASIS</w:t>
                    </w:r>
                    <w:r>
                      <w:tab/>
                    </w:r>
                    <w:r>
                      <w:rPr>
                        <w:sz w:val="16"/>
                        <w:szCs w:val="16"/>
                      </w:rPr>
                      <w:t>465</w:t>
                    </w:r>
                  </w:p>
                </w:txbxContent>
              </v:textbox>
              <w10:wrap anchorx="page" anchory="page"/>
            </v:shape>
          </w:pict>
        </mc:Fallback>
      </mc:AlternateContent>
    </w:r>
    <w:r>
      <w:rPr>
        <w:noProof/>
      </w:rPr>
      <mc:AlternateContent>
        <mc:Choice Requires="wps">
          <w:drawing>
            <wp:anchor distT="0" distB="0" distL="114300" distR="114300" simplePos="0" relativeHeight="251877376" behindDoc="1" locked="0" layoutInCell="1" allowOverlap="1" wp14:anchorId="66B60714" wp14:editId="703A7782">
              <wp:simplePos x="0" y="0"/>
              <wp:positionH relativeFrom="page">
                <wp:posOffset>524510</wp:posOffset>
              </wp:positionH>
              <wp:positionV relativeFrom="page">
                <wp:posOffset>425450</wp:posOffset>
              </wp:positionV>
              <wp:extent cx="4358640" cy="0"/>
              <wp:effectExtent l="0" t="0" r="0" b="0"/>
              <wp:wrapNone/>
              <wp:docPr id="1173" name="Shape 117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9AE52E" id="_x0000_t32" coordsize="21600,21600" o:spt="32" o:oned="t" path="m,l21600,21600e" filled="f">
              <v:path arrowok="t" fillok="f" o:connecttype="none"/>
              <o:lock v:ext="edit" shapetype="t"/>
            </v:shapetype>
            <v:shape id="Shape 1173" o:spid="_x0000_s1026" type="#_x0000_t32" style="position:absolute;margin-left:41.3pt;margin-top:33.5pt;width:343.2pt;height:0;z-index:-2514391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" strokeweight="1pt">
              <w10:wrap anchorx="page" anchory="page"/>
            </v:shape>
          </w:pict>
        </mc:Fallback>
      </mc:AlternateContent>
    </w: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8DFE" w14:textId="77777777" w:rsidR="00093A32" w:rsidRDefault="00093A32">
    <w:pPr>
      <w:spacing w:line="1" w:lineRule="exact"/>
    </w:pPr>
    <w:r>
      <w:rPr>
        <w:noProof/>
      </w:rPr>
      <mc:AlternateContent>
        <mc:Choice Requires="wps">
          <w:drawing>
            <wp:anchor distT="0" distB="0" distL="0" distR="0" simplePos="0" relativeHeight="252121088" behindDoc="1" locked="0" layoutInCell="1" allowOverlap="1" wp14:anchorId="0E07AFFD" wp14:editId="57F736D4">
              <wp:simplePos x="0" y="0"/>
              <wp:positionH relativeFrom="page">
                <wp:posOffset>532130</wp:posOffset>
              </wp:positionH>
              <wp:positionV relativeFrom="page">
                <wp:posOffset>307975</wp:posOffset>
              </wp:positionV>
              <wp:extent cx="3090545" cy="79375"/>
              <wp:effectExtent l="0" t="0" r="0" b="0"/>
              <wp:wrapNone/>
              <wp:docPr id="1177" name="Shape 1177"/>
              <wp:cNvGraphicFramePr/>
              <a:graphic xmlns:a="http://schemas.openxmlformats.org/drawingml/2006/main">
                <a:graphicData uri="http://schemas.microsoft.com/office/word/2010/wordprocessingShape">
                  <wps:wsp>
                    <wps:cNvSpPr txBox="1"/>
                    <wps:spPr>
                      <a:xfrm>
                        <a:off x="0" y="0"/>
                        <a:ext cx="3090545" cy="79375"/>
                      </a:xfrm>
                      <a:prstGeom prst="rect">
                        <a:avLst/>
                      </a:prstGeom>
                      <a:noFill/>
                    </wps:spPr>
                    <wps:txbx>
                      <w:txbxContent>
                        <w:p w14:paraId="3D29BD6C" w14:textId="77777777" w:rsidR="00093A32" w:rsidRDefault="00093A32">
                          <w:pPr>
                            <w:pStyle w:val="Headerorfooter0"/>
                            <w:tabs>
                              <w:tab w:val="right" w:pos="4867"/>
                            </w:tabs>
                          </w:pPr>
                          <w:r>
                            <w:rPr>
                              <w:sz w:val="16"/>
                              <w:szCs w:val="16"/>
                            </w:rPr>
                            <w:t>464</w:t>
                          </w:r>
                          <w:r>
                            <w:rPr>
                              <w:sz w:val="16"/>
                              <w:szCs w:val="16"/>
                            </w:rPr>
                            <w:tab/>
                          </w:r>
                          <w:r>
                            <w:rPr>
                              <w:i/>
                              <w:iCs/>
                              <w:sz w:val="13"/>
                              <w:szCs w:val="13"/>
                            </w:rPr>
                            <w:t>LEGIONELLA PNEUMOPHILA,</w:t>
                          </w:r>
                          <w:r>
                            <w:t xml:space="preserve"> INFECCIONES</w:t>
                          </w:r>
                        </w:p>
                      </w:txbxContent>
                    </wps:txbx>
                    <wps:bodyPr lIns="0" tIns="0" rIns="0" bIns="0">
                      <a:spAutoFit/>
                    </wps:bodyPr>
                  </wps:wsp>
                </a:graphicData>
              </a:graphic>
            </wp:anchor>
          </w:drawing>
        </mc:Choice>
        <mc:Fallback>
          <w:pict>
            <v:shapetype w14:anchorId="0E07AFFD" id="_x0000_t202" coordsize="21600,21600" o:spt="202" path="m,l,21600r21600,l21600,xe">
              <v:stroke joinstyle="miter"/>
              <v:path gradientshapeok="t" o:connecttype="rect"/>
            </v:shapetype>
            <v:shape id="Shape 1177" o:spid="_x0000_s1263" type="#_x0000_t202" style="position:absolute;margin-left:41.9pt;margin-top:24.25pt;width:243.35pt;height:6.25pt;z-index:-2511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" filled="f" stroked="f">
              <v:textbox style="mso-fit-shape-to-text:t" inset="0,0,0,0">
                <w:txbxContent>
                  <w:p w14:paraId="3D29BD6C" w14:textId="77777777" w:rsidR="00093A32" w:rsidRDefault="00093A32">
                    <w:pPr>
                      <w:pStyle w:val="Headerorfooter0"/>
                      <w:tabs>
                        <w:tab w:val="right" w:pos="4867"/>
                      </w:tabs>
                    </w:pPr>
                    <w:r>
                      <w:rPr>
                        <w:sz w:val="16"/>
                        <w:szCs w:val="16"/>
                      </w:rPr>
                      <w:t>464</w:t>
                    </w:r>
                    <w:r>
                      <w:rPr>
                        <w:sz w:val="16"/>
                        <w:szCs w:val="16"/>
                      </w:rPr>
                      <w:tab/>
                    </w:r>
                    <w:r>
                      <w:rPr>
                        <w:i/>
                        <w:iCs/>
                        <w:sz w:val="13"/>
                        <w:szCs w:val="13"/>
                      </w:rPr>
                      <w:t>LEGIONELLA PNEUMOPHILA,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79424" behindDoc="1" locked="0" layoutInCell="1" allowOverlap="1" wp14:anchorId="41FF4C84" wp14:editId="7A273433">
              <wp:simplePos x="0" y="0"/>
              <wp:positionH relativeFrom="page">
                <wp:posOffset>516890</wp:posOffset>
              </wp:positionH>
              <wp:positionV relativeFrom="page">
                <wp:posOffset>416560</wp:posOffset>
              </wp:positionV>
              <wp:extent cx="4358640" cy="0"/>
              <wp:effectExtent l="0" t="0" r="0" b="0"/>
              <wp:wrapNone/>
              <wp:docPr id="1179" name="Shape 11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CBE836" id="_x0000_t32" coordsize="21600,21600" o:spt="32" o:oned="t" path="m,l21600,21600e" filled="f">
              <v:path arrowok="t" fillok="f" o:connecttype="none"/>
              <o:lock v:ext="edit" shapetype="t"/>
            </v:shapetype>
            <v:shape id="Shape 1179" o:spid="_x0000_s1026" type="#_x0000_t32" style="position:absolute;margin-left:40.7pt;margin-top:32.8pt;width:343.2pt;height:0;z-index:-2514370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OW3&#10;yZraAAAACAEAAA8AAAAAAAAAAAAAAAAAwgMAAGRycy9kb3ducmV2LnhtbFBLBQYAAAAABAAEAPMA&#10;AADJBAAAAAA=&#10;" strokeweight="1pt">
              <w10:wrap anchorx="page" anchory="page"/>
            </v:shape>
          </w:pict>
        </mc:Fallback>
      </mc:AlternateConten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75F9" w14:textId="77777777" w:rsidR="00093A32" w:rsidRDefault="00093A32">
    <w:pPr>
      <w:spacing w:line="1" w:lineRule="exact"/>
    </w:pPr>
    <w:r>
      <w:rPr>
        <w:noProof/>
      </w:rPr>
      <mc:AlternateContent>
        <mc:Choice Requires="wps">
          <w:drawing>
            <wp:anchor distT="0" distB="0" distL="0" distR="0" simplePos="0" relativeHeight="252123136" behindDoc="1" locked="0" layoutInCell="1" allowOverlap="1" wp14:anchorId="4D0A76F9" wp14:editId="2582FE68">
              <wp:simplePos x="0" y="0"/>
              <wp:positionH relativeFrom="page">
                <wp:posOffset>2368550</wp:posOffset>
              </wp:positionH>
              <wp:positionV relativeFrom="page">
                <wp:posOffset>317500</wp:posOffset>
              </wp:positionV>
              <wp:extent cx="2493010" cy="69850"/>
              <wp:effectExtent l="0" t="0" r="0" b="0"/>
              <wp:wrapNone/>
              <wp:docPr id="1183" name="Shape 1183"/>
              <wp:cNvGraphicFramePr/>
              <a:graphic xmlns:a="http://schemas.openxmlformats.org/drawingml/2006/main">
                <a:graphicData uri="http://schemas.microsoft.com/office/word/2010/wordprocessingShape">
                  <wps:wsp>
                    <wps:cNvSpPr txBox="1"/>
                    <wps:spPr>
                      <a:xfrm>
                        <a:off x="0" y="0"/>
                        <a:ext cx="2493010" cy="69850"/>
                      </a:xfrm>
                      <a:prstGeom prst="rect">
                        <a:avLst/>
                      </a:prstGeom>
                      <a:noFill/>
                    </wps:spPr>
                    <wps:txbx>
                      <w:txbxContent>
                        <w:p w14:paraId="1A0A3990" w14:textId="77777777" w:rsidR="00093A32" w:rsidRDefault="00093A32">
                          <w:pPr>
                            <w:pStyle w:val="Headerorfooter0"/>
                            <w:tabs>
                              <w:tab w:val="right" w:pos="3926"/>
                            </w:tabs>
                            <w:rPr>
                              <w:sz w:val="16"/>
                              <w:szCs w:val="16"/>
                            </w:rPr>
                          </w:pPr>
                          <w:r>
                            <w:t>LEISHMANIASIS</w:t>
                          </w:r>
                          <w:r>
                            <w:tab/>
                          </w:r>
                          <w:r>
                            <w:rPr>
                              <w:sz w:val="16"/>
                              <w:szCs w:val="16"/>
                            </w:rPr>
                            <w:t>465</w:t>
                          </w:r>
                        </w:p>
                      </w:txbxContent>
                    </wps:txbx>
                    <wps:bodyPr lIns="0" tIns="0" rIns="0" bIns="0">
                      <a:spAutoFit/>
                    </wps:bodyPr>
                  </wps:wsp>
                </a:graphicData>
              </a:graphic>
            </wp:anchor>
          </w:drawing>
        </mc:Choice>
        <mc:Fallback>
          <w:pict>
            <v:shapetype w14:anchorId="4D0A76F9" id="_x0000_t202" coordsize="21600,21600" o:spt="202" path="m,l,21600r21600,l21600,xe">
              <v:stroke joinstyle="miter"/>
              <v:path gradientshapeok="t" o:connecttype="rect"/>
            </v:shapetype>
            <v:shape id="Shape 1183" o:spid="_x0000_s1264" type="#_x0000_t202" style="position:absolute;margin-left:186.5pt;margin-top:25pt;width:196.3pt;height:5.5pt;z-index:-2511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" filled="f" stroked="f">
              <v:textbox style="mso-fit-shape-to-text:t" inset="0,0,0,0">
                <w:txbxContent>
                  <w:p w14:paraId="1A0A3990" w14:textId="77777777" w:rsidR="00093A32" w:rsidRDefault="00093A32">
                    <w:pPr>
                      <w:pStyle w:val="Headerorfooter0"/>
                      <w:tabs>
                        <w:tab w:val="right" w:pos="3926"/>
                      </w:tabs>
                      <w:rPr>
                        <w:sz w:val="16"/>
                        <w:szCs w:val="16"/>
                      </w:rPr>
                    </w:pPr>
                    <w:r>
                      <w:t>LEISHMANIASIS</w:t>
                    </w:r>
                    <w:r>
                      <w:tab/>
                    </w:r>
                    <w:r>
                      <w:rPr>
                        <w:sz w:val="16"/>
                        <w:szCs w:val="16"/>
                      </w:rPr>
                      <w:t>465</w:t>
                    </w:r>
                  </w:p>
                </w:txbxContent>
              </v:textbox>
              <w10:wrap anchorx="page" anchory="page"/>
            </v:shape>
          </w:pict>
        </mc:Fallback>
      </mc:AlternateContent>
    </w:r>
    <w:r>
      <w:rPr>
        <w:noProof/>
      </w:rPr>
      <mc:AlternateContent>
        <mc:Choice Requires="wps">
          <w:drawing>
            <wp:anchor distT="0" distB="0" distL="114300" distR="114300" simplePos="0" relativeHeight="251881472" behindDoc="1" locked="0" layoutInCell="1" allowOverlap="1" wp14:anchorId="2D66AE5B" wp14:editId="573B92FA">
              <wp:simplePos x="0" y="0"/>
              <wp:positionH relativeFrom="page">
                <wp:posOffset>524510</wp:posOffset>
              </wp:positionH>
              <wp:positionV relativeFrom="page">
                <wp:posOffset>425450</wp:posOffset>
              </wp:positionV>
              <wp:extent cx="4358640" cy="0"/>
              <wp:effectExtent l="0" t="0" r="0" b="0"/>
              <wp:wrapNone/>
              <wp:docPr id="1185" name="Shape 11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986A94D" id="_x0000_t32" coordsize="21600,21600" o:spt="32" o:oned="t" path="m,l21600,21600e" filled="f">
              <v:path arrowok="t" fillok="f" o:connecttype="none"/>
              <o:lock v:ext="edit" shapetype="t"/>
            </v:shapetype>
            <v:shape id="Shape 1185" o:spid="_x0000_s1026" type="#_x0000_t32" style="position:absolute;margin-left:41.3pt;margin-top:33.5pt;width:343.2pt;height:0;z-index:-2514350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" strokeweight="1pt">
              <w10:wrap anchorx="page" anchory="page"/>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2054" w14:textId="77777777" w:rsidR="00093A32" w:rsidRDefault="00093A32">
    <w:pPr>
      <w:spacing w:line="1" w:lineRule="exact"/>
    </w:pPr>
    <w:r>
      <w:rPr>
        <w:noProof/>
      </w:rPr>
      <mc:AlternateContent>
        <mc:Choice Requires="wps">
          <w:drawing>
            <wp:anchor distT="0" distB="0" distL="0" distR="0" simplePos="0" relativeHeight="252122112" behindDoc="1" locked="0" layoutInCell="1" allowOverlap="1" wp14:anchorId="23826A52" wp14:editId="5D359C09">
              <wp:simplePos x="0" y="0"/>
              <wp:positionH relativeFrom="page">
                <wp:posOffset>2368550</wp:posOffset>
              </wp:positionH>
              <wp:positionV relativeFrom="page">
                <wp:posOffset>317500</wp:posOffset>
              </wp:positionV>
              <wp:extent cx="2493010" cy="69850"/>
              <wp:effectExtent l="0" t="0" r="0" b="0"/>
              <wp:wrapNone/>
              <wp:docPr id="1180" name="Shape 1180"/>
              <wp:cNvGraphicFramePr/>
              <a:graphic xmlns:a="http://schemas.openxmlformats.org/drawingml/2006/main">
                <a:graphicData uri="http://schemas.microsoft.com/office/word/2010/wordprocessingShape">
                  <wps:wsp>
                    <wps:cNvSpPr txBox="1"/>
                    <wps:spPr>
                      <a:xfrm>
                        <a:off x="0" y="0"/>
                        <a:ext cx="2493010" cy="69850"/>
                      </a:xfrm>
                      <a:prstGeom prst="rect">
                        <a:avLst/>
                      </a:prstGeom>
                      <a:noFill/>
                    </wps:spPr>
                    <wps:txbx>
                      <w:txbxContent>
                        <w:p w14:paraId="165AF3FC" w14:textId="77777777" w:rsidR="00093A32" w:rsidRDefault="00093A32">
                          <w:pPr>
                            <w:pStyle w:val="Headerorfooter0"/>
                            <w:tabs>
                              <w:tab w:val="right" w:pos="3926"/>
                            </w:tabs>
                            <w:rPr>
                              <w:sz w:val="16"/>
                              <w:szCs w:val="16"/>
                            </w:rPr>
                          </w:pPr>
                          <w:r>
                            <w:t>LEISHMANIASIS</w:t>
                          </w:r>
                          <w:r>
                            <w:tab/>
                          </w:r>
                          <w:r>
                            <w:rPr>
                              <w:sz w:val="16"/>
                              <w:szCs w:val="16"/>
                            </w:rPr>
                            <w:t>465</w:t>
                          </w:r>
                        </w:p>
                      </w:txbxContent>
                    </wps:txbx>
                    <wps:bodyPr lIns="0" tIns="0" rIns="0" bIns="0">
                      <a:spAutoFit/>
                    </wps:bodyPr>
                  </wps:wsp>
                </a:graphicData>
              </a:graphic>
            </wp:anchor>
          </w:drawing>
        </mc:Choice>
        <mc:Fallback>
          <w:pict>
            <v:shapetype w14:anchorId="23826A52" id="_x0000_t202" coordsize="21600,21600" o:spt="202" path="m,l,21600r21600,l21600,xe">
              <v:stroke joinstyle="miter"/>
              <v:path gradientshapeok="t" o:connecttype="rect"/>
            </v:shapetype>
            <v:shape id="Shape 1180" o:spid="_x0000_s1265" type="#_x0000_t202" style="position:absolute;margin-left:186.5pt;margin-top:25pt;width:196.3pt;height:5.5pt;z-index:-2511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" filled="f" stroked="f">
              <v:textbox style="mso-fit-shape-to-text:t" inset="0,0,0,0">
                <w:txbxContent>
                  <w:p w14:paraId="165AF3FC" w14:textId="77777777" w:rsidR="00093A32" w:rsidRDefault="00093A32">
                    <w:pPr>
                      <w:pStyle w:val="Headerorfooter0"/>
                      <w:tabs>
                        <w:tab w:val="right" w:pos="3926"/>
                      </w:tabs>
                      <w:rPr>
                        <w:sz w:val="16"/>
                        <w:szCs w:val="16"/>
                      </w:rPr>
                    </w:pPr>
                    <w:r>
                      <w:t>LEISHMANIASIS</w:t>
                    </w:r>
                    <w:r>
                      <w:tab/>
                    </w:r>
                    <w:r>
                      <w:rPr>
                        <w:sz w:val="16"/>
                        <w:szCs w:val="16"/>
                      </w:rPr>
                      <w:t>465</w:t>
                    </w:r>
                  </w:p>
                </w:txbxContent>
              </v:textbox>
              <w10:wrap anchorx="page" anchory="page"/>
            </v:shape>
          </w:pict>
        </mc:Fallback>
      </mc:AlternateContent>
    </w:r>
    <w:r>
      <w:rPr>
        <w:noProof/>
      </w:rPr>
      <mc:AlternateContent>
        <mc:Choice Requires="wps">
          <w:drawing>
            <wp:anchor distT="0" distB="0" distL="114300" distR="114300" simplePos="0" relativeHeight="251880448" behindDoc="1" locked="0" layoutInCell="1" allowOverlap="1" wp14:anchorId="6CAFF3B6" wp14:editId="35258348">
              <wp:simplePos x="0" y="0"/>
              <wp:positionH relativeFrom="page">
                <wp:posOffset>524510</wp:posOffset>
              </wp:positionH>
              <wp:positionV relativeFrom="page">
                <wp:posOffset>425450</wp:posOffset>
              </wp:positionV>
              <wp:extent cx="4358640" cy="0"/>
              <wp:effectExtent l="0" t="0" r="0" b="0"/>
              <wp:wrapNone/>
              <wp:docPr id="1182" name="Shape 11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890F86E" id="_x0000_t32" coordsize="21600,21600" o:spt="32" o:oned="t" path="m,l21600,21600e" filled="f">
              <v:path arrowok="t" fillok="f" o:connecttype="none"/>
              <o:lock v:ext="edit" shapetype="t"/>
            </v:shapetype>
            <v:shape id="Shape 1182" o:spid="_x0000_s1026" type="#_x0000_t32" style="position:absolute;margin-left:41.3pt;margin-top:33.5pt;width:343.2pt;height:0;z-index:-251436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" strokeweight="1pt">
              <w10:wrap anchorx="page" anchory="page"/>
            </v:shape>
          </w:pict>
        </mc:Fallback>
      </mc:AlternateConten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C23" w14:textId="77777777" w:rsidR="00093A32" w:rsidRDefault="00093A32">
    <w:pPr>
      <w:spacing w:line="1" w:lineRule="exact"/>
    </w:pPr>
    <w:r>
      <w:rPr>
        <w:noProof/>
      </w:rPr>
      <mc:AlternateContent>
        <mc:Choice Requires="wps">
          <w:drawing>
            <wp:anchor distT="0" distB="0" distL="0" distR="0" simplePos="0" relativeHeight="252124160" behindDoc="1" locked="0" layoutInCell="1" allowOverlap="1" wp14:anchorId="7B2A25DD" wp14:editId="1AFB7EC8">
              <wp:simplePos x="0" y="0"/>
              <wp:positionH relativeFrom="page">
                <wp:posOffset>541655</wp:posOffset>
              </wp:positionH>
              <wp:positionV relativeFrom="page">
                <wp:posOffset>317500</wp:posOffset>
              </wp:positionV>
              <wp:extent cx="2499360" cy="69850"/>
              <wp:effectExtent l="0" t="0" r="0" b="0"/>
              <wp:wrapNone/>
              <wp:docPr id="1186" name="Shape 1186"/>
              <wp:cNvGraphicFramePr/>
              <a:graphic xmlns:a="http://schemas.openxmlformats.org/drawingml/2006/main">
                <a:graphicData uri="http://schemas.microsoft.com/office/word/2010/wordprocessingShape">
                  <wps:wsp>
                    <wps:cNvSpPr txBox="1"/>
                    <wps:spPr>
                      <a:xfrm>
                        <a:off x="0" y="0"/>
                        <a:ext cx="2499360" cy="69850"/>
                      </a:xfrm>
                      <a:prstGeom prst="rect">
                        <a:avLst/>
                      </a:prstGeom>
                      <a:noFill/>
                    </wps:spPr>
                    <wps:txbx>
                      <w:txbxContent>
                        <w:p w14:paraId="79360559" w14:textId="77777777" w:rsidR="00093A32" w:rsidRDefault="00093A32">
                          <w:pPr>
                            <w:pStyle w:val="Headerorfooter0"/>
                            <w:tabs>
                              <w:tab w:val="right" w:pos="3936"/>
                            </w:tabs>
                          </w:pPr>
                          <w:r>
                            <w:rPr>
                              <w:sz w:val="16"/>
                              <w:szCs w:val="16"/>
                            </w:rPr>
                            <w:t>466</w:t>
                          </w:r>
                          <w:r>
                            <w:rPr>
                              <w:sz w:val="16"/>
                              <w:szCs w:val="16"/>
                            </w:rPr>
                            <w:tab/>
                          </w:r>
                          <w:r>
                            <w:t>LEISHMANIASIS</w:t>
                          </w:r>
                        </w:p>
                      </w:txbxContent>
                    </wps:txbx>
                    <wps:bodyPr lIns="0" tIns="0" rIns="0" bIns="0">
                      <a:spAutoFit/>
                    </wps:bodyPr>
                  </wps:wsp>
                </a:graphicData>
              </a:graphic>
            </wp:anchor>
          </w:drawing>
        </mc:Choice>
        <mc:Fallback>
          <w:pict>
            <v:shapetype w14:anchorId="7B2A25DD" id="_x0000_t202" coordsize="21600,21600" o:spt="202" path="m,l,21600r21600,l21600,xe">
              <v:stroke joinstyle="miter"/>
              <v:path gradientshapeok="t" o:connecttype="rect"/>
            </v:shapetype>
            <v:shape id="Shape 1186" o:spid="_x0000_s1266" type="#_x0000_t202" style="position:absolute;margin-left:42.65pt;margin-top:25pt;width:196.8pt;height:5.5pt;z-index:-2511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" filled="f" stroked="f">
              <v:textbox style="mso-fit-shape-to-text:t" inset="0,0,0,0">
                <w:txbxContent>
                  <w:p w14:paraId="79360559" w14:textId="77777777" w:rsidR="00093A32" w:rsidRDefault="00093A32">
                    <w:pPr>
                      <w:pStyle w:val="Headerorfooter0"/>
                      <w:tabs>
                        <w:tab w:val="right" w:pos="3936"/>
                      </w:tabs>
                    </w:pPr>
                    <w:r>
                      <w:rPr>
                        <w:sz w:val="16"/>
                        <w:szCs w:val="16"/>
                      </w:rPr>
                      <w:t>466</w:t>
                    </w:r>
                    <w:r>
                      <w:rPr>
                        <w:sz w:val="16"/>
                        <w:szCs w:val="16"/>
                      </w:rPr>
                      <w:tab/>
                    </w:r>
                    <w:r>
                      <w:t>LEISHMANIASIS</w:t>
                    </w:r>
                  </w:p>
                </w:txbxContent>
              </v:textbox>
              <w10:wrap anchorx="page" anchory="page"/>
            </v:shape>
          </w:pict>
        </mc:Fallback>
      </mc:AlternateContent>
    </w:r>
    <w:r>
      <w:rPr>
        <w:noProof/>
      </w:rPr>
      <mc:AlternateContent>
        <mc:Choice Requires="wps">
          <w:drawing>
            <wp:anchor distT="0" distB="0" distL="114300" distR="114300" simplePos="0" relativeHeight="251882496" behindDoc="1" locked="0" layoutInCell="1" allowOverlap="1" wp14:anchorId="3D3B7CEC" wp14:editId="2E344167">
              <wp:simplePos x="0" y="0"/>
              <wp:positionH relativeFrom="page">
                <wp:posOffset>526415</wp:posOffset>
              </wp:positionH>
              <wp:positionV relativeFrom="page">
                <wp:posOffset>425450</wp:posOffset>
              </wp:positionV>
              <wp:extent cx="4358640" cy="0"/>
              <wp:effectExtent l="0" t="0" r="0" b="0"/>
              <wp:wrapNone/>
              <wp:docPr id="1188" name="Shape 118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E559FAA" id="_x0000_t32" coordsize="21600,21600" o:spt="32" o:oned="t" path="m,l21600,21600e" filled="f">
              <v:path arrowok="t" fillok="f" o:connecttype="none"/>
              <o:lock v:ext="edit" shapetype="t"/>
            </v:shapetype>
            <v:shape id="Shape 1188" o:spid="_x0000_s1026" type="#_x0000_t32" style="position:absolute;margin-left:41.45pt;margin-top:33.5pt;width:343.2pt;height:0;z-index:-251433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A4&#10;avyQ2wAAAAgBAAAPAAAAAAAAAAAAAAAAAMIDAABkcnMvZG93bnJldi54bWxQSwUGAAAAAAQABADz&#10;AAAAygQAAAAA&#10;" strokeweight="1pt">
              <w10:wrap anchorx="page" anchory="page"/>
            </v:shape>
          </w:pict>
        </mc:Fallback>
      </mc:AlternateConten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E8BC" w14:textId="77777777" w:rsidR="00093A32" w:rsidRDefault="00093A32">
    <w:pPr>
      <w:spacing w:line="1" w:lineRule="exact"/>
    </w:pPr>
    <w:r>
      <w:rPr>
        <w:noProof/>
      </w:rPr>
      <mc:AlternateContent>
        <mc:Choice Requires="wps">
          <w:drawing>
            <wp:anchor distT="0" distB="0" distL="0" distR="0" simplePos="0" relativeHeight="252126208" behindDoc="1" locked="0" layoutInCell="1" allowOverlap="1" wp14:anchorId="25BDD3D4" wp14:editId="7E742376">
              <wp:simplePos x="0" y="0"/>
              <wp:positionH relativeFrom="page">
                <wp:posOffset>535305</wp:posOffset>
              </wp:positionH>
              <wp:positionV relativeFrom="page">
                <wp:posOffset>317500</wp:posOffset>
              </wp:positionV>
              <wp:extent cx="2307590" cy="69850"/>
              <wp:effectExtent l="0" t="0" r="0" b="0"/>
              <wp:wrapNone/>
              <wp:docPr id="1192" name="Shape 1192"/>
              <wp:cNvGraphicFramePr/>
              <a:graphic xmlns:a="http://schemas.openxmlformats.org/drawingml/2006/main">
                <a:graphicData uri="http://schemas.microsoft.com/office/word/2010/wordprocessingShape">
                  <wps:wsp>
                    <wps:cNvSpPr txBox="1"/>
                    <wps:spPr>
                      <a:xfrm>
                        <a:off x="0" y="0"/>
                        <a:ext cx="2307590" cy="69850"/>
                      </a:xfrm>
                      <a:prstGeom prst="rect">
                        <a:avLst/>
                      </a:prstGeom>
                      <a:noFill/>
                    </wps:spPr>
                    <wps:txbx>
                      <w:txbxContent>
                        <w:p w14:paraId="25D37609" w14:textId="77777777" w:rsidR="00093A32" w:rsidRDefault="00093A32">
                          <w:pPr>
                            <w:pStyle w:val="Headerorfooter0"/>
                            <w:tabs>
                              <w:tab w:val="right" w:pos="3634"/>
                            </w:tabs>
                          </w:pPr>
                          <w:r>
                            <w:rPr>
                              <w:sz w:val="16"/>
                              <w:szCs w:val="16"/>
                            </w:rPr>
                            <w:t>468</w:t>
                          </w:r>
                          <w:r>
                            <w:rPr>
                              <w:sz w:val="16"/>
                              <w:szCs w:val="16"/>
                            </w:rPr>
                            <w:tab/>
                          </w:r>
                          <w:r>
                            <w:t>LEPRA</w:t>
                          </w:r>
                        </w:p>
                      </w:txbxContent>
                    </wps:txbx>
                    <wps:bodyPr lIns="0" tIns="0" rIns="0" bIns="0">
                      <a:spAutoFit/>
                    </wps:bodyPr>
                  </wps:wsp>
                </a:graphicData>
              </a:graphic>
            </wp:anchor>
          </w:drawing>
        </mc:Choice>
        <mc:Fallback>
          <w:pict>
            <v:shapetype w14:anchorId="25BDD3D4" id="_x0000_t202" coordsize="21600,21600" o:spt="202" path="m,l,21600r21600,l21600,xe">
              <v:stroke joinstyle="miter"/>
              <v:path gradientshapeok="t" o:connecttype="rect"/>
            </v:shapetype>
            <v:shape id="Shape 1192" o:spid="_x0000_s1267" type="#_x0000_t202" style="position:absolute;margin-left:42.15pt;margin-top:25pt;width:181.7pt;height:5.5pt;z-index:-2511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" filled="f" stroked="f">
              <v:textbox style="mso-fit-shape-to-text:t" inset="0,0,0,0">
                <w:txbxContent>
                  <w:p w14:paraId="25D37609" w14:textId="77777777" w:rsidR="00093A32" w:rsidRDefault="00093A32">
                    <w:pPr>
                      <w:pStyle w:val="Headerorfooter0"/>
                      <w:tabs>
                        <w:tab w:val="right" w:pos="3634"/>
                      </w:tabs>
                    </w:pPr>
                    <w:r>
                      <w:rPr>
                        <w:sz w:val="16"/>
                        <w:szCs w:val="16"/>
                      </w:rPr>
                      <w:t>468</w:t>
                    </w:r>
                    <w:r>
                      <w:rPr>
                        <w:sz w:val="16"/>
                        <w:szCs w:val="16"/>
                      </w:rPr>
                      <w:tab/>
                    </w:r>
                    <w:r>
                      <w:t>LEPRA</w:t>
                    </w:r>
                  </w:p>
                </w:txbxContent>
              </v:textbox>
              <w10:wrap anchorx="page" anchory="page"/>
            </v:shape>
          </w:pict>
        </mc:Fallback>
      </mc:AlternateContent>
    </w:r>
    <w:r>
      <w:rPr>
        <w:noProof/>
      </w:rPr>
      <mc:AlternateContent>
        <mc:Choice Requires="wps">
          <w:drawing>
            <wp:anchor distT="0" distB="0" distL="114300" distR="114300" simplePos="0" relativeHeight="251884544" behindDoc="1" locked="0" layoutInCell="1" allowOverlap="1" wp14:anchorId="48814F97" wp14:editId="23D73916">
              <wp:simplePos x="0" y="0"/>
              <wp:positionH relativeFrom="page">
                <wp:posOffset>520065</wp:posOffset>
              </wp:positionH>
              <wp:positionV relativeFrom="page">
                <wp:posOffset>425450</wp:posOffset>
              </wp:positionV>
              <wp:extent cx="4358640" cy="0"/>
              <wp:effectExtent l="0" t="0" r="0" b="0"/>
              <wp:wrapNone/>
              <wp:docPr id="1194" name="Shape 11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794CE21" id="_x0000_t32" coordsize="21600,21600" o:spt="32" o:oned="t" path="m,l21600,21600e" filled="f">
              <v:path arrowok="t" fillok="f" o:connecttype="none"/>
              <o:lock v:ext="edit" shapetype="t"/>
            </v:shapetype>
            <v:shape id="Shape 1194" o:spid="_x0000_s1026" type="#_x0000_t32" style="position:absolute;margin-left:40.95pt;margin-top:33.5pt;width:343.2pt;height:0;z-index:-2514319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Dp&#10;gq7aAAAACAEAAA8AAAAAAAAAAAAAAAAAwgMAAGRycy9kb3ducmV2LnhtbFBLBQYAAAAABAAEAPMA&#10;AADJBAAAAAA=&#10;" strokeweight="1pt">
              <w10:wrap anchorx="page" anchory="page"/>
            </v:shape>
          </w:pict>
        </mc:Fallback>
      </mc:AlternateConten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2A36" w14:textId="77777777" w:rsidR="00093A32" w:rsidRDefault="00093A32">
    <w:pPr>
      <w:spacing w:line="1" w:lineRule="exact"/>
    </w:pPr>
    <w:r>
      <w:rPr>
        <w:noProof/>
      </w:rPr>
      <mc:AlternateContent>
        <mc:Choice Requires="wps">
          <w:drawing>
            <wp:anchor distT="0" distB="0" distL="0" distR="0" simplePos="0" relativeHeight="252125184" behindDoc="1" locked="0" layoutInCell="1" allowOverlap="1" wp14:anchorId="12B5C3AE" wp14:editId="6220B703">
              <wp:simplePos x="0" y="0"/>
              <wp:positionH relativeFrom="page">
                <wp:posOffset>535305</wp:posOffset>
              </wp:positionH>
              <wp:positionV relativeFrom="page">
                <wp:posOffset>317500</wp:posOffset>
              </wp:positionV>
              <wp:extent cx="2307590" cy="69850"/>
              <wp:effectExtent l="0" t="0" r="0" b="0"/>
              <wp:wrapNone/>
              <wp:docPr id="1189" name="Shape 1189"/>
              <wp:cNvGraphicFramePr/>
              <a:graphic xmlns:a="http://schemas.openxmlformats.org/drawingml/2006/main">
                <a:graphicData uri="http://schemas.microsoft.com/office/word/2010/wordprocessingShape">
                  <wps:wsp>
                    <wps:cNvSpPr txBox="1"/>
                    <wps:spPr>
                      <a:xfrm>
                        <a:off x="0" y="0"/>
                        <a:ext cx="2307590" cy="69850"/>
                      </a:xfrm>
                      <a:prstGeom prst="rect">
                        <a:avLst/>
                      </a:prstGeom>
                      <a:noFill/>
                    </wps:spPr>
                    <wps:txbx>
                      <w:txbxContent>
                        <w:p w14:paraId="60FD89E0" w14:textId="77777777" w:rsidR="00093A32" w:rsidRDefault="00093A32">
                          <w:pPr>
                            <w:pStyle w:val="Headerorfooter0"/>
                            <w:tabs>
                              <w:tab w:val="right" w:pos="3634"/>
                            </w:tabs>
                          </w:pPr>
                          <w:r>
                            <w:rPr>
                              <w:sz w:val="16"/>
                              <w:szCs w:val="16"/>
                            </w:rPr>
                            <w:t>468</w:t>
                          </w:r>
                          <w:r>
                            <w:rPr>
                              <w:sz w:val="16"/>
                              <w:szCs w:val="16"/>
                            </w:rPr>
                            <w:tab/>
                          </w:r>
                          <w:r>
                            <w:t>LEPRA</w:t>
                          </w:r>
                        </w:p>
                      </w:txbxContent>
                    </wps:txbx>
                    <wps:bodyPr lIns="0" tIns="0" rIns="0" bIns="0">
                      <a:spAutoFit/>
                    </wps:bodyPr>
                  </wps:wsp>
                </a:graphicData>
              </a:graphic>
            </wp:anchor>
          </w:drawing>
        </mc:Choice>
        <mc:Fallback>
          <w:pict>
            <v:shapetype w14:anchorId="12B5C3AE" id="_x0000_t202" coordsize="21600,21600" o:spt="202" path="m,l,21600r21600,l21600,xe">
              <v:stroke joinstyle="miter"/>
              <v:path gradientshapeok="t" o:connecttype="rect"/>
            </v:shapetype>
            <v:shape id="Shape 1189" o:spid="_x0000_s1268" type="#_x0000_t202" style="position:absolute;margin-left:42.15pt;margin-top:25pt;width:181.7pt;height:5.5pt;z-index:-2511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WggAEAAPwCAAAOAAAAZHJzL2Uyb0RvYy54bWysUttOwzAMfUfiH6K8s5Yh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" filled="f" stroked="f">
              <v:textbox style="mso-fit-shape-to-text:t" inset="0,0,0,0">
                <w:txbxContent>
                  <w:p w14:paraId="60FD89E0" w14:textId="77777777" w:rsidR="00093A32" w:rsidRDefault="00093A32">
                    <w:pPr>
                      <w:pStyle w:val="Headerorfooter0"/>
                      <w:tabs>
                        <w:tab w:val="right" w:pos="3634"/>
                      </w:tabs>
                    </w:pPr>
                    <w:r>
                      <w:rPr>
                        <w:sz w:val="16"/>
                        <w:szCs w:val="16"/>
                      </w:rPr>
                      <w:t>468</w:t>
                    </w:r>
                    <w:r>
                      <w:rPr>
                        <w:sz w:val="16"/>
                        <w:szCs w:val="16"/>
                      </w:rPr>
                      <w:tab/>
                    </w:r>
                    <w:r>
                      <w:t>LEPRA</w:t>
                    </w:r>
                  </w:p>
                </w:txbxContent>
              </v:textbox>
              <w10:wrap anchorx="page" anchory="page"/>
            </v:shape>
          </w:pict>
        </mc:Fallback>
      </mc:AlternateContent>
    </w:r>
    <w:r>
      <w:rPr>
        <w:noProof/>
      </w:rPr>
      <mc:AlternateContent>
        <mc:Choice Requires="wps">
          <w:drawing>
            <wp:anchor distT="0" distB="0" distL="114300" distR="114300" simplePos="0" relativeHeight="251883520" behindDoc="1" locked="0" layoutInCell="1" allowOverlap="1" wp14:anchorId="1C19CEE6" wp14:editId="25231B1C">
              <wp:simplePos x="0" y="0"/>
              <wp:positionH relativeFrom="page">
                <wp:posOffset>520065</wp:posOffset>
              </wp:positionH>
              <wp:positionV relativeFrom="page">
                <wp:posOffset>425450</wp:posOffset>
              </wp:positionV>
              <wp:extent cx="4358640" cy="0"/>
              <wp:effectExtent l="0" t="0" r="0" b="0"/>
              <wp:wrapNone/>
              <wp:docPr id="1191" name="Shape 119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83E52C" id="_x0000_t32" coordsize="21600,21600" o:spt="32" o:oned="t" path="m,l21600,21600e" filled="f">
              <v:path arrowok="t" fillok="f" o:connecttype="none"/>
              <o:lock v:ext="edit" shapetype="t"/>
            </v:shapetype>
            <v:shape id="Shape 1191" o:spid="_x0000_s1026" type="#_x0000_t32" style="position:absolute;margin-left:40.95pt;margin-top:33.5pt;width:343.2pt;height:0;z-index:-2514329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LDp&#10;gq7aAAAACAEAAA8AAAAAAAAAAAAAAAAAwgMAAGRycy9kb3ducmV2LnhtbFBLBQYAAAAABAAEAPMA&#10;AADJBAAAAAA=&#10;" strokeweight="1pt">
              <w10:wrap anchorx="page" anchory="page"/>
            </v:shape>
          </w:pict>
        </mc:Fallback>
      </mc:AlternateConten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1B5B" w14:textId="77777777" w:rsidR="00093A32" w:rsidRDefault="00093A32">
    <w:pPr>
      <w:spacing w:line="1" w:lineRule="exact"/>
    </w:pPr>
    <w:r>
      <w:rPr>
        <w:noProof/>
      </w:rPr>
      <mc:AlternateContent>
        <mc:Choice Requires="wps">
          <w:drawing>
            <wp:anchor distT="0" distB="0" distL="0" distR="0" simplePos="0" relativeHeight="252128256" behindDoc="1" locked="0" layoutInCell="1" allowOverlap="1" wp14:anchorId="4ED3B492" wp14:editId="2AC3361C">
              <wp:simplePos x="0" y="0"/>
              <wp:positionH relativeFrom="page">
                <wp:posOffset>537210</wp:posOffset>
              </wp:positionH>
              <wp:positionV relativeFrom="page">
                <wp:posOffset>317500</wp:posOffset>
              </wp:positionV>
              <wp:extent cx="2511425" cy="69850"/>
              <wp:effectExtent l="0" t="0" r="0" b="0"/>
              <wp:wrapNone/>
              <wp:docPr id="1198" name="Shape 1198"/>
              <wp:cNvGraphicFramePr/>
              <a:graphic xmlns:a="http://schemas.openxmlformats.org/drawingml/2006/main">
                <a:graphicData uri="http://schemas.microsoft.com/office/word/2010/wordprocessingShape">
                  <wps:wsp>
                    <wps:cNvSpPr txBox="1"/>
                    <wps:spPr>
                      <a:xfrm>
                        <a:off x="0" y="0"/>
                        <a:ext cx="2511425" cy="69850"/>
                      </a:xfrm>
                      <a:prstGeom prst="rect">
                        <a:avLst/>
                      </a:prstGeom>
                      <a:noFill/>
                    </wps:spPr>
                    <wps:txbx>
                      <w:txbxContent>
                        <w:p w14:paraId="6D1D47B9" w14:textId="77777777" w:rsidR="00093A32" w:rsidRDefault="00093A32">
                          <w:pPr>
                            <w:pStyle w:val="Headerorfooter0"/>
                            <w:tabs>
                              <w:tab w:val="right" w:pos="3955"/>
                            </w:tabs>
                          </w:pPr>
                          <w:r>
                            <w:rPr>
                              <w:sz w:val="16"/>
                              <w:szCs w:val="16"/>
                            </w:rPr>
                            <w:t>470</w:t>
                          </w:r>
                          <w:r>
                            <w:rPr>
                              <w:sz w:val="16"/>
                              <w:szCs w:val="16"/>
                            </w:rPr>
                            <w:tab/>
                          </w:r>
                          <w:r>
                            <w:t>LEPTOSPIROSIS</w:t>
                          </w:r>
                        </w:p>
                      </w:txbxContent>
                    </wps:txbx>
                    <wps:bodyPr lIns="0" tIns="0" rIns="0" bIns="0">
                      <a:spAutoFit/>
                    </wps:bodyPr>
                  </wps:wsp>
                </a:graphicData>
              </a:graphic>
            </wp:anchor>
          </w:drawing>
        </mc:Choice>
        <mc:Fallback>
          <w:pict>
            <v:shapetype w14:anchorId="4ED3B492" id="_x0000_t202" coordsize="21600,21600" o:spt="202" path="m,l,21600r21600,l21600,xe">
              <v:stroke joinstyle="miter"/>
              <v:path gradientshapeok="t" o:connecttype="rect"/>
            </v:shapetype>
            <v:shape id="Shape 1198" o:spid="_x0000_s1269" type="#_x0000_t202" style="position:absolute;margin-left:42.3pt;margin-top:25pt;width:197.75pt;height:5.5pt;z-index:-2511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" filled="f" stroked="f">
              <v:textbox style="mso-fit-shape-to-text:t" inset="0,0,0,0">
                <w:txbxContent>
                  <w:p w14:paraId="6D1D47B9" w14:textId="77777777" w:rsidR="00093A32" w:rsidRDefault="00093A32">
                    <w:pPr>
                      <w:pStyle w:val="Headerorfooter0"/>
                      <w:tabs>
                        <w:tab w:val="right" w:pos="3955"/>
                      </w:tabs>
                    </w:pPr>
                    <w:r>
                      <w:rPr>
                        <w:sz w:val="16"/>
                        <w:szCs w:val="16"/>
                      </w:rPr>
                      <w:t>470</w:t>
                    </w:r>
                    <w:r>
                      <w:rPr>
                        <w:sz w:val="16"/>
                        <w:szCs w:val="16"/>
                      </w:rPr>
                      <w:tab/>
                    </w:r>
                    <w:r>
                      <w:t>LEPTOSPIROSIS</w:t>
                    </w:r>
                  </w:p>
                </w:txbxContent>
              </v:textbox>
              <w10:wrap anchorx="page" anchory="page"/>
            </v:shape>
          </w:pict>
        </mc:Fallback>
      </mc:AlternateContent>
    </w:r>
    <w:r>
      <w:rPr>
        <w:noProof/>
      </w:rPr>
      <mc:AlternateContent>
        <mc:Choice Requires="wps">
          <w:drawing>
            <wp:anchor distT="0" distB="0" distL="114300" distR="114300" simplePos="0" relativeHeight="251886592" behindDoc="1" locked="0" layoutInCell="1" allowOverlap="1" wp14:anchorId="1DFF8752" wp14:editId="6EF722A3">
              <wp:simplePos x="0" y="0"/>
              <wp:positionH relativeFrom="page">
                <wp:posOffset>521970</wp:posOffset>
              </wp:positionH>
              <wp:positionV relativeFrom="page">
                <wp:posOffset>425450</wp:posOffset>
              </wp:positionV>
              <wp:extent cx="4358640" cy="0"/>
              <wp:effectExtent l="0" t="0" r="0" b="0"/>
              <wp:wrapNone/>
              <wp:docPr id="1200" name="Shape 12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8094EA" id="_x0000_t32" coordsize="21600,21600" o:spt="32" o:oned="t" path="m,l21600,21600e" filled="f">
              <v:path arrowok="t" fillok="f" o:connecttype="none"/>
              <o:lock v:ext="edit" shapetype="t"/>
            </v:shapetype>
            <v:shape id="Shape 1200" o:spid="_x0000_s1026" type="#_x0000_t32" style="position:absolute;margin-left:41.1pt;margin-top:33.5pt;width:343.2pt;height:0;z-index:-251429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92C3" w14:textId="77777777" w:rsidR="00093A32" w:rsidRDefault="00093A32">
    <w:pPr>
      <w:spacing w:line="1" w:lineRule="exact"/>
    </w:pPr>
    <w:r>
      <w:rPr>
        <w:noProof/>
      </w:rPr>
      <mc:AlternateContent>
        <mc:Choice Requires="wps">
          <w:drawing>
            <wp:anchor distT="0" distB="0" distL="0" distR="0" simplePos="0" relativeHeight="252127232" behindDoc="1" locked="0" layoutInCell="1" allowOverlap="1" wp14:anchorId="19F8BCDB" wp14:editId="7671D7ED">
              <wp:simplePos x="0" y="0"/>
              <wp:positionH relativeFrom="page">
                <wp:posOffset>537210</wp:posOffset>
              </wp:positionH>
              <wp:positionV relativeFrom="page">
                <wp:posOffset>317500</wp:posOffset>
              </wp:positionV>
              <wp:extent cx="2511425" cy="69850"/>
              <wp:effectExtent l="0" t="0" r="0" b="0"/>
              <wp:wrapNone/>
              <wp:docPr id="1195" name="Shape 1195"/>
              <wp:cNvGraphicFramePr/>
              <a:graphic xmlns:a="http://schemas.openxmlformats.org/drawingml/2006/main">
                <a:graphicData uri="http://schemas.microsoft.com/office/word/2010/wordprocessingShape">
                  <wps:wsp>
                    <wps:cNvSpPr txBox="1"/>
                    <wps:spPr>
                      <a:xfrm>
                        <a:off x="0" y="0"/>
                        <a:ext cx="2511425" cy="69850"/>
                      </a:xfrm>
                      <a:prstGeom prst="rect">
                        <a:avLst/>
                      </a:prstGeom>
                      <a:noFill/>
                    </wps:spPr>
                    <wps:txbx>
                      <w:txbxContent>
                        <w:p w14:paraId="4771FA22" w14:textId="77777777" w:rsidR="00093A32" w:rsidRDefault="00093A32">
                          <w:pPr>
                            <w:pStyle w:val="Headerorfooter0"/>
                            <w:tabs>
                              <w:tab w:val="right" w:pos="3955"/>
                            </w:tabs>
                          </w:pPr>
                          <w:r>
                            <w:rPr>
                              <w:sz w:val="16"/>
                              <w:szCs w:val="16"/>
                            </w:rPr>
                            <w:t>470</w:t>
                          </w:r>
                          <w:r>
                            <w:rPr>
                              <w:sz w:val="16"/>
                              <w:szCs w:val="16"/>
                            </w:rPr>
                            <w:tab/>
                          </w:r>
                          <w:r>
                            <w:t>LEPTOSPIROSIS</w:t>
                          </w:r>
                        </w:p>
                      </w:txbxContent>
                    </wps:txbx>
                    <wps:bodyPr lIns="0" tIns="0" rIns="0" bIns="0">
                      <a:spAutoFit/>
                    </wps:bodyPr>
                  </wps:wsp>
                </a:graphicData>
              </a:graphic>
            </wp:anchor>
          </w:drawing>
        </mc:Choice>
        <mc:Fallback>
          <w:pict>
            <v:shapetype w14:anchorId="19F8BCDB" id="_x0000_t202" coordsize="21600,21600" o:spt="202" path="m,l,21600r21600,l21600,xe">
              <v:stroke joinstyle="miter"/>
              <v:path gradientshapeok="t" o:connecttype="rect"/>
            </v:shapetype>
            <v:shape id="Shape 1195" o:spid="_x0000_s1270" type="#_x0000_t202" style="position:absolute;margin-left:42.3pt;margin-top:25pt;width:197.75pt;height:5.5pt;z-index:-2511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" filled="f" stroked="f">
              <v:textbox style="mso-fit-shape-to-text:t" inset="0,0,0,0">
                <w:txbxContent>
                  <w:p w14:paraId="4771FA22" w14:textId="77777777" w:rsidR="00093A32" w:rsidRDefault="00093A32">
                    <w:pPr>
                      <w:pStyle w:val="Headerorfooter0"/>
                      <w:tabs>
                        <w:tab w:val="right" w:pos="3955"/>
                      </w:tabs>
                    </w:pPr>
                    <w:r>
                      <w:rPr>
                        <w:sz w:val="16"/>
                        <w:szCs w:val="16"/>
                      </w:rPr>
                      <w:t>470</w:t>
                    </w:r>
                    <w:r>
                      <w:rPr>
                        <w:sz w:val="16"/>
                        <w:szCs w:val="16"/>
                      </w:rPr>
                      <w:tab/>
                    </w:r>
                    <w:r>
                      <w:t>LEPTOSPIROSIS</w:t>
                    </w:r>
                  </w:p>
                </w:txbxContent>
              </v:textbox>
              <w10:wrap anchorx="page" anchory="page"/>
            </v:shape>
          </w:pict>
        </mc:Fallback>
      </mc:AlternateContent>
    </w:r>
    <w:r>
      <w:rPr>
        <w:noProof/>
      </w:rPr>
      <mc:AlternateContent>
        <mc:Choice Requires="wps">
          <w:drawing>
            <wp:anchor distT="0" distB="0" distL="114300" distR="114300" simplePos="0" relativeHeight="251885568" behindDoc="1" locked="0" layoutInCell="1" allowOverlap="1" wp14:anchorId="08758C0C" wp14:editId="208A6009">
              <wp:simplePos x="0" y="0"/>
              <wp:positionH relativeFrom="page">
                <wp:posOffset>521970</wp:posOffset>
              </wp:positionH>
              <wp:positionV relativeFrom="page">
                <wp:posOffset>425450</wp:posOffset>
              </wp:positionV>
              <wp:extent cx="4358640" cy="0"/>
              <wp:effectExtent l="0" t="0" r="0" b="0"/>
              <wp:wrapNone/>
              <wp:docPr id="1197" name="Shape 11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1BBA62" id="_x0000_t32" coordsize="21600,21600" o:spt="32" o:oned="t" path="m,l21600,21600e" filled="f">
              <v:path arrowok="t" fillok="f" o:connecttype="none"/>
              <o:lock v:ext="edit" shapetype="t"/>
            </v:shapetype>
            <v:shape id="Shape 1197" o:spid="_x0000_s1026" type="#_x0000_t32" style="position:absolute;margin-left:41.1pt;margin-top:33.5pt;width:343.2pt;height:0;z-index:-2514309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C797" w14:textId="77777777" w:rsidR="00093A32" w:rsidRDefault="00093A32">
    <w:pPr>
      <w:spacing w:line="1" w:lineRule="exact"/>
    </w:pPr>
    <w:r>
      <w:rPr>
        <w:noProof/>
      </w:rPr>
      <mc:AlternateContent>
        <mc:Choice Requires="wps">
          <w:drawing>
            <wp:anchor distT="0" distB="0" distL="0" distR="0" simplePos="0" relativeHeight="252129280" behindDoc="1" locked="0" layoutInCell="1" allowOverlap="1" wp14:anchorId="7792EB2B" wp14:editId="5A54CFC6">
              <wp:simplePos x="0" y="0"/>
              <wp:positionH relativeFrom="page">
                <wp:posOffset>2560955</wp:posOffset>
              </wp:positionH>
              <wp:positionV relativeFrom="page">
                <wp:posOffset>317500</wp:posOffset>
              </wp:positionV>
              <wp:extent cx="2298065" cy="69850"/>
              <wp:effectExtent l="0" t="0" r="0" b="0"/>
              <wp:wrapNone/>
              <wp:docPr id="1201" name="Shape 1201"/>
              <wp:cNvGraphicFramePr/>
              <a:graphic xmlns:a="http://schemas.openxmlformats.org/drawingml/2006/main">
                <a:graphicData uri="http://schemas.microsoft.com/office/word/2010/wordprocessingShape">
                  <wps:wsp>
                    <wps:cNvSpPr txBox="1"/>
                    <wps:spPr>
                      <a:xfrm>
                        <a:off x="0" y="0"/>
                        <a:ext cx="2298065" cy="69850"/>
                      </a:xfrm>
                      <a:prstGeom prst="rect">
                        <a:avLst/>
                      </a:prstGeom>
                      <a:noFill/>
                    </wps:spPr>
                    <wps:txbx>
                      <w:txbxContent>
                        <w:p w14:paraId="5CFF0FB5" w14:textId="77777777" w:rsidR="00093A32" w:rsidRDefault="00093A32">
                          <w:pPr>
                            <w:pStyle w:val="Headerorfooter0"/>
                            <w:tabs>
                              <w:tab w:val="right" w:pos="3619"/>
                            </w:tabs>
                            <w:rPr>
                              <w:sz w:val="16"/>
                              <w:szCs w:val="16"/>
                            </w:rPr>
                          </w:pPr>
                          <w:r>
                            <w:t>LEPRA</w:t>
                          </w:r>
                          <w:r>
                            <w:tab/>
                          </w:r>
                          <w:r>
                            <w:rPr>
                              <w:sz w:val="16"/>
                              <w:szCs w:val="16"/>
                            </w:rPr>
                            <w:t>469</w:t>
                          </w:r>
                        </w:p>
                      </w:txbxContent>
                    </wps:txbx>
                    <wps:bodyPr lIns="0" tIns="0" rIns="0" bIns="0">
                      <a:spAutoFit/>
                    </wps:bodyPr>
                  </wps:wsp>
                </a:graphicData>
              </a:graphic>
            </wp:anchor>
          </w:drawing>
        </mc:Choice>
        <mc:Fallback>
          <w:pict>
            <v:shapetype w14:anchorId="7792EB2B" id="_x0000_t202" coordsize="21600,21600" o:spt="202" path="m,l,21600r21600,l21600,xe">
              <v:stroke joinstyle="miter"/>
              <v:path gradientshapeok="t" o:connecttype="rect"/>
            </v:shapetype>
            <v:shape id="Shape 1201" o:spid="_x0000_s1271" type="#_x0000_t202" style="position:absolute;margin-left:201.65pt;margin-top:25pt;width:180.95pt;height:5.5pt;z-index:-2511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" filled="f" stroked="f">
              <v:textbox style="mso-fit-shape-to-text:t" inset="0,0,0,0">
                <w:txbxContent>
                  <w:p w14:paraId="5CFF0FB5" w14:textId="77777777" w:rsidR="00093A32" w:rsidRDefault="00093A32">
                    <w:pPr>
                      <w:pStyle w:val="Headerorfooter0"/>
                      <w:tabs>
                        <w:tab w:val="right" w:pos="3619"/>
                      </w:tabs>
                      <w:rPr>
                        <w:sz w:val="16"/>
                        <w:szCs w:val="16"/>
                      </w:rPr>
                    </w:pPr>
                    <w:r>
                      <w:t>LEPRA</w:t>
                    </w:r>
                    <w:r>
                      <w:tab/>
                    </w:r>
                    <w:r>
                      <w:rPr>
                        <w:sz w:val="16"/>
                        <w:szCs w:val="16"/>
                      </w:rPr>
                      <w:t>469</w:t>
                    </w:r>
                  </w:p>
                </w:txbxContent>
              </v:textbox>
              <w10:wrap anchorx="page" anchory="page"/>
            </v:shape>
          </w:pict>
        </mc:Fallback>
      </mc:AlternateContent>
    </w:r>
    <w:r>
      <w:rPr>
        <w:noProof/>
      </w:rPr>
      <mc:AlternateContent>
        <mc:Choice Requires="wps">
          <w:drawing>
            <wp:anchor distT="0" distB="0" distL="114300" distR="114300" simplePos="0" relativeHeight="251887616" behindDoc="1" locked="0" layoutInCell="1" allowOverlap="1" wp14:anchorId="02B3C237" wp14:editId="452E5EF1">
              <wp:simplePos x="0" y="0"/>
              <wp:positionH relativeFrom="page">
                <wp:posOffset>521970</wp:posOffset>
              </wp:positionH>
              <wp:positionV relativeFrom="page">
                <wp:posOffset>425450</wp:posOffset>
              </wp:positionV>
              <wp:extent cx="4358640" cy="0"/>
              <wp:effectExtent l="0" t="0" r="0" b="0"/>
              <wp:wrapNone/>
              <wp:docPr id="1203" name="Shape 120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123C681" id="_x0000_t32" coordsize="21600,21600" o:spt="32" o:oned="t" path="m,l21600,21600e" filled="f">
              <v:path arrowok="t" fillok="f" o:connecttype="none"/>
              <o:lock v:ext="edit" shapetype="t"/>
            </v:shapetype>
            <v:shape id="Shape 1203" o:spid="_x0000_s1026" type="#_x0000_t32" style="position:absolute;margin-left:41.1pt;margin-top:33.5pt;width:343.2pt;height:0;z-index:-2514288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7F3" w14:textId="77777777" w:rsidR="00093A32" w:rsidRDefault="00093A32">
    <w:pPr>
      <w:spacing w:line="1" w:lineRule="exact"/>
    </w:pPr>
    <w:r>
      <w:rPr>
        <w:noProof/>
      </w:rPr>
      <mc:AlternateContent>
        <mc:Choice Requires="wps">
          <w:drawing>
            <wp:anchor distT="0" distB="0" distL="0" distR="0" simplePos="0" relativeHeight="252131328" behindDoc="1" locked="0" layoutInCell="1" allowOverlap="1" wp14:anchorId="1EFD2EC7" wp14:editId="71F84FFF">
              <wp:simplePos x="0" y="0"/>
              <wp:positionH relativeFrom="page">
                <wp:posOffset>534035</wp:posOffset>
              </wp:positionH>
              <wp:positionV relativeFrom="page">
                <wp:posOffset>292735</wp:posOffset>
              </wp:positionV>
              <wp:extent cx="2651760" cy="94615"/>
              <wp:effectExtent l="0" t="0" r="0" b="0"/>
              <wp:wrapNone/>
              <wp:docPr id="1207" name="Shape 1207"/>
              <wp:cNvGraphicFramePr/>
              <a:graphic xmlns:a="http://schemas.openxmlformats.org/drawingml/2006/main">
                <a:graphicData uri="http://schemas.microsoft.com/office/word/2010/wordprocessingShape">
                  <wps:wsp>
                    <wps:cNvSpPr txBox="1"/>
                    <wps:spPr>
                      <a:xfrm>
                        <a:off x="0" y="0"/>
                        <a:ext cx="2651760" cy="94615"/>
                      </a:xfrm>
                      <a:prstGeom prst="rect">
                        <a:avLst/>
                      </a:prstGeom>
                      <a:noFill/>
                    </wps:spPr>
                    <wps:txbx>
                      <w:txbxContent>
                        <w:p w14:paraId="6BBE0BD6" w14:textId="77777777" w:rsidR="00093A32" w:rsidRDefault="00093A32">
                          <w:pPr>
                            <w:pStyle w:val="Headerorfooter0"/>
                            <w:tabs>
                              <w:tab w:val="right" w:pos="4176"/>
                            </w:tabs>
                          </w:pPr>
                          <w:r>
                            <w:rPr>
                              <w:sz w:val="16"/>
                              <w:szCs w:val="16"/>
                            </w:rPr>
                            <w:t>472</w:t>
                          </w:r>
                          <w:r>
                            <w:rPr>
                              <w:sz w:val="16"/>
                              <w:szCs w:val="16"/>
                            </w:rPr>
                            <w:tab/>
                          </w:r>
                          <w:r>
                            <w:t>LINFÁTICA, FILARIASIS</w:t>
                          </w:r>
                        </w:p>
                      </w:txbxContent>
                    </wps:txbx>
                    <wps:bodyPr lIns="0" tIns="0" rIns="0" bIns="0">
                      <a:spAutoFit/>
                    </wps:bodyPr>
                  </wps:wsp>
                </a:graphicData>
              </a:graphic>
            </wp:anchor>
          </w:drawing>
        </mc:Choice>
        <mc:Fallback>
          <w:pict>
            <v:shapetype w14:anchorId="1EFD2EC7" id="_x0000_t202" coordsize="21600,21600" o:spt="202" path="m,l,21600r21600,l21600,xe">
              <v:stroke joinstyle="miter"/>
              <v:path gradientshapeok="t" o:connecttype="rect"/>
            </v:shapetype>
            <v:shape id="Shape 1207" o:spid="_x0000_s1272" type="#_x0000_t202" style="position:absolute;margin-left:42.05pt;margin-top:23.05pt;width:208.8pt;height:7.45pt;z-index:-2511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" filled="f" stroked="f">
              <v:textbox style="mso-fit-shape-to-text:t" inset="0,0,0,0">
                <w:txbxContent>
                  <w:p w14:paraId="6BBE0BD6" w14:textId="77777777" w:rsidR="00093A32" w:rsidRDefault="00093A32">
                    <w:pPr>
                      <w:pStyle w:val="Headerorfooter0"/>
                      <w:tabs>
                        <w:tab w:val="right" w:pos="4176"/>
                      </w:tabs>
                    </w:pPr>
                    <w:r>
                      <w:rPr>
                        <w:sz w:val="16"/>
                        <w:szCs w:val="16"/>
                      </w:rPr>
                      <w:t>472</w:t>
                    </w:r>
                    <w:r>
                      <w:rPr>
                        <w:sz w:val="16"/>
                        <w:szCs w:val="16"/>
                      </w:rPr>
                      <w:tab/>
                    </w:r>
                    <w:r>
                      <w:t>LINFÁTICA, FILARIASIS</w:t>
                    </w:r>
                  </w:p>
                </w:txbxContent>
              </v:textbox>
              <w10:wrap anchorx="page" anchory="page"/>
            </v:shape>
          </w:pict>
        </mc:Fallback>
      </mc:AlternateContent>
    </w:r>
    <w:r>
      <w:rPr>
        <w:noProof/>
      </w:rPr>
      <mc:AlternateContent>
        <mc:Choice Requires="wps">
          <w:drawing>
            <wp:anchor distT="0" distB="0" distL="114300" distR="114300" simplePos="0" relativeHeight="251889664" behindDoc="1" locked="0" layoutInCell="1" allowOverlap="1" wp14:anchorId="5E21E352" wp14:editId="551A9A07">
              <wp:simplePos x="0" y="0"/>
              <wp:positionH relativeFrom="page">
                <wp:posOffset>518795</wp:posOffset>
              </wp:positionH>
              <wp:positionV relativeFrom="page">
                <wp:posOffset>416560</wp:posOffset>
              </wp:positionV>
              <wp:extent cx="4358640" cy="0"/>
              <wp:effectExtent l="0" t="0" r="0" b="0"/>
              <wp:wrapNone/>
              <wp:docPr id="1209" name="Shape 120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C285D41" id="_x0000_t32" coordsize="21600,21600" o:spt="32" o:oned="t" path="m,l21600,21600e" filled="f">
              <v:path arrowok="t" fillok="f" o:connecttype="none"/>
              <o:lock v:ext="edit" shapetype="t"/>
            </v:shapetype>
            <v:shape id="Shape 1209" o:spid="_x0000_s1026" type="#_x0000_t32" style="position:absolute;margin-left:40.85pt;margin-top:32.8pt;width:343.2pt;height:0;z-index:-2514268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" strokeweight="1pt">
              <w10:wrap anchorx="page" anchory="page"/>
            </v:shape>
          </w:pict>
        </mc:Fallback>
      </mc:AlternateConten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E632" w14:textId="77777777" w:rsidR="00093A32" w:rsidRDefault="00093A32">
    <w:pPr>
      <w:spacing w:line="1" w:lineRule="exact"/>
    </w:pPr>
    <w:r>
      <w:rPr>
        <w:noProof/>
      </w:rPr>
      <mc:AlternateContent>
        <mc:Choice Requires="wps">
          <w:drawing>
            <wp:anchor distT="0" distB="0" distL="0" distR="0" simplePos="0" relativeHeight="252130304" behindDoc="1" locked="0" layoutInCell="1" allowOverlap="1" wp14:anchorId="7893E531" wp14:editId="5CCC8328">
              <wp:simplePos x="0" y="0"/>
              <wp:positionH relativeFrom="page">
                <wp:posOffset>534035</wp:posOffset>
              </wp:positionH>
              <wp:positionV relativeFrom="page">
                <wp:posOffset>292735</wp:posOffset>
              </wp:positionV>
              <wp:extent cx="2651760" cy="94615"/>
              <wp:effectExtent l="0" t="0" r="0" b="0"/>
              <wp:wrapNone/>
              <wp:docPr id="1204" name="Shape 1204"/>
              <wp:cNvGraphicFramePr/>
              <a:graphic xmlns:a="http://schemas.openxmlformats.org/drawingml/2006/main">
                <a:graphicData uri="http://schemas.microsoft.com/office/word/2010/wordprocessingShape">
                  <wps:wsp>
                    <wps:cNvSpPr txBox="1"/>
                    <wps:spPr>
                      <a:xfrm>
                        <a:off x="0" y="0"/>
                        <a:ext cx="2651760" cy="94615"/>
                      </a:xfrm>
                      <a:prstGeom prst="rect">
                        <a:avLst/>
                      </a:prstGeom>
                      <a:noFill/>
                    </wps:spPr>
                    <wps:txbx>
                      <w:txbxContent>
                        <w:p w14:paraId="435E08D6" w14:textId="77777777" w:rsidR="00093A32" w:rsidRDefault="00093A32">
                          <w:pPr>
                            <w:pStyle w:val="Headerorfooter0"/>
                            <w:tabs>
                              <w:tab w:val="right" w:pos="4176"/>
                            </w:tabs>
                          </w:pPr>
                          <w:r>
                            <w:rPr>
                              <w:sz w:val="16"/>
                              <w:szCs w:val="16"/>
                            </w:rPr>
                            <w:t>472</w:t>
                          </w:r>
                          <w:r>
                            <w:rPr>
                              <w:sz w:val="16"/>
                              <w:szCs w:val="16"/>
                            </w:rPr>
                            <w:tab/>
                          </w:r>
                          <w:r>
                            <w:t>LINFÁTICA, FILARIASIS</w:t>
                          </w:r>
                        </w:p>
                      </w:txbxContent>
                    </wps:txbx>
                    <wps:bodyPr lIns="0" tIns="0" rIns="0" bIns="0">
                      <a:spAutoFit/>
                    </wps:bodyPr>
                  </wps:wsp>
                </a:graphicData>
              </a:graphic>
            </wp:anchor>
          </w:drawing>
        </mc:Choice>
        <mc:Fallback>
          <w:pict>
            <v:shapetype w14:anchorId="7893E531" id="_x0000_t202" coordsize="21600,21600" o:spt="202" path="m,l,21600r21600,l21600,xe">
              <v:stroke joinstyle="miter"/>
              <v:path gradientshapeok="t" o:connecttype="rect"/>
            </v:shapetype>
            <v:shape id="Shape 1204" o:spid="_x0000_s1273" type="#_x0000_t202" style="position:absolute;margin-left:42.05pt;margin-top:23.05pt;width:208.8pt;height:7.45pt;z-index:-2511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" filled="f" stroked="f">
              <v:textbox style="mso-fit-shape-to-text:t" inset="0,0,0,0">
                <w:txbxContent>
                  <w:p w14:paraId="435E08D6" w14:textId="77777777" w:rsidR="00093A32" w:rsidRDefault="00093A32">
                    <w:pPr>
                      <w:pStyle w:val="Headerorfooter0"/>
                      <w:tabs>
                        <w:tab w:val="right" w:pos="4176"/>
                      </w:tabs>
                    </w:pPr>
                    <w:r>
                      <w:rPr>
                        <w:sz w:val="16"/>
                        <w:szCs w:val="16"/>
                      </w:rPr>
                      <w:t>472</w:t>
                    </w:r>
                    <w:r>
                      <w:rPr>
                        <w:sz w:val="16"/>
                        <w:szCs w:val="16"/>
                      </w:rPr>
                      <w:tab/>
                    </w:r>
                    <w:r>
                      <w:t>LINFÁTICA, FILARIASIS</w:t>
                    </w:r>
                  </w:p>
                </w:txbxContent>
              </v:textbox>
              <w10:wrap anchorx="page" anchory="page"/>
            </v:shape>
          </w:pict>
        </mc:Fallback>
      </mc:AlternateContent>
    </w:r>
    <w:r>
      <w:rPr>
        <w:noProof/>
      </w:rPr>
      <mc:AlternateContent>
        <mc:Choice Requires="wps">
          <w:drawing>
            <wp:anchor distT="0" distB="0" distL="114300" distR="114300" simplePos="0" relativeHeight="251888640" behindDoc="1" locked="0" layoutInCell="1" allowOverlap="1" wp14:anchorId="2CD08733" wp14:editId="56DF780F">
              <wp:simplePos x="0" y="0"/>
              <wp:positionH relativeFrom="page">
                <wp:posOffset>518795</wp:posOffset>
              </wp:positionH>
              <wp:positionV relativeFrom="page">
                <wp:posOffset>416560</wp:posOffset>
              </wp:positionV>
              <wp:extent cx="4358640" cy="0"/>
              <wp:effectExtent l="0" t="0" r="0" b="0"/>
              <wp:wrapNone/>
              <wp:docPr id="1206" name="Shape 120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C6C8EC2" id="_x0000_t32" coordsize="21600,21600" o:spt="32" o:oned="t" path="m,l21600,21600e" filled="f">
              <v:path arrowok="t" fillok="f" o:connecttype="none"/>
              <o:lock v:ext="edit" shapetype="t"/>
            </v:shapetype>
            <v:shape id="Shape 1206" o:spid="_x0000_s1026" type="#_x0000_t32" style="position:absolute;margin-left:40.85pt;margin-top:32.8pt;width:343.2pt;height:0;z-index:-251427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" strokeweight="1pt">
              <w10:wrap anchorx="page" anchory="page"/>
            </v:shape>
          </w:pict>
        </mc:Fallback>
      </mc:AlternateContent>
    </w: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EB7AE" w14:textId="77777777" w:rsidR="00093A32" w:rsidRDefault="00093A32">
    <w:pPr>
      <w:spacing w:line="1" w:lineRule="exact"/>
    </w:pPr>
    <w:r>
      <w:rPr>
        <w:noProof/>
      </w:rPr>
      <mc:AlternateContent>
        <mc:Choice Requires="wps">
          <w:drawing>
            <wp:anchor distT="0" distB="0" distL="0" distR="0" simplePos="0" relativeHeight="252132352" behindDoc="1" locked="0" layoutInCell="1" allowOverlap="1" wp14:anchorId="560DAAB2" wp14:editId="655A40EF">
              <wp:simplePos x="0" y="0"/>
              <wp:positionH relativeFrom="page">
                <wp:posOffset>2353310</wp:posOffset>
              </wp:positionH>
              <wp:positionV relativeFrom="page">
                <wp:posOffset>317500</wp:posOffset>
              </wp:positionV>
              <wp:extent cx="2490470" cy="69850"/>
              <wp:effectExtent l="0" t="0" r="0" b="0"/>
              <wp:wrapNone/>
              <wp:docPr id="1210" name="Shape 1210"/>
              <wp:cNvGraphicFramePr/>
              <a:graphic xmlns:a="http://schemas.openxmlformats.org/drawingml/2006/main">
                <a:graphicData uri="http://schemas.microsoft.com/office/word/2010/wordprocessingShape">
                  <wps:wsp>
                    <wps:cNvSpPr txBox="1"/>
                    <wps:spPr>
                      <a:xfrm>
                        <a:off x="0" y="0"/>
                        <a:ext cx="2490470" cy="69850"/>
                      </a:xfrm>
                      <a:prstGeom prst="rect">
                        <a:avLst/>
                      </a:prstGeom>
                      <a:noFill/>
                    </wps:spPr>
                    <wps:txbx>
                      <w:txbxContent>
                        <w:p w14:paraId="7051B2EF" w14:textId="77777777" w:rsidR="00093A32" w:rsidRDefault="00093A32">
                          <w:pPr>
                            <w:pStyle w:val="Headerorfooter0"/>
                            <w:tabs>
                              <w:tab w:val="right" w:pos="3922"/>
                            </w:tabs>
                            <w:rPr>
                              <w:sz w:val="16"/>
                              <w:szCs w:val="16"/>
                            </w:rPr>
                          </w:pPr>
                          <w:r>
                            <w:t>LEPTOSPIROSIS</w:t>
                          </w:r>
                          <w:r>
                            <w:tab/>
                          </w:r>
                          <w:r>
                            <w:rPr>
                              <w:sz w:val="16"/>
                              <w:szCs w:val="16"/>
                            </w:rPr>
                            <w:t>471</w:t>
                          </w:r>
                        </w:p>
                      </w:txbxContent>
                    </wps:txbx>
                    <wps:bodyPr lIns="0" tIns="0" rIns="0" bIns="0">
                      <a:spAutoFit/>
                    </wps:bodyPr>
                  </wps:wsp>
                </a:graphicData>
              </a:graphic>
            </wp:anchor>
          </w:drawing>
        </mc:Choice>
        <mc:Fallback>
          <w:pict>
            <v:shapetype w14:anchorId="560DAAB2" id="_x0000_t202" coordsize="21600,21600" o:spt="202" path="m,l,21600r21600,l21600,xe">
              <v:stroke joinstyle="miter"/>
              <v:path gradientshapeok="t" o:connecttype="rect"/>
            </v:shapetype>
            <v:shape id="Shape 1210" o:spid="_x0000_s1274" type="#_x0000_t202" style="position:absolute;margin-left:185.3pt;margin-top:25pt;width:196.1pt;height:5.5pt;z-index:-2511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" filled="f" stroked="f">
              <v:textbox style="mso-fit-shape-to-text:t" inset="0,0,0,0">
                <w:txbxContent>
                  <w:p w14:paraId="7051B2EF" w14:textId="77777777" w:rsidR="00093A32" w:rsidRDefault="00093A32">
                    <w:pPr>
                      <w:pStyle w:val="Headerorfooter0"/>
                      <w:tabs>
                        <w:tab w:val="right" w:pos="3922"/>
                      </w:tabs>
                      <w:rPr>
                        <w:sz w:val="16"/>
                        <w:szCs w:val="16"/>
                      </w:rPr>
                    </w:pPr>
                    <w:r>
                      <w:t>LEPTOSPIROSIS</w:t>
                    </w:r>
                    <w:r>
                      <w:tab/>
                    </w:r>
                    <w:r>
                      <w:rPr>
                        <w:sz w:val="16"/>
                        <w:szCs w:val="16"/>
                      </w:rPr>
                      <w:t>471</w:t>
                    </w:r>
                  </w:p>
                </w:txbxContent>
              </v:textbox>
              <w10:wrap anchorx="page" anchory="page"/>
            </v:shape>
          </w:pict>
        </mc:Fallback>
      </mc:AlternateContent>
    </w:r>
    <w:r>
      <w:rPr>
        <w:noProof/>
      </w:rPr>
      <mc:AlternateContent>
        <mc:Choice Requires="wps">
          <w:drawing>
            <wp:anchor distT="0" distB="0" distL="114300" distR="114300" simplePos="0" relativeHeight="251890688" behindDoc="1" locked="0" layoutInCell="1" allowOverlap="1" wp14:anchorId="5279FB99" wp14:editId="2CB5F034">
              <wp:simplePos x="0" y="0"/>
              <wp:positionH relativeFrom="page">
                <wp:posOffset>521970</wp:posOffset>
              </wp:positionH>
              <wp:positionV relativeFrom="page">
                <wp:posOffset>425450</wp:posOffset>
              </wp:positionV>
              <wp:extent cx="4358640" cy="0"/>
              <wp:effectExtent l="0" t="0" r="0" b="0"/>
              <wp:wrapNone/>
              <wp:docPr id="1212" name="Shape 121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329F278" id="_x0000_t32" coordsize="21600,21600" o:spt="32" o:oned="t" path="m,l21600,21600e" filled="f">
              <v:path arrowok="t" fillok="f" o:connecttype="none"/>
              <o:lock v:ext="edit" shapetype="t"/>
            </v:shapetype>
            <v:shape id="Shape 1212" o:spid="_x0000_s1026" type="#_x0000_t32" style="position:absolute;margin-left:41.1pt;margin-top:33.5pt;width:343.2pt;height:0;z-index:-251425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B4CF" w14:textId="77777777" w:rsidR="00093A32" w:rsidRDefault="00093A32">
    <w:pPr>
      <w:spacing w:line="1" w:lineRule="exact"/>
    </w:pPr>
    <w:r>
      <w:rPr>
        <w:noProof/>
      </w:rPr>
      <mc:AlternateContent>
        <mc:Choice Requires="wps">
          <w:drawing>
            <wp:anchor distT="0" distB="0" distL="0" distR="0" simplePos="0" relativeHeight="252134400" behindDoc="1" locked="0" layoutInCell="1" allowOverlap="1" wp14:anchorId="5ACCC9A4" wp14:editId="7D606EBE">
              <wp:simplePos x="0" y="0"/>
              <wp:positionH relativeFrom="page">
                <wp:posOffset>1772920</wp:posOffset>
              </wp:positionH>
              <wp:positionV relativeFrom="page">
                <wp:posOffset>307975</wp:posOffset>
              </wp:positionV>
              <wp:extent cx="3096895" cy="79375"/>
              <wp:effectExtent l="0" t="0" r="0" b="0"/>
              <wp:wrapNone/>
              <wp:docPr id="1216" name="Shape 1216"/>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06846E24" w14:textId="77777777" w:rsidR="00093A32" w:rsidRDefault="00093A32">
                          <w:pPr>
                            <w:pStyle w:val="Headerorfooter0"/>
                            <w:tabs>
                              <w:tab w:val="right" w:pos="4877"/>
                            </w:tabs>
                            <w:rPr>
                              <w:sz w:val="16"/>
                              <w:szCs w:val="16"/>
                            </w:rPr>
                          </w:pPr>
                          <w:r>
                            <w:rPr>
                              <w:i/>
                              <w:iCs/>
                              <w:sz w:val="13"/>
                              <w:szCs w:val="13"/>
                            </w:rPr>
                            <w:t>LISTERIA MONOCYTOGENES</w:t>
                          </w:r>
                          <w:r>
                            <w:rPr>
                              <w:i/>
                              <w:iCs/>
                            </w:rPr>
                            <w:t>,</w:t>
                          </w:r>
                          <w:r>
                            <w:t xml:space="preserve"> INFECCIONES</w:t>
                          </w:r>
                          <w:r>
                            <w:tab/>
                          </w:r>
                          <w:r>
                            <w:rPr>
                              <w:sz w:val="16"/>
                              <w:szCs w:val="16"/>
                            </w:rPr>
                            <w:t>477</w:t>
                          </w:r>
                        </w:p>
                      </w:txbxContent>
                    </wps:txbx>
                    <wps:bodyPr lIns="0" tIns="0" rIns="0" bIns="0">
                      <a:spAutoFit/>
                    </wps:bodyPr>
                  </wps:wsp>
                </a:graphicData>
              </a:graphic>
            </wp:anchor>
          </w:drawing>
        </mc:Choice>
        <mc:Fallback>
          <w:pict>
            <v:shapetype w14:anchorId="5ACCC9A4" id="_x0000_t202" coordsize="21600,21600" o:spt="202" path="m,l,21600r21600,l21600,xe">
              <v:stroke joinstyle="miter"/>
              <v:path gradientshapeok="t" o:connecttype="rect"/>
            </v:shapetype>
            <v:shape id="Shape 1216" o:spid="_x0000_s1275" type="#_x0000_t202" style="position:absolute;margin-left:139.6pt;margin-top:24.25pt;width:243.85pt;height:6.25pt;z-index:-2511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" filled="f" stroked="f">
              <v:textbox style="mso-fit-shape-to-text:t" inset="0,0,0,0">
                <w:txbxContent>
                  <w:p w14:paraId="06846E24" w14:textId="77777777" w:rsidR="00093A32" w:rsidRDefault="00093A32">
                    <w:pPr>
                      <w:pStyle w:val="Headerorfooter0"/>
                      <w:tabs>
                        <w:tab w:val="right" w:pos="4877"/>
                      </w:tabs>
                      <w:rPr>
                        <w:sz w:val="16"/>
                        <w:szCs w:val="16"/>
                      </w:rPr>
                    </w:pPr>
                    <w:r>
                      <w:rPr>
                        <w:i/>
                        <w:iCs/>
                        <w:sz w:val="13"/>
                        <w:szCs w:val="13"/>
                      </w:rPr>
                      <w:t>LISTERIA MONOCYTOGENES</w:t>
                    </w:r>
                    <w:r>
                      <w:rPr>
                        <w:i/>
                        <w:iCs/>
                      </w:rPr>
                      <w:t>,</w:t>
                    </w:r>
                    <w:r>
                      <w:t xml:space="preserve"> INFECCIONES</w:t>
                    </w:r>
                    <w:r>
                      <w:tab/>
                    </w:r>
                    <w:r>
                      <w:rPr>
                        <w:sz w:val="16"/>
                        <w:szCs w:val="16"/>
                      </w:rPr>
                      <w:t>477</w:t>
                    </w:r>
                  </w:p>
                </w:txbxContent>
              </v:textbox>
              <w10:wrap anchorx="page" anchory="page"/>
            </v:shape>
          </w:pict>
        </mc:Fallback>
      </mc:AlternateContent>
    </w:r>
    <w:r>
      <w:rPr>
        <w:noProof/>
      </w:rPr>
      <mc:AlternateContent>
        <mc:Choice Requires="wps">
          <w:drawing>
            <wp:anchor distT="0" distB="0" distL="114300" distR="114300" simplePos="0" relativeHeight="251892736" behindDoc="1" locked="0" layoutInCell="1" allowOverlap="1" wp14:anchorId="77856AE0" wp14:editId="54621D51">
              <wp:simplePos x="0" y="0"/>
              <wp:positionH relativeFrom="page">
                <wp:posOffset>532130</wp:posOffset>
              </wp:positionH>
              <wp:positionV relativeFrom="page">
                <wp:posOffset>416560</wp:posOffset>
              </wp:positionV>
              <wp:extent cx="4358640" cy="0"/>
              <wp:effectExtent l="0" t="0" r="0" b="0"/>
              <wp:wrapNone/>
              <wp:docPr id="1218" name="Shape 121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41427C" id="_x0000_t32" coordsize="21600,21600" o:spt="32" o:oned="t" path="m,l21600,21600e" filled="f">
              <v:path arrowok="t" fillok="f" o:connecttype="none"/>
              <o:lock v:ext="edit" shapetype="t"/>
            </v:shapetype>
            <v:shape id="Shape 1218" o:spid="_x0000_s1026" type="#_x0000_t32" style="position:absolute;margin-left:41.9pt;margin-top:32.8pt;width:343.2pt;height:0;z-index:-251423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oPkFz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uIh&#10;kgcFWZqBiH6eJ1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JoP&#10;kFzaAAAACAEAAA8AAAAAAAAAAAAAAAAAwgMAAGRycy9kb3ducmV2LnhtbFBLBQYAAAAABAAEAPMA&#10;AADJBAAAAAA=&#10;" strokeweight="1pt">
              <w10:wrap anchorx="page" anchory="page"/>
            </v:shape>
          </w:pict>
        </mc:Fallback>
      </mc:AlternateContent>
    </w: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A037" w14:textId="77777777" w:rsidR="00093A32" w:rsidRDefault="00093A32">
    <w:pPr>
      <w:spacing w:line="1" w:lineRule="exact"/>
    </w:pPr>
    <w:r>
      <w:rPr>
        <w:noProof/>
      </w:rPr>
      <mc:AlternateContent>
        <mc:Choice Requires="wps">
          <w:drawing>
            <wp:anchor distT="0" distB="0" distL="0" distR="0" simplePos="0" relativeHeight="252133376" behindDoc="1" locked="0" layoutInCell="1" allowOverlap="1" wp14:anchorId="530B95B3" wp14:editId="7E7AD5BB">
              <wp:simplePos x="0" y="0"/>
              <wp:positionH relativeFrom="page">
                <wp:posOffset>1772920</wp:posOffset>
              </wp:positionH>
              <wp:positionV relativeFrom="page">
                <wp:posOffset>307975</wp:posOffset>
              </wp:positionV>
              <wp:extent cx="3096895" cy="79375"/>
              <wp:effectExtent l="0" t="0" r="0" b="0"/>
              <wp:wrapNone/>
              <wp:docPr id="1213" name="Shape 1213"/>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1812F121" w14:textId="77777777" w:rsidR="00093A32" w:rsidRDefault="00093A32">
                          <w:pPr>
                            <w:pStyle w:val="Headerorfooter0"/>
                            <w:tabs>
                              <w:tab w:val="right" w:pos="4877"/>
                            </w:tabs>
                            <w:rPr>
                              <w:sz w:val="16"/>
                              <w:szCs w:val="16"/>
                            </w:rPr>
                          </w:pPr>
                          <w:r>
                            <w:rPr>
                              <w:i/>
                              <w:iCs/>
                              <w:sz w:val="13"/>
                              <w:szCs w:val="13"/>
                            </w:rPr>
                            <w:t>LISTERIA MONOCYTOGENES</w:t>
                          </w:r>
                          <w:r>
                            <w:rPr>
                              <w:i/>
                              <w:iCs/>
                            </w:rPr>
                            <w:t>,</w:t>
                          </w:r>
                          <w:r>
                            <w:t xml:space="preserve"> INFECCIONES</w:t>
                          </w:r>
                          <w:r>
                            <w:tab/>
                          </w:r>
                          <w:r>
                            <w:rPr>
                              <w:sz w:val="16"/>
                              <w:szCs w:val="16"/>
                            </w:rPr>
                            <w:t>477</w:t>
                          </w:r>
                        </w:p>
                      </w:txbxContent>
                    </wps:txbx>
                    <wps:bodyPr lIns="0" tIns="0" rIns="0" bIns="0">
                      <a:spAutoFit/>
                    </wps:bodyPr>
                  </wps:wsp>
                </a:graphicData>
              </a:graphic>
            </wp:anchor>
          </w:drawing>
        </mc:Choice>
        <mc:Fallback>
          <w:pict>
            <v:shapetype w14:anchorId="530B95B3" id="_x0000_t202" coordsize="21600,21600" o:spt="202" path="m,l,21600r21600,l21600,xe">
              <v:stroke joinstyle="miter"/>
              <v:path gradientshapeok="t" o:connecttype="rect"/>
            </v:shapetype>
            <v:shape id="Shape 1213" o:spid="_x0000_s1276" type="#_x0000_t202" style="position:absolute;margin-left:139.6pt;margin-top:24.25pt;width:243.85pt;height:6.25pt;z-index:-2511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" filled="f" stroked="f">
              <v:textbox style="mso-fit-shape-to-text:t" inset="0,0,0,0">
                <w:txbxContent>
                  <w:p w14:paraId="1812F121" w14:textId="77777777" w:rsidR="00093A32" w:rsidRDefault="00093A32">
                    <w:pPr>
                      <w:pStyle w:val="Headerorfooter0"/>
                      <w:tabs>
                        <w:tab w:val="right" w:pos="4877"/>
                      </w:tabs>
                      <w:rPr>
                        <w:sz w:val="16"/>
                        <w:szCs w:val="16"/>
                      </w:rPr>
                    </w:pPr>
                    <w:r>
                      <w:rPr>
                        <w:i/>
                        <w:iCs/>
                        <w:sz w:val="13"/>
                        <w:szCs w:val="13"/>
                      </w:rPr>
                      <w:t>LISTERIA MONOCYTOGENES</w:t>
                    </w:r>
                    <w:r>
                      <w:rPr>
                        <w:i/>
                        <w:iCs/>
                      </w:rPr>
                      <w:t>,</w:t>
                    </w:r>
                    <w:r>
                      <w:t xml:space="preserve"> INFECCIONES</w:t>
                    </w:r>
                    <w:r>
                      <w:tab/>
                    </w:r>
                    <w:r>
                      <w:rPr>
                        <w:sz w:val="16"/>
                        <w:szCs w:val="16"/>
                      </w:rPr>
                      <w:t>477</w:t>
                    </w:r>
                  </w:p>
                </w:txbxContent>
              </v:textbox>
              <w10:wrap anchorx="page" anchory="page"/>
            </v:shape>
          </w:pict>
        </mc:Fallback>
      </mc:AlternateContent>
    </w:r>
    <w:r>
      <w:rPr>
        <w:noProof/>
      </w:rPr>
      <mc:AlternateContent>
        <mc:Choice Requires="wps">
          <w:drawing>
            <wp:anchor distT="0" distB="0" distL="114300" distR="114300" simplePos="0" relativeHeight="251891712" behindDoc="1" locked="0" layoutInCell="1" allowOverlap="1" wp14:anchorId="496661BE" wp14:editId="77C084C5">
              <wp:simplePos x="0" y="0"/>
              <wp:positionH relativeFrom="page">
                <wp:posOffset>532130</wp:posOffset>
              </wp:positionH>
              <wp:positionV relativeFrom="page">
                <wp:posOffset>416560</wp:posOffset>
              </wp:positionV>
              <wp:extent cx="4358640" cy="0"/>
              <wp:effectExtent l="0" t="0" r="0" b="0"/>
              <wp:wrapNone/>
              <wp:docPr id="1215" name="Shape 121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5A4C11B" id="_x0000_t32" coordsize="21600,21600" o:spt="32" o:oned="t" path="m,l21600,21600e" filled="f">
              <v:path arrowok="t" fillok="f" o:connecttype="none"/>
              <o:lock v:ext="edit" shapetype="t"/>
            </v:shapetype>
            <v:shape id="Shape 1215" o:spid="_x0000_s1026" type="#_x0000_t32" style="position:absolute;margin-left:41.9pt;margin-top:32.8pt;width:343.2pt;height:0;z-index:-2514247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oPkFz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uIh&#10;kgcFWZqBiH6eJ1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JoP&#10;kFzaAAAACAEAAA8AAAAAAAAAAAAAAAAAwgMAAGRycy9kb3ducmV2LnhtbFBLBQYAAAAABAAEAPMA&#10;AADJBAAAAAA=&#10;" strokeweight="1pt">
              <w10:wrap anchorx="page" anchory="page"/>
            </v:shape>
          </w:pict>
        </mc:Fallback>
      </mc:AlternateContent>
    </w: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BEAE" w14:textId="77777777" w:rsidR="00093A32" w:rsidRDefault="00093A32">
    <w:pPr>
      <w:spacing w:line="1" w:lineRule="exact"/>
    </w:pPr>
    <w:r>
      <w:rPr>
        <w:noProof/>
      </w:rPr>
      <mc:AlternateContent>
        <mc:Choice Requires="wps">
          <w:drawing>
            <wp:anchor distT="0" distB="0" distL="0" distR="0" simplePos="0" relativeHeight="252135424" behindDoc="1" locked="0" layoutInCell="1" allowOverlap="1" wp14:anchorId="2FB27619" wp14:editId="6C6972B9">
              <wp:simplePos x="0" y="0"/>
              <wp:positionH relativeFrom="page">
                <wp:posOffset>552450</wp:posOffset>
              </wp:positionH>
              <wp:positionV relativeFrom="page">
                <wp:posOffset>307975</wp:posOffset>
              </wp:positionV>
              <wp:extent cx="3096895" cy="79375"/>
              <wp:effectExtent l="0" t="0" r="0" b="0"/>
              <wp:wrapNone/>
              <wp:docPr id="1219" name="Shape 1219"/>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4095739E" w14:textId="77777777" w:rsidR="00093A32" w:rsidRDefault="00093A32">
                          <w:pPr>
                            <w:pStyle w:val="Headerorfooter0"/>
                            <w:tabs>
                              <w:tab w:val="right" w:pos="4877"/>
                            </w:tabs>
                          </w:pPr>
                          <w:r>
                            <w:rPr>
                              <w:sz w:val="16"/>
                              <w:szCs w:val="16"/>
                            </w:rPr>
                            <w:t>476</w:t>
                          </w:r>
                          <w:r>
                            <w:rPr>
                              <w:sz w:val="16"/>
                              <w:szCs w:val="16"/>
                            </w:rPr>
                            <w:tab/>
                          </w:r>
                          <w:r>
                            <w:rPr>
                              <w:i/>
                              <w:iCs/>
                              <w:sz w:val="13"/>
                              <w:szCs w:val="13"/>
                            </w:rPr>
                            <w:t>LISTERIA MONOCYTOGENES</w:t>
                          </w:r>
                          <w:r>
                            <w:rPr>
                              <w:i/>
                              <w:iCs/>
                            </w:rPr>
                            <w:t>,</w:t>
                          </w:r>
                          <w:r>
                            <w:t xml:space="preserve"> INFECCIONES</w:t>
                          </w:r>
                        </w:p>
                      </w:txbxContent>
                    </wps:txbx>
                    <wps:bodyPr lIns="0" tIns="0" rIns="0" bIns="0">
                      <a:spAutoFit/>
                    </wps:bodyPr>
                  </wps:wsp>
                </a:graphicData>
              </a:graphic>
            </wp:anchor>
          </w:drawing>
        </mc:Choice>
        <mc:Fallback>
          <w:pict>
            <v:shapetype w14:anchorId="2FB27619" id="_x0000_t202" coordsize="21600,21600" o:spt="202" path="m,l,21600r21600,l21600,xe">
              <v:stroke joinstyle="miter"/>
              <v:path gradientshapeok="t" o:connecttype="rect"/>
            </v:shapetype>
            <v:shape id="Shape 1219" o:spid="_x0000_s1277" type="#_x0000_t202" style="position:absolute;margin-left:43.5pt;margin-top:24.25pt;width:243.85pt;height:6.25pt;z-index:-2511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QQgAEAAPwCAAAOAAAAZHJzL2Uyb0RvYy54bWysUttOwzAMfUfiH6K8s5ZNXFa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" filled="f" stroked="f">
              <v:textbox style="mso-fit-shape-to-text:t" inset="0,0,0,0">
                <w:txbxContent>
                  <w:p w14:paraId="4095739E" w14:textId="77777777" w:rsidR="00093A32" w:rsidRDefault="00093A32">
                    <w:pPr>
                      <w:pStyle w:val="Headerorfooter0"/>
                      <w:tabs>
                        <w:tab w:val="right" w:pos="4877"/>
                      </w:tabs>
                    </w:pPr>
                    <w:r>
                      <w:rPr>
                        <w:sz w:val="16"/>
                        <w:szCs w:val="16"/>
                      </w:rPr>
                      <w:t>476</w:t>
                    </w:r>
                    <w:r>
                      <w:rPr>
                        <w:sz w:val="16"/>
                        <w:szCs w:val="16"/>
                      </w:rPr>
                      <w:tab/>
                    </w:r>
                    <w:r>
                      <w:rPr>
                        <w:i/>
                        <w:iCs/>
                        <w:sz w:val="13"/>
                        <w:szCs w:val="13"/>
                      </w:rPr>
                      <w:t>LISTERIA MONOCYTOGENES</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93760" behindDoc="1" locked="0" layoutInCell="1" allowOverlap="1" wp14:anchorId="246314A7" wp14:editId="081BFE72">
              <wp:simplePos x="0" y="0"/>
              <wp:positionH relativeFrom="page">
                <wp:posOffset>537210</wp:posOffset>
              </wp:positionH>
              <wp:positionV relativeFrom="page">
                <wp:posOffset>416560</wp:posOffset>
              </wp:positionV>
              <wp:extent cx="4358640" cy="0"/>
              <wp:effectExtent l="0" t="0" r="0" b="0"/>
              <wp:wrapNone/>
              <wp:docPr id="1221" name="Shape 122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DBDAF3" id="_x0000_t32" coordsize="21600,21600" o:spt="32" o:oned="t" path="m,l21600,21600e" filled="f">
              <v:path arrowok="t" fillok="f" o:connecttype="none"/>
              <o:lock v:ext="edit" shapetype="t"/>
            </v:shapetype>
            <v:shape id="Shape 1221" o:spid="_x0000_s1026" type="#_x0000_t32" style="position:absolute;margin-left:42.3pt;margin-top:32.8pt;width:343.2pt;height:0;z-index:-2514227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"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C08"/>
    <w:multiLevelType w:val="multilevel"/>
    <w:tmpl w:val="12E6500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733C52"/>
    <w:multiLevelType w:val="multilevel"/>
    <w:tmpl w:val="B8D0A9F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BC443B"/>
    <w:multiLevelType w:val="multilevel"/>
    <w:tmpl w:val="9A74C74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00E29"/>
    <w:multiLevelType w:val="multilevel"/>
    <w:tmpl w:val="D5A2566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A65F6"/>
    <w:multiLevelType w:val="multilevel"/>
    <w:tmpl w:val="D17E4D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CC45F8"/>
    <w:multiLevelType w:val="multilevel"/>
    <w:tmpl w:val="F1C6D8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E60D15"/>
    <w:multiLevelType w:val="multilevel"/>
    <w:tmpl w:val="4080D8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A537B7"/>
    <w:multiLevelType w:val="multilevel"/>
    <w:tmpl w:val="4E5478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F0541C"/>
    <w:multiLevelType w:val="multilevel"/>
    <w:tmpl w:val="FC6A00BA"/>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0730CA"/>
    <w:multiLevelType w:val="multilevel"/>
    <w:tmpl w:val="D8EEBF9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1C1E7C"/>
    <w:multiLevelType w:val="multilevel"/>
    <w:tmpl w:val="6B80769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98F6712"/>
    <w:multiLevelType w:val="multilevel"/>
    <w:tmpl w:val="E8688666"/>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837A37"/>
    <w:multiLevelType w:val="multilevel"/>
    <w:tmpl w:val="B566B676"/>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310F33"/>
    <w:multiLevelType w:val="multilevel"/>
    <w:tmpl w:val="ACA257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B62B1"/>
    <w:multiLevelType w:val="multilevel"/>
    <w:tmpl w:val="E7AA22B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C264F45"/>
    <w:multiLevelType w:val="multilevel"/>
    <w:tmpl w:val="B9ACB18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E197A34"/>
    <w:multiLevelType w:val="multilevel"/>
    <w:tmpl w:val="DDF48D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60087B"/>
    <w:multiLevelType w:val="multilevel"/>
    <w:tmpl w:val="F7E820E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F7E0156"/>
    <w:multiLevelType w:val="multilevel"/>
    <w:tmpl w:val="ED2C6D2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04C6F74"/>
    <w:multiLevelType w:val="multilevel"/>
    <w:tmpl w:val="E66EC1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0955F51"/>
    <w:multiLevelType w:val="multilevel"/>
    <w:tmpl w:val="E92274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0B360C5"/>
    <w:multiLevelType w:val="multilevel"/>
    <w:tmpl w:val="6A48C06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18B3383"/>
    <w:multiLevelType w:val="multilevel"/>
    <w:tmpl w:val="E46ED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1D60126"/>
    <w:multiLevelType w:val="multilevel"/>
    <w:tmpl w:val="8BC223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2CF55A4"/>
    <w:multiLevelType w:val="multilevel"/>
    <w:tmpl w:val="5902347A"/>
    <w:lvl w:ilvl="0">
      <w:start w:val="1"/>
      <w:numFmt w:val="upperRoman"/>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4541776"/>
    <w:multiLevelType w:val="multilevel"/>
    <w:tmpl w:val="7722E05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4582528"/>
    <w:multiLevelType w:val="multilevel"/>
    <w:tmpl w:val="48CC324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51F6E15"/>
    <w:multiLevelType w:val="multilevel"/>
    <w:tmpl w:val="E65A9620"/>
    <w:lvl w:ilvl="0">
      <w:start w:val="4"/>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5370C74"/>
    <w:multiLevelType w:val="multilevel"/>
    <w:tmpl w:val="CCC435A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57F63E2"/>
    <w:multiLevelType w:val="multilevel"/>
    <w:tmpl w:val="58AE6BCE"/>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58B31BD"/>
    <w:multiLevelType w:val="multilevel"/>
    <w:tmpl w:val="D7682A1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59C4862"/>
    <w:multiLevelType w:val="multilevel"/>
    <w:tmpl w:val="1C6CC4FC"/>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5A22458"/>
    <w:multiLevelType w:val="multilevel"/>
    <w:tmpl w:val="014635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6765669"/>
    <w:multiLevelType w:val="multilevel"/>
    <w:tmpl w:val="6EA4F060"/>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8F46DC4"/>
    <w:multiLevelType w:val="multilevel"/>
    <w:tmpl w:val="8FD459A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93F4BA6"/>
    <w:multiLevelType w:val="multilevel"/>
    <w:tmpl w:val="E96680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A6F5C41"/>
    <w:multiLevelType w:val="multilevel"/>
    <w:tmpl w:val="F25449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A84658D"/>
    <w:multiLevelType w:val="multilevel"/>
    <w:tmpl w:val="2F7C2BB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B720B08"/>
    <w:multiLevelType w:val="multilevel"/>
    <w:tmpl w:val="E03E2C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C8B3D27"/>
    <w:multiLevelType w:val="multilevel"/>
    <w:tmpl w:val="795407D8"/>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F7501E3"/>
    <w:multiLevelType w:val="multilevel"/>
    <w:tmpl w:val="0716340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F843E2E"/>
    <w:multiLevelType w:val="multilevel"/>
    <w:tmpl w:val="5378B38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FC87046"/>
    <w:multiLevelType w:val="multilevel"/>
    <w:tmpl w:val="1D0EE7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FDC7362"/>
    <w:multiLevelType w:val="multilevel"/>
    <w:tmpl w:val="74E61570"/>
    <w:lvl w:ilvl="0">
      <w:start w:val="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19331BF"/>
    <w:multiLevelType w:val="multilevel"/>
    <w:tmpl w:val="3C5AA57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25D0A53"/>
    <w:multiLevelType w:val="multilevel"/>
    <w:tmpl w:val="A5C4DFB6"/>
    <w:lvl w:ilvl="0">
      <w:start w:val="1"/>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39C4B8D"/>
    <w:multiLevelType w:val="multilevel"/>
    <w:tmpl w:val="4FA0179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3A17DE1"/>
    <w:multiLevelType w:val="multilevel"/>
    <w:tmpl w:val="C35067B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3BC1767"/>
    <w:multiLevelType w:val="multilevel"/>
    <w:tmpl w:val="EEE8BE9C"/>
    <w:lvl w:ilvl="0">
      <w:start w:val="2"/>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4840FBD"/>
    <w:multiLevelType w:val="multilevel"/>
    <w:tmpl w:val="CB98FFF2"/>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4CB2CBA"/>
    <w:multiLevelType w:val="multilevel"/>
    <w:tmpl w:val="4DC27AF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5197BBD"/>
    <w:multiLevelType w:val="multilevel"/>
    <w:tmpl w:val="B79C78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5A74312"/>
    <w:multiLevelType w:val="multilevel"/>
    <w:tmpl w:val="962A69AE"/>
    <w:lvl w:ilvl="0">
      <w:start w:val="1"/>
      <w:numFmt w:val="bullet"/>
      <w:lvlText w:val="Y"/>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5EC19D3"/>
    <w:multiLevelType w:val="multilevel"/>
    <w:tmpl w:val="CA36149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5EE5ED4"/>
    <w:multiLevelType w:val="multilevel"/>
    <w:tmpl w:val="4AF4C1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6EF6478"/>
    <w:multiLevelType w:val="multilevel"/>
    <w:tmpl w:val="1E26DED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78A2151"/>
    <w:multiLevelType w:val="multilevel"/>
    <w:tmpl w:val="D0EA1F2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7D602C6"/>
    <w:multiLevelType w:val="multilevel"/>
    <w:tmpl w:val="334661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8A45D03"/>
    <w:multiLevelType w:val="multilevel"/>
    <w:tmpl w:val="02B63CA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9AB490E"/>
    <w:multiLevelType w:val="multilevel"/>
    <w:tmpl w:val="D5C208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A3571BC"/>
    <w:multiLevelType w:val="multilevel"/>
    <w:tmpl w:val="FE302D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AAC3EB3"/>
    <w:multiLevelType w:val="multilevel"/>
    <w:tmpl w:val="3224120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B8716F9"/>
    <w:multiLevelType w:val="multilevel"/>
    <w:tmpl w:val="1CFC30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BA92B58"/>
    <w:multiLevelType w:val="multilevel"/>
    <w:tmpl w:val="1F36C2DC"/>
    <w:lvl w:ilvl="0">
      <w:start w:val="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C7251D1"/>
    <w:multiLevelType w:val="multilevel"/>
    <w:tmpl w:val="0512BF12"/>
    <w:lvl w:ilvl="0">
      <w:start w:val="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DAC50B8"/>
    <w:multiLevelType w:val="multilevel"/>
    <w:tmpl w:val="DC32EE42"/>
    <w:lvl w:ilvl="0">
      <w:start w:val="1"/>
      <w:numFmt w:val="decimal"/>
      <w:lvlText w:val="%1."/>
      <w:lvlJc w:val="left"/>
      <w:rPr>
        <w:rFonts w:ascii="Arial" w:eastAsia="Arial" w:hAnsi="Arial" w:cs="Arial"/>
        <w:b/>
        <w:bCs/>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F494C4E"/>
    <w:multiLevelType w:val="multilevel"/>
    <w:tmpl w:val="359875A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F645C9F"/>
    <w:multiLevelType w:val="multilevel"/>
    <w:tmpl w:val="0FB85F3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1292C2E"/>
    <w:multiLevelType w:val="multilevel"/>
    <w:tmpl w:val="4F1C34E6"/>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19971B0"/>
    <w:multiLevelType w:val="multilevel"/>
    <w:tmpl w:val="5A24B470"/>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28B395F"/>
    <w:multiLevelType w:val="multilevel"/>
    <w:tmpl w:val="7AC0AC6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2B63FFC"/>
    <w:multiLevelType w:val="multilevel"/>
    <w:tmpl w:val="B3684D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45C7767"/>
    <w:multiLevelType w:val="multilevel"/>
    <w:tmpl w:val="D76ABC8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48D3DDA"/>
    <w:multiLevelType w:val="multilevel"/>
    <w:tmpl w:val="27A0935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75A35BE"/>
    <w:multiLevelType w:val="multilevel"/>
    <w:tmpl w:val="FDFEB84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7DB12A5"/>
    <w:multiLevelType w:val="multilevel"/>
    <w:tmpl w:val="CA62A288"/>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7E6237E"/>
    <w:multiLevelType w:val="multilevel"/>
    <w:tmpl w:val="B80E8B16"/>
    <w:lvl w:ilvl="0">
      <w:start w:val="5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909596B"/>
    <w:multiLevelType w:val="multilevel"/>
    <w:tmpl w:val="2E1A1A9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9273EC2"/>
    <w:multiLevelType w:val="multilevel"/>
    <w:tmpl w:val="A2368A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9315AAB"/>
    <w:multiLevelType w:val="multilevel"/>
    <w:tmpl w:val="379E2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A994F22"/>
    <w:multiLevelType w:val="multilevel"/>
    <w:tmpl w:val="FDE27A6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B975D3D"/>
    <w:multiLevelType w:val="multilevel"/>
    <w:tmpl w:val="4A3412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C1943F7"/>
    <w:multiLevelType w:val="multilevel"/>
    <w:tmpl w:val="23B8AA02"/>
    <w:lvl w:ilvl="0">
      <w:start w:val="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C3E5EE3"/>
    <w:multiLevelType w:val="multilevel"/>
    <w:tmpl w:val="F5CC229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CDD2D35"/>
    <w:multiLevelType w:val="multilevel"/>
    <w:tmpl w:val="F948018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D8567B6"/>
    <w:multiLevelType w:val="multilevel"/>
    <w:tmpl w:val="E92837D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0B80447"/>
    <w:multiLevelType w:val="multilevel"/>
    <w:tmpl w:val="A476CF1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0E72EE3"/>
    <w:multiLevelType w:val="multilevel"/>
    <w:tmpl w:val="FA96F85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2F591D"/>
    <w:multiLevelType w:val="multilevel"/>
    <w:tmpl w:val="E6D2972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1E414EF"/>
    <w:multiLevelType w:val="multilevel"/>
    <w:tmpl w:val="A6BC0A84"/>
    <w:lvl w:ilvl="0">
      <w:start w:val="1"/>
      <w:numFmt w:val="bullet"/>
      <w:lvlText w:val="□"/>
      <w:lvlJc w:val="left"/>
      <w:rPr>
        <w:rFonts w:ascii="Arial" w:eastAsia="Arial" w:hAnsi="Arial" w:cs="Arial"/>
        <w:b w:val="0"/>
        <w:bCs w:val="0"/>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1F2281F"/>
    <w:multiLevelType w:val="multilevel"/>
    <w:tmpl w:val="C840C89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2102774"/>
    <w:multiLevelType w:val="multilevel"/>
    <w:tmpl w:val="6C709A4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2126E58"/>
    <w:multiLevelType w:val="multilevel"/>
    <w:tmpl w:val="D892EA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26E2B34"/>
    <w:multiLevelType w:val="multilevel"/>
    <w:tmpl w:val="2C3209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2FE3E78"/>
    <w:multiLevelType w:val="multilevel"/>
    <w:tmpl w:val="7658AE2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33911FF"/>
    <w:multiLevelType w:val="multilevel"/>
    <w:tmpl w:val="94EC9D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37F3054"/>
    <w:multiLevelType w:val="multilevel"/>
    <w:tmpl w:val="80F827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43C67A0"/>
    <w:multiLevelType w:val="multilevel"/>
    <w:tmpl w:val="643821B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45543CE"/>
    <w:multiLevelType w:val="multilevel"/>
    <w:tmpl w:val="134CA11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552187B"/>
    <w:multiLevelType w:val="multilevel"/>
    <w:tmpl w:val="DBF0FF1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8017F42"/>
    <w:multiLevelType w:val="multilevel"/>
    <w:tmpl w:val="B316D3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92F6007"/>
    <w:multiLevelType w:val="multilevel"/>
    <w:tmpl w:val="77F2FF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980084A"/>
    <w:multiLevelType w:val="multilevel"/>
    <w:tmpl w:val="586C821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A667988"/>
    <w:multiLevelType w:val="multilevel"/>
    <w:tmpl w:val="3376BE3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B0A71C5"/>
    <w:multiLevelType w:val="multilevel"/>
    <w:tmpl w:val="D62C07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B60745E"/>
    <w:multiLevelType w:val="multilevel"/>
    <w:tmpl w:val="F60CABF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BEF4CA4"/>
    <w:multiLevelType w:val="multilevel"/>
    <w:tmpl w:val="C9DE005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C466168"/>
    <w:multiLevelType w:val="multilevel"/>
    <w:tmpl w:val="335A8DA6"/>
    <w:lvl w:ilvl="0">
      <w:start w:val="6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CF81472"/>
    <w:multiLevelType w:val="multilevel"/>
    <w:tmpl w:val="FCDE7384"/>
    <w:lvl w:ilvl="0">
      <w:start w:val="2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D307699"/>
    <w:multiLevelType w:val="multilevel"/>
    <w:tmpl w:val="3CD401D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E665E90"/>
    <w:multiLevelType w:val="multilevel"/>
    <w:tmpl w:val="23EA281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EA30E27"/>
    <w:multiLevelType w:val="multilevel"/>
    <w:tmpl w:val="6130E6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0D36967"/>
    <w:multiLevelType w:val="multilevel"/>
    <w:tmpl w:val="B8B68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1113609"/>
    <w:multiLevelType w:val="multilevel"/>
    <w:tmpl w:val="7AF8200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5E04E2"/>
    <w:multiLevelType w:val="multilevel"/>
    <w:tmpl w:val="E8ACB7F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3DD04A1"/>
    <w:multiLevelType w:val="multilevel"/>
    <w:tmpl w:val="80E407A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47B4C55"/>
    <w:multiLevelType w:val="multilevel"/>
    <w:tmpl w:val="389C394A"/>
    <w:lvl w:ilvl="0">
      <w:start w:val="10"/>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48529AF"/>
    <w:multiLevelType w:val="multilevel"/>
    <w:tmpl w:val="9BD020B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48B205A"/>
    <w:multiLevelType w:val="multilevel"/>
    <w:tmpl w:val="B66AB1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4D528B3"/>
    <w:multiLevelType w:val="multilevel"/>
    <w:tmpl w:val="2004AF7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54906B5"/>
    <w:multiLevelType w:val="multilevel"/>
    <w:tmpl w:val="1E4A632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69D0646"/>
    <w:multiLevelType w:val="multilevel"/>
    <w:tmpl w:val="CD0E4BD0"/>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6CB673D"/>
    <w:multiLevelType w:val="multilevel"/>
    <w:tmpl w:val="CBA03888"/>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6E66CEB"/>
    <w:multiLevelType w:val="multilevel"/>
    <w:tmpl w:val="A306A62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7C43E04"/>
    <w:multiLevelType w:val="multilevel"/>
    <w:tmpl w:val="B642A23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90C79C1"/>
    <w:multiLevelType w:val="multilevel"/>
    <w:tmpl w:val="72C0C22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AB342DA"/>
    <w:multiLevelType w:val="multilevel"/>
    <w:tmpl w:val="B2F4C0B4"/>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F22E6A"/>
    <w:multiLevelType w:val="multilevel"/>
    <w:tmpl w:val="8FF2D6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532C96"/>
    <w:multiLevelType w:val="multilevel"/>
    <w:tmpl w:val="4C8ADE7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F020EAC"/>
    <w:multiLevelType w:val="multilevel"/>
    <w:tmpl w:val="3E6E6A7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F1C7981"/>
    <w:multiLevelType w:val="multilevel"/>
    <w:tmpl w:val="4386C2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FCB4389"/>
    <w:multiLevelType w:val="multilevel"/>
    <w:tmpl w:val="21B2FDA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057461D"/>
    <w:multiLevelType w:val="multilevel"/>
    <w:tmpl w:val="F13076E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07B1A85"/>
    <w:multiLevelType w:val="multilevel"/>
    <w:tmpl w:val="40CAFDF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1456AD4"/>
    <w:multiLevelType w:val="multilevel"/>
    <w:tmpl w:val="3A44C6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2116357"/>
    <w:multiLevelType w:val="multilevel"/>
    <w:tmpl w:val="B748DA8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38C4EC2"/>
    <w:multiLevelType w:val="multilevel"/>
    <w:tmpl w:val="4184ED1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46838BD"/>
    <w:multiLevelType w:val="multilevel"/>
    <w:tmpl w:val="D25CA8B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58D1BAE"/>
    <w:multiLevelType w:val="multilevel"/>
    <w:tmpl w:val="1E5AB43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7113748"/>
    <w:multiLevelType w:val="multilevel"/>
    <w:tmpl w:val="192286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7B67B09"/>
    <w:multiLevelType w:val="multilevel"/>
    <w:tmpl w:val="B86A4BA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8652DA3"/>
    <w:multiLevelType w:val="multilevel"/>
    <w:tmpl w:val="1CAE7E7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86778EB"/>
    <w:multiLevelType w:val="multilevel"/>
    <w:tmpl w:val="5E94B37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93B487F"/>
    <w:multiLevelType w:val="multilevel"/>
    <w:tmpl w:val="025862D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9720BB4"/>
    <w:multiLevelType w:val="multilevel"/>
    <w:tmpl w:val="41F0E2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9BF0BA4"/>
    <w:multiLevelType w:val="multilevel"/>
    <w:tmpl w:val="63B234A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B032789"/>
    <w:multiLevelType w:val="multilevel"/>
    <w:tmpl w:val="DFE6310C"/>
    <w:lvl w:ilvl="0">
      <w:start w:val="7"/>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D7609F5"/>
    <w:multiLevelType w:val="multilevel"/>
    <w:tmpl w:val="7218A14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DEB181B"/>
    <w:multiLevelType w:val="multilevel"/>
    <w:tmpl w:val="0D94459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E5B6990"/>
    <w:multiLevelType w:val="multilevel"/>
    <w:tmpl w:val="F3F6A9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F252957"/>
    <w:multiLevelType w:val="multilevel"/>
    <w:tmpl w:val="684240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FC22AB2"/>
    <w:multiLevelType w:val="multilevel"/>
    <w:tmpl w:val="561E3F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0291285"/>
    <w:multiLevelType w:val="multilevel"/>
    <w:tmpl w:val="6FD26F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1215017"/>
    <w:multiLevelType w:val="multilevel"/>
    <w:tmpl w:val="A3C8C7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1215484"/>
    <w:multiLevelType w:val="multilevel"/>
    <w:tmpl w:val="3C027DE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15B012D"/>
    <w:multiLevelType w:val="multilevel"/>
    <w:tmpl w:val="6E30A6D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71CB5BC4"/>
    <w:multiLevelType w:val="multilevel"/>
    <w:tmpl w:val="62D4CA5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726717B3"/>
    <w:multiLevelType w:val="multilevel"/>
    <w:tmpl w:val="D254968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2753960"/>
    <w:multiLevelType w:val="multilevel"/>
    <w:tmpl w:val="D29AE6A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2DD6351"/>
    <w:multiLevelType w:val="multilevel"/>
    <w:tmpl w:val="C548D4A6"/>
    <w:lvl w:ilvl="0">
      <w:start w:val="8"/>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5092C21"/>
    <w:multiLevelType w:val="multilevel"/>
    <w:tmpl w:val="5F8E2B4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62C47A1"/>
    <w:multiLevelType w:val="multilevel"/>
    <w:tmpl w:val="78D2B40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98C45C7"/>
    <w:multiLevelType w:val="multilevel"/>
    <w:tmpl w:val="6FB63AB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A8E6AE4"/>
    <w:multiLevelType w:val="multilevel"/>
    <w:tmpl w:val="05CCC7EA"/>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C371BD4"/>
    <w:multiLevelType w:val="multilevel"/>
    <w:tmpl w:val="75303B8E"/>
    <w:lvl w:ilvl="0">
      <w:start w:val="1"/>
      <w:numFmt w:val="low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C5351CA"/>
    <w:multiLevelType w:val="multilevel"/>
    <w:tmpl w:val="EFEA949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E667209"/>
    <w:multiLevelType w:val="multilevel"/>
    <w:tmpl w:val="2D9870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F2B6BA5"/>
    <w:multiLevelType w:val="multilevel"/>
    <w:tmpl w:val="E03E4F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FF81ABC"/>
    <w:multiLevelType w:val="multilevel"/>
    <w:tmpl w:val="A302EC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5930848">
    <w:abstractNumId w:val="95"/>
  </w:num>
  <w:num w:numId="2" w16cid:durableId="1835878548">
    <w:abstractNumId w:val="156"/>
  </w:num>
  <w:num w:numId="3" w16cid:durableId="2121563228">
    <w:abstractNumId w:val="100"/>
  </w:num>
  <w:num w:numId="4" w16cid:durableId="1682732054">
    <w:abstractNumId w:val="31"/>
  </w:num>
  <w:num w:numId="5" w16cid:durableId="30619338">
    <w:abstractNumId w:val="163"/>
  </w:num>
  <w:num w:numId="6" w16cid:durableId="2040355869">
    <w:abstractNumId w:val="20"/>
  </w:num>
  <w:num w:numId="7" w16cid:durableId="150878561">
    <w:abstractNumId w:val="141"/>
  </w:num>
  <w:num w:numId="8" w16cid:durableId="2118207404">
    <w:abstractNumId w:val="148"/>
  </w:num>
  <w:num w:numId="9" w16cid:durableId="947002278">
    <w:abstractNumId w:val="134"/>
  </w:num>
  <w:num w:numId="10" w16cid:durableId="1454667316">
    <w:abstractNumId w:val="105"/>
  </w:num>
  <w:num w:numId="11" w16cid:durableId="1028145369">
    <w:abstractNumId w:val="67"/>
  </w:num>
  <w:num w:numId="12" w16cid:durableId="952059233">
    <w:abstractNumId w:val="106"/>
  </w:num>
  <w:num w:numId="13" w16cid:durableId="761802028">
    <w:abstractNumId w:val="124"/>
  </w:num>
  <w:num w:numId="14" w16cid:durableId="390153906">
    <w:abstractNumId w:val="24"/>
  </w:num>
  <w:num w:numId="15" w16cid:durableId="419789195">
    <w:abstractNumId w:val="34"/>
  </w:num>
  <w:num w:numId="16" w16cid:durableId="1995524730">
    <w:abstractNumId w:val="46"/>
  </w:num>
  <w:num w:numId="17" w16cid:durableId="815609861">
    <w:abstractNumId w:val="0"/>
  </w:num>
  <w:num w:numId="18" w16cid:durableId="855847583">
    <w:abstractNumId w:val="92"/>
  </w:num>
  <w:num w:numId="19" w16cid:durableId="1054963208">
    <w:abstractNumId w:val="80"/>
  </w:num>
  <w:num w:numId="20" w16cid:durableId="1204251259">
    <w:abstractNumId w:val="1"/>
  </w:num>
  <w:num w:numId="21" w16cid:durableId="1064331335">
    <w:abstractNumId w:val="61"/>
  </w:num>
  <w:num w:numId="22" w16cid:durableId="61488619">
    <w:abstractNumId w:val="65"/>
  </w:num>
  <w:num w:numId="23" w16cid:durableId="2119060427">
    <w:abstractNumId w:val="159"/>
  </w:num>
  <w:num w:numId="24" w16cid:durableId="800726256">
    <w:abstractNumId w:val="49"/>
  </w:num>
  <w:num w:numId="25" w16cid:durableId="1536697173">
    <w:abstractNumId w:val="144"/>
  </w:num>
  <w:num w:numId="26" w16cid:durableId="655303951">
    <w:abstractNumId w:val="89"/>
  </w:num>
  <w:num w:numId="27" w16cid:durableId="1044791084">
    <w:abstractNumId w:val="9"/>
  </w:num>
  <w:num w:numId="28" w16cid:durableId="362177227">
    <w:abstractNumId w:val="33"/>
  </w:num>
  <w:num w:numId="29" w16cid:durableId="1766342501">
    <w:abstractNumId w:val="137"/>
  </w:num>
  <w:num w:numId="30" w16cid:durableId="1652054455">
    <w:abstractNumId w:val="27"/>
  </w:num>
  <w:num w:numId="31" w16cid:durableId="827747659">
    <w:abstractNumId w:val="2"/>
  </w:num>
  <w:num w:numId="32" w16cid:durableId="1055856078">
    <w:abstractNumId w:val="94"/>
  </w:num>
  <w:num w:numId="33" w16cid:durableId="800927017">
    <w:abstractNumId w:val="38"/>
  </w:num>
  <w:num w:numId="34" w16cid:durableId="1898735747">
    <w:abstractNumId w:val="12"/>
  </w:num>
  <w:num w:numId="35" w16cid:durableId="1753359156">
    <w:abstractNumId w:val="151"/>
  </w:num>
  <w:num w:numId="36" w16cid:durableId="738018">
    <w:abstractNumId w:val="139"/>
  </w:num>
  <w:num w:numId="37" w16cid:durableId="1282804296">
    <w:abstractNumId w:val="101"/>
  </w:num>
  <w:num w:numId="38" w16cid:durableId="946698625">
    <w:abstractNumId w:val="96"/>
  </w:num>
  <w:num w:numId="39" w16cid:durableId="1161652036">
    <w:abstractNumId w:val="152"/>
  </w:num>
  <w:num w:numId="40" w16cid:durableId="86849086">
    <w:abstractNumId w:val="48"/>
  </w:num>
  <w:num w:numId="41" w16cid:durableId="1533028592">
    <w:abstractNumId w:val="57"/>
  </w:num>
  <w:num w:numId="42" w16cid:durableId="2107649576">
    <w:abstractNumId w:val="168"/>
  </w:num>
  <w:num w:numId="43" w16cid:durableId="2115980637">
    <w:abstractNumId w:val="15"/>
  </w:num>
  <w:num w:numId="44" w16cid:durableId="1666393065">
    <w:abstractNumId w:val="74"/>
  </w:num>
  <w:num w:numId="45" w16cid:durableId="311327405">
    <w:abstractNumId w:val="115"/>
  </w:num>
  <w:num w:numId="46" w16cid:durableId="338697250">
    <w:abstractNumId w:val="158"/>
  </w:num>
  <w:num w:numId="47" w16cid:durableId="1245917879">
    <w:abstractNumId w:val="40"/>
  </w:num>
  <w:num w:numId="48" w16cid:durableId="1869444971">
    <w:abstractNumId w:val="23"/>
  </w:num>
  <w:num w:numId="49" w16cid:durableId="743448988">
    <w:abstractNumId w:val="121"/>
  </w:num>
  <w:num w:numId="50" w16cid:durableId="619845231">
    <w:abstractNumId w:val="160"/>
  </w:num>
  <w:num w:numId="51" w16cid:durableId="1381054407">
    <w:abstractNumId w:val="51"/>
  </w:num>
  <w:num w:numId="52" w16cid:durableId="113864240">
    <w:abstractNumId w:val="78"/>
  </w:num>
  <w:num w:numId="53" w16cid:durableId="1550219030">
    <w:abstractNumId w:val="87"/>
  </w:num>
  <w:num w:numId="54" w16cid:durableId="1570262165">
    <w:abstractNumId w:val="44"/>
  </w:num>
  <w:num w:numId="55" w16cid:durableId="1460143852">
    <w:abstractNumId w:val="11"/>
  </w:num>
  <w:num w:numId="56" w16cid:durableId="1935936843">
    <w:abstractNumId w:val="32"/>
  </w:num>
  <w:num w:numId="57" w16cid:durableId="243490775">
    <w:abstractNumId w:val="103"/>
  </w:num>
  <w:num w:numId="58" w16cid:durableId="1297176452">
    <w:abstractNumId w:val="66"/>
  </w:num>
  <w:num w:numId="59" w16cid:durableId="953638670">
    <w:abstractNumId w:val="26"/>
  </w:num>
  <w:num w:numId="60" w16cid:durableId="436944837">
    <w:abstractNumId w:val="147"/>
  </w:num>
  <w:num w:numId="61" w16cid:durableId="1467970555">
    <w:abstractNumId w:val="162"/>
  </w:num>
  <w:num w:numId="62" w16cid:durableId="932472083">
    <w:abstractNumId w:val="93"/>
  </w:num>
  <w:num w:numId="63" w16cid:durableId="986401604">
    <w:abstractNumId w:val="99"/>
  </w:num>
  <w:num w:numId="64" w16cid:durableId="35473652">
    <w:abstractNumId w:val="7"/>
  </w:num>
  <w:num w:numId="65" w16cid:durableId="538662824">
    <w:abstractNumId w:val="157"/>
  </w:num>
  <w:num w:numId="66" w16cid:durableId="1876262610">
    <w:abstractNumId w:val="3"/>
  </w:num>
  <w:num w:numId="67" w16cid:durableId="394360433">
    <w:abstractNumId w:val="142"/>
  </w:num>
  <w:num w:numId="68" w16cid:durableId="1406954269">
    <w:abstractNumId w:val="129"/>
  </w:num>
  <w:num w:numId="69" w16cid:durableId="393235655">
    <w:abstractNumId w:val="71"/>
  </w:num>
  <w:num w:numId="70" w16cid:durableId="2130663177">
    <w:abstractNumId w:val="70"/>
  </w:num>
  <w:num w:numId="71" w16cid:durableId="1695881826">
    <w:abstractNumId w:val="68"/>
  </w:num>
  <w:num w:numId="72" w16cid:durableId="205265068">
    <w:abstractNumId w:val="58"/>
  </w:num>
  <w:num w:numId="73" w16cid:durableId="1492795773">
    <w:abstractNumId w:val="36"/>
  </w:num>
  <w:num w:numId="74" w16cid:durableId="1853493426">
    <w:abstractNumId w:val="77"/>
  </w:num>
  <w:num w:numId="75" w16cid:durableId="1904219532">
    <w:abstractNumId w:val="119"/>
  </w:num>
  <w:num w:numId="76" w16cid:durableId="1217425439">
    <w:abstractNumId w:val="90"/>
  </w:num>
  <w:num w:numId="77" w16cid:durableId="1434397082">
    <w:abstractNumId w:val="132"/>
  </w:num>
  <w:num w:numId="78" w16cid:durableId="939528699">
    <w:abstractNumId w:val="4"/>
  </w:num>
  <w:num w:numId="79" w16cid:durableId="1786384492">
    <w:abstractNumId w:val="16"/>
  </w:num>
  <w:num w:numId="80" w16cid:durableId="1914854322">
    <w:abstractNumId w:val="55"/>
  </w:num>
  <w:num w:numId="81" w16cid:durableId="585309618">
    <w:abstractNumId w:val="81"/>
  </w:num>
  <w:num w:numId="82" w16cid:durableId="1849562278">
    <w:abstractNumId w:val="98"/>
  </w:num>
  <w:num w:numId="83" w16cid:durableId="2015452010">
    <w:abstractNumId w:val="104"/>
  </w:num>
  <w:num w:numId="84" w16cid:durableId="674042319">
    <w:abstractNumId w:val="52"/>
  </w:num>
  <w:num w:numId="85" w16cid:durableId="723066206">
    <w:abstractNumId w:val="88"/>
  </w:num>
  <w:num w:numId="86" w16cid:durableId="201946194">
    <w:abstractNumId w:val="138"/>
  </w:num>
  <w:num w:numId="87" w16cid:durableId="1516530823">
    <w:abstractNumId w:val="154"/>
  </w:num>
  <w:num w:numId="88" w16cid:durableId="1048215267">
    <w:abstractNumId w:val="56"/>
  </w:num>
  <w:num w:numId="89" w16cid:durableId="1450509979">
    <w:abstractNumId w:val="72"/>
  </w:num>
  <w:num w:numId="90" w16cid:durableId="1681395070">
    <w:abstractNumId w:val="120"/>
  </w:num>
  <w:num w:numId="91" w16cid:durableId="1280452429">
    <w:abstractNumId w:val="13"/>
  </w:num>
  <w:num w:numId="92" w16cid:durableId="1019235532">
    <w:abstractNumId w:val="136"/>
  </w:num>
  <w:num w:numId="93" w16cid:durableId="1906645584">
    <w:abstractNumId w:val="19"/>
  </w:num>
  <w:num w:numId="94" w16cid:durableId="1464152184">
    <w:abstractNumId w:val="127"/>
  </w:num>
  <w:num w:numId="95" w16cid:durableId="419110282">
    <w:abstractNumId w:val="53"/>
  </w:num>
  <w:num w:numId="96" w16cid:durableId="417675029">
    <w:abstractNumId w:val="25"/>
  </w:num>
  <w:num w:numId="97" w16cid:durableId="1905093572">
    <w:abstractNumId w:val="30"/>
  </w:num>
  <w:num w:numId="98" w16cid:durableId="1780487608">
    <w:abstractNumId w:val="109"/>
  </w:num>
  <w:num w:numId="99" w16cid:durableId="357632563">
    <w:abstractNumId w:val="125"/>
  </w:num>
  <w:num w:numId="100" w16cid:durableId="1029641838">
    <w:abstractNumId w:val="83"/>
  </w:num>
  <w:num w:numId="101" w16cid:durableId="397169509">
    <w:abstractNumId w:val="18"/>
  </w:num>
  <w:num w:numId="102" w16cid:durableId="644042276">
    <w:abstractNumId w:val="110"/>
  </w:num>
  <w:num w:numId="103" w16cid:durableId="1673793969">
    <w:abstractNumId w:val="28"/>
  </w:num>
  <w:num w:numId="104" w16cid:durableId="817065260">
    <w:abstractNumId w:val="167"/>
  </w:num>
  <w:num w:numId="105" w16cid:durableId="1978415587">
    <w:abstractNumId w:val="37"/>
  </w:num>
  <w:num w:numId="106" w16cid:durableId="1829591492">
    <w:abstractNumId w:val="135"/>
  </w:num>
  <w:num w:numId="107" w16cid:durableId="276329096">
    <w:abstractNumId w:val="131"/>
  </w:num>
  <w:num w:numId="108" w16cid:durableId="117451728">
    <w:abstractNumId w:val="161"/>
  </w:num>
  <w:num w:numId="109" w16cid:durableId="134839075">
    <w:abstractNumId w:val="54"/>
  </w:num>
  <w:num w:numId="110" w16cid:durableId="1006635832">
    <w:abstractNumId w:val="41"/>
  </w:num>
  <w:num w:numId="111" w16cid:durableId="1763455654">
    <w:abstractNumId w:val="45"/>
  </w:num>
  <w:num w:numId="112" w16cid:durableId="1559513939">
    <w:abstractNumId w:val="145"/>
  </w:num>
  <w:num w:numId="113" w16cid:durableId="781536722">
    <w:abstractNumId w:val="29"/>
  </w:num>
  <w:num w:numId="114" w16cid:durableId="1169715393">
    <w:abstractNumId w:val="102"/>
  </w:num>
  <w:num w:numId="115" w16cid:durableId="313722807">
    <w:abstractNumId w:val="75"/>
  </w:num>
  <w:num w:numId="116" w16cid:durableId="1199004780">
    <w:abstractNumId w:val="113"/>
  </w:num>
  <w:num w:numId="117" w16cid:durableId="882671107">
    <w:abstractNumId w:val="117"/>
  </w:num>
  <w:num w:numId="118" w16cid:durableId="1516766270">
    <w:abstractNumId w:val="166"/>
  </w:num>
  <w:num w:numId="119" w16cid:durableId="1311860845">
    <w:abstractNumId w:val="128"/>
  </w:num>
  <w:num w:numId="120" w16cid:durableId="5719775">
    <w:abstractNumId w:val="153"/>
  </w:num>
  <w:num w:numId="121" w16cid:durableId="1025056349">
    <w:abstractNumId w:val="14"/>
  </w:num>
  <w:num w:numId="122" w16cid:durableId="1888176217">
    <w:abstractNumId w:val="21"/>
  </w:num>
  <w:num w:numId="123" w16cid:durableId="131944992">
    <w:abstractNumId w:val="126"/>
  </w:num>
  <w:num w:numId="124" w16cid:durableId="1054624587">
    <w:abstractNumId w:val="149"/>
  </w:num>
  <w:num w:numId="125" w16cid:durableId="1377898266">
    <w:abstractNumId w:val="5"/>
  </w:num>
  <w:num w:numId="126" w16cid:durableId="1746878540">
    <w:abstractNumId w:val="35"/>
  </w:num>
  <w:num w:numId="127" w16cid:durableId="1116555890">
    <w:abstractNumId w:val="130"/>
  </w:num>
  <w:num w:numId="128" w16cid:durableId="934288327">
    <w:abstractNumId w:val="111"/>
  </w:num>
  <w:num w:numId="129" w16cid:durableId="1812403379">
    <w:abstractNumId w:val="150"/>
  </w:num>
  <w:num w:numId="130" w16cid:durableId="650671470">
    <w:abstractNumId w:val="112"/>
  </w:num>
  <w:num w:numId="131" w16cid:durableId="713503182">
    <w:abstractNumId w:val="79"/>
  </w:num>
  <w:num w:numId="132" w16cid:durableId="2009163308">
    <w:abstractNumId w:val="59"/>
  </w:num>
  <w:num w:numId="133" w16cid:durableId="1242175431">
    <w:abstractNumId w:val="42"/>
  </w:num>
  <w:num w:numId="134" w16cid:durableId="1975477237">
    <w:abstractNumId w:val="22"/>
  </w:num>
  <w:num w:numId="135" w16cid:durableId="1731924173">
    <w:abstractNumId w:val="155"/>
  </w:num>
  <w:num w:numId="136" w16cid:durableId="1237351530">
    <w:abstractNumId w:val="39"/>
  </w:num>
  <w:num w:numId="137" w16cid:durableId="207189410">
    <w:abstractNumId w:val="108"/>
  </w:num>
  <w:num w:numId="138" w16cid:durableId="969940818">
    <w:abstractNumId w:val="76"/>
  </w:num>
  <w:num w:numId="139" w16cid:durableId="383874789">
    <w:abstractNumId w:val="63"/>
  </w:num>
  <w:num w:numId="140" w16cid:durableId="1629240953">
    <w:abstractNumId w:val="107"/>
  </w:num>
  <w:num w:numId="141" w16cid:durableId="2110849601">
    <w:abstractNumId w:val="64"/>
  </w:num>
  <w:num w:numId="142" w16cid:durableId="778449337">
    <w:abstractNumId w:val="43"/>
  </w:num>
  <w:num w:numId="143" w16cid:durableId="372538156">
    <w:abstractNumId w:val="82"/>
  </w:num>
  <w:num w:numId="144" w16cid:durableId="57095107">
    <w:abstractNumId w:val="62"/>
  </w:num>
  <w:num w:numId="145" w16cid:durableId="2062050882">
    <w:abstractNumId w:val="97"/>
  </w:num>
  <w:num w:numId="146" w16cid:durableId="1054626225">
    <w:abstractNumId w:val="123"/>
  </w:num>
  <w:num w:numId="147" w16cid:durableId="1807121542">
    <w:abstractNumId w:val="84"/>
  </w:num>
  <w:num w:numId="148" w16cid:durableId="1989941315">
    <w:abstractNumId w:val="91"/>
  </w:num>
  <w:num w:numId="149" w16cid:durableId="472867410">
    <w:abstractNumId w:val="118"/>
  </w:num>
  <w:num w:numId="150" w16cid:durableId="1702054598">
    <w:abstractNumId w:val="73"/>
  </w:num>
  <w:num w:numId="151" w16cid:durableId="703093498">
    <w:abstractNumId w:val="85"/>
  </w:num>
  <w:num w:numId="152" w16cid:durableId="1908103398">
    <w:abstractNumId w:val="114"/>
  </w:num>
  <w:num w:numId="153" w16cid:durableId="1231498215">
    <w:abstractNumId w:val="143"/>
  </w:num>
  <w:num w:numId="154" w16cid:durableId="828911810">
    <w:abstractNumId w:val="6"/>
  </w:num>
  <w:num w:numId="155" w16cid:durableId="1425178041">
    <w:abstractNumId w:val="8"/>
  </w:num>
  <w:num w:numId="156" w16cid:durableId="1816141318">
    <w:abstractNumId w:val="116"/>
  </w:num>
  <w:num w:numId="157" w16cid:durableId="1294093169">
    <w:abstractNumId w:val="146"/>
  </w:num>
  <w:num w:numId="158" w16cid:durableId="1095394081">
    <w:abstractNumId w:val="69"/>
  </w:num>
  <w:num w:numId="159" w16cid:durableId="414785498">
    <w:abstractNumId w:val="86"/>
  </w:num>
  <w:num w:numId="160" w16cid:durableId="1092049777">
    <w:abstractNumId w:val="122"/>
  </w:num>
  <w:num w:numId="161" w16cid:durableId="1274706663">
    <w:abstractNumId w:val="165"/>
  </w:num>
  <w:num w:numId="162" w16cid:durableId="1360934926">
    <w:abstractNumId w:val="10"/>
  </w:num>
  <w:num w:numId="163" w16cid:durableId="483741387">
    <w:abstractNumId w:val="140"/>
  </w:num>
  <w:num w:numId="164" w16cid:durableId="85152164">
    <w:abstractNumId w:val="60"/>
  </w:num>
  <w:num w:numId="165" w16cid:durableId="1081684534">
    <w:abstractNumId w:val="164"/>
  </w:num>
  <w:num w:numId="166" w16cid:durableId="263154808">
    <w:abstractNumId w:val="47"/>
  </w:num>
  <w:num w:numId="167" w16cid:durableId="1624506957">
    <w:abstractNumId w:val="50"/>
  </w:num>
  <w:num w:numId="168" w16cid:durableId="799346886">
    <w:abstractNumId w:val="133"/>
  </w:num>
  <w:num w:numId="169" w16cid:durableId="1527711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32"/>
    <w:rsid w:val="000368F3"/>
    <w:rsid w:val="00064DBD"/>
    <w:rsid w:val="00093A32"/>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37"/>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77B86"/>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65E1"/>
  <w15:chartTrackingRefBased/>
  <w15:docId w15:val="{D14F9194-B8DC-49F3-A388-AC654B02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A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A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A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A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A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A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A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32"/>
    <w:rPr>
      <w:rFonts w:eastAsiaTheme="majorEastAsia" w:cstheme="majorBidi"/>
      <w:color w:val="272727" w:themeColor="text1" w:themeTint="D8"/>
    </w:rPr>
  </w:style>
  <w:style w:type="paragraph" w:styleId="Title">
    <w:name w:val="Title"/>
    <w:basedOn w:val="Normal"/>
    <w:next w:val="Normal"/>
    <w:link w:val="TitleChar"/>
    <w:uiPriority w:val="10"/>
    <w:qFormat/>
    <w:rsid w:val="00093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32"/>
    <w:pPr>
      <w:spacing w:before="160"/>
      <w:jc w:val="center"/>
    </w:pPr>
    <w:rPr>
      <w:i/>
      <w:iCs/>
      <w:color w:val="404040" w:themeColor="text1" w:themeTint="BF"/>
    </w:rPr>
  </w:style>
  <w:style w:type="character" w:customStyle="1" w:styleId="QuoteChar">
    <w:name w:val="Quote Char"/>
    <w:basedOn w:val="DefaultParagraphFont"/>
    <w:link w:val="Quote"/>
    <w:uiPriority w:val="29"/>
    <w:rsid w:val="00093A32"/>
    <w:rPr>
      <w:i/>
      <w:iCs/>
      <w:color w:val="404040" w:themeColor="text1" w:themeTint="BF"/>
    </w:rPr>
  </w:style>
  <w:style w:type="paragraph" w:styleId="ListParagraph">
    <w:name w:val="List Paragraph"/>
    <w:basedOn w:val="Normal"/>
    <w:uiPriority w:val="34"/>
    <w:qFormat/>
    <w:rsid w:val="00093A32"/>
    <w:pPr>
      <w:ind w:left="720"/>
      <w:contextualSpacing/>
    </w:pPr>
  </w:style>
  <w:style w:type="character" w:styleId="IntenseEmphasis">
    <w:name w:val="Intense Emphasis"/>
    <w:basedOn w:val="DefaultParagraphFont"/>
    <w:uiPriority w:val="21"/>
    <w:qFormat/>
    <w:rsid w:val="00093A32"/>
    <w:rPr>
      <w:i/>
      <w:iCs/>
      <w:color w:val="2F5496" w:themeColor="accent1" w:themeShade="BF"/>
    </w:rPr>
  </w:style>
  <w:style w:type="paragraph" w:styleId="IntenseQuote">
    <w:name w:val="Intense Quote"/>
    <w:basedOn w:val="Normal"/>
    <w:next w:val="Normal"/>
    <w:link w:val="IntenseQuoteChar"/>
    <w:uiPriority w:val="30"/>
    <w:qFormat/>
    <w:rsid w:val="00093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A32"/>
    <w:rPr>
      <w:i/>
      <w:iCs/>
      <w:color w:val="2F5496" w:themeColor="accent1" w:themeShade="BF"/>
    </w:rPr>
  </w:style>
  <w:style w:type="character" w:styleId="IntenseReference">
    <w:name w:val="Intense Reference"/>
    <w:basedOn w:val="DefaultParagraphFont"/>
    <w:uiPriority w:val="32"/>
    <w:qFormat/>
    <w:rsid w:val="00093A32"/>
    <w:rPr>
      <w:b/>
      <w:bCs/>
      <w:smallCaps/>
      <w:color w:val="2F5496" w:themeColor="accent1" w:themeShade="BF"/>
      <w:spacing w:val="5"/>
    </w:rPr>
  </w:style>
  <w:style w:type="character" w:customStyle="1" w:styleId="Footnote">
    <w:name w:val="Footnote_"/>
    <w:basedOn w:val="DefaultParagraphFont"/>
    <w:link w:val="Footnote0"/>
    <w:rsid w:val="00093A32"/>
    <w:rPr>
      <w:rFonts w:ascii="Times New Roman" w:eastAsia="Times New Roman" w:hAnsi="Times New Roman" w:cs="Times New Roman"/>
      <w:color w:val="231F20"/>
      <w:sz w:val="15"/>
      <w:szCs w:val="15"/>
    </w:rPr>
  </w:style>
  <w:style w:type="character" w:customStyle="1" w:styleId="Heading20">
    <w:name w:val="Heading #2_"/>
    <w:basedOn w:val="DefaultParagraphFont"/>
    <w:link w:val="Heading21"/>
    <w:rsid w:val="00093A32"/>
    <w:rPr>
      <w:rFonts w:ascii="Arial" w:eastAsia="Arial" w:hAnsi="Arial" w:cs="Arial"/>
      <w:b/>
      <w:bCs/>
      <w:color w:val="231F20"/>
      <w:w w:val="70"/>
      <w:sz w:val="42"/>
      <w:szCs w:val="42"/>
    </w:rPr>
  </w:style>
  <w:style w:type="character" w:customStyle="1" w:styleId="BodyTextChar">
    <w:name w:val="Body Text Char"/>
    <w:basedOn w:val="DefaultParagraphFont"/>
    <w:link w:val="BodyText"/>
    <w:rsid w:val="00093A32"/>
    <w:rPr>
      <w:rFonts w:ascii="Garamond" w:eastAsia="Garamond" w:hAnsi="Garamond" w:cs="Garamond"/>
      <w:color w:val="231F20"/>
      <w:sz w:val="19"/>
      <w:szCs w:val="19"/>
    </w:rPr>
  </w:style>
  <w:style w:type="character" w:customStyle="1" w:styleId="Headerorfooter2">
    <w:name w:val="Header or footer (2)_"/>
    <w:basedOn w:val="DefaultParagraphFont"/>
    <w:link w:val="Headerorfooter20"/>
    <w:rsid w:val="00093A32"/>
    <w:rPr>
      <w:rFonts w:ascii="Times New Roman" w:eastAsia="Times New Roman" w:hAnsi="Times New Roman" w:cs="Times New Roman"/>
      <w:sz w:val="20"/>
      <w:szCs w:val="20"/>
    </w:rPr>
  </w:style>
  <w:style w:type="character" w:customStyle="1" w:styleId="Tableofcontents">
    <w:name w:val="Table of contents_"/>
    <w:basedOn w:val="DefaultParagraphFont"/>
    <w:link w:val="Tableofcontents0"/>
    <w:rsid w:val="00093A32"/>
    <w:rPr>
      <w:rFonts w:ascii="Garamond" w:eastAsia="Garamond" w:hAnsi="Garamond" w:cs="Garamond"/>
      <w:color w:val="231F20"/>
      <w:sz w:val="19"/>
      <w:szCs w:val="19"/>
    </w:rPr>
  </w:style>
  <w:style w:type="character" w:customStyle="1" w:styleId="Bodytext2">
    <w:name w:val="Body text (2)_"/>
    <w:basedOn w:val="DefaultParagraphFont"/>
    <w:link w:val="Bodytext20"/>
    <w:rsid w:val="00093A32"/>
    <w:rPr>
      <w:rFonts w:ascii="Times New Roman" w:eastAsia="Times New Roman" w:hAnsi="Times New Roman" w:cs="Times New Roman"/>
      <w:color w:val="231F20"/>
      <w:sz w:val="16"/>
      <w:szCs w:val="16"/>
    </w:rPr>
  </w:style>
  <w:style w:type="character" w:customStyle="1" w:styleId="Other">
    <w:name w:val="Other_"/>
    <w:basedOn w:val="DefaultParagraphFont"/>
    <w:link w:val="Other0"/>
    <w:rsid w:val="00093A32"/>
    <w:rPr>
      <w:rFonts w:ascii="Garamond" w:eastAsia="Garamond" w:hAnsi="Garamond" w:cs="Garamond"/>
      <w:color w:val="231F20"/>
      <w:sz w:val="19"/>
      <w:szCs w:val="19"/>
    </w:rPr>
  </w:style>
  <w:style w:type="character" w:customStyle="1" w:styleId="Heading10">
    <w:name w:val="Heading #1_"/>
    <w:basedOn w:val="DefaultParagraphFont"/>
    <w:link w:val="Heading11"/>
    <w:rsid w:val="00093A32"/>
    <w:rPr>
      <w:rFonts w:ascii="Arial" w:eastAsia="Arial" w:hAnsi="Arial" w:cs="Arial"/>
      <w:b/>
      <w:bCs/>
      <w:color w:val="231F20"/>
      <w:w w:val="70"/>
      <w:sz w:val="48"/>
      <w:szCs w:val="48"/>
    </w:rPr>
  </w:style>
  <w:style w:type="character" w:customStyle="1" w:styleId="Heading30">
    <w:name w:val="Heading #3_"/>
    <w:basedOn w:val="DefaultParagraphFont"/>
    <w:link w:val="Heading31"/>
    <w:rsid w:val="00093A32"/>
    <w:rPr>
      <w:rFonts w:ascii="Arial" w:eastAsia="Arial" w:hAnsi="Arial" w:cs="Arial"/>
      <w:b/>
      <w:bCs/>
      <w:color w:val="231F20"/>
      <w:w w:val="70"/>
      <w:sz w:val="26"/>
      <w:szCs w:val="26"/>
    </w:rPr>
  </w:style>
  <w:style w:type="character" w:customStyle="1" w:styleId="Heading40">
    <w:name w:val="Heading #4_"/>
    <w:basedOn w:val="DefaultParagraphFont"/>
    <w:link w:val="Heading41"/>
    <w:rsid w:val="00093A32"/>
    <w:rPr>
      <w:rFonts w:ascii="Arial" w:eastAsia="Arial" w:hAnsi="Arial" w:cs="Arial"/>
      <w:b/>
      <w:bCs/>
      <w:color w:val="EBEBEB"/>
      <w:w w:val="70"/>
    </w:rPr>
  </w:style>
  <w:style w:type="character" w:customStyle="1" w:styleId="Tablecaption">
    <w:name w:val="Table caption_"/>
    <w:basedOn w:val="DefaultParagraphFont"/>
    <w:link w:val="Tablecaption0"/>
    <w:rsid w:val="00093A32"/>
    <w:rPr>
      <w:rFonts w:ascii="Times New Roman" w:eastAsia="Times New Roman" w:hAnsi="Times New Roman" w:cs="Times New Roman"/>
      <w:color w:val="231F20"/>
      <w:sz w:val="15"/>
      <w:szCs w:val="15"/>
    </w:rPr>
  </w:style>
  <w:style w:type="character" w:customStyle="1" w:styleId="Bodytext7">
    <w:name w:val="Body text (7)_"/>
    <w:basedOn w:val="DefaultParagraphFont"/>
    <w:link w:val="Bodytext70"/>
    <w:rsid w:val="00093A32"/>
    <w:rPr>
      <w:rFonts w:ascii="Arial" w:eastAsia="Arial" w:hAnsi="Arial" w:cs="Arial"/>
      <w:b/>
      <w:bCs/>
      <w:color w:val="231F20"/>
      <w:w w:val="70"/>
      <w:sz w:val="32"/>
      <w:szCs w:val="32"/>
    </w:rPr>
  </w:style>
  <w:style w:type="character" w:customStyle="1" w:styleId="Bodytext6">
    <w:name w:val="Body text (6)_"/>
    <w:basedOn w:val="DefaultParagraphFont"/>
    <w:link w:val="Bodytext60"/>
    <w:rsid w:val="00093A32"/>
    <w:rPr>
      <w:rFonts w:ascii="Times New Roman" w:eastAsia="Times New Roman" w:hAnsi="Times New Roman" w:cs="Times New Roman"/>
      <w:color w:val="231F20"/>
      <w:sz w:val="12"/>
      <w:szCs w:val="12"/>
    </w:rPr>
  </w:style>
  <w:style w:type="character" w:customStyle="1" w:styleId="Bodytext5">
    <w:name w:val="Body text (5)_"/>
    <w:basedOn w:val="DefaultParagraphFont"/>
    <w:link w:val="Bodytext50"/>
    <w:rsid w:val="00093A32"/>
    <w:rPr>
      <w:rFonts w:ascii="Arial" w:eastAsia="Arial" w:hAnsi="Arial" w:cs="Arial"/>
      <w:color w:val="231F20"/>
      <w:sz w:val="12"/>
      <w:szCs w:val="12"/>
    </w:rPr>
  </w:style>
  <w:style w:type="character" w:customStyle="1" w:styleId="Bodytext8">
    <w:name w:val="Body text (8)_"/>
    <w:basedOn w:val="DefaultParagraphFont"/>
    <w:link w:val="Bodytext80"/>
    <w:rsid w:val="00093A32"/>
    <w:rPr>
      <w:rFonts w:ascii="Arial" w:eastAsia="Arial" w:hAnsi="Arial" w:cs="Arial"/>
      <w:color w:val="231F20"/>
      <w:sz w:val="14"/>
      <w:szCs w:val="14"/>
    </w:rPr>
  </w:style>
  <w:style w:type="character" w:customStyle="1" w:styleId="Headerorfooter">
    <w:name w:val="Header or footer_"/>
    <w:basedOn w:val="DefaultParagraphFont"/>
    <w:link w:val="Headerorfooter0"/>
    <w:rsid w:val="00093A32"/>
    <w:rPr>
      <w:rFonts w:ascii="Arial" w:eastAsia="Arial" w:hAnsi="Arial" w:cs="Arial"/>
      <w:color w:val="231F20"/>
      <w:sz w:val="14"/>
      <w:szCs w:val="14"/>
    </w:rPr>
  </w:style>
  <w:style w:type="character" w:customStyle="1" w:styleId="Bodytext9">
    <w:name w:val="Body text (9)_"/>
    <w:basedOn w:val="DefaultParagraphFont"/>
    <w:link w:val="Bodytext90"/>
    <w:rsid w:val="00093A32"/>
    <w:rPr>
      <w:rFonts w:ascii="Arial" w:eastAsia="Arial" w:hAnsi="Arial" w:cs="Arial"/>
      <w:color w:val="231F20"/>
      <w:sz w:val="10"/>
      <w:szCs w:val="10"/>
    </w:rPr>
  </w:style>
  <w:style w:type="character" w:customStyle="1" w:styleId="Bodytext10">
    <w:name w:val="Body text (10)_"/>
    <w:basedOn w:val="DefaultParagraphFont"/>
    <w:link w:val="Bodytext100"/>
    <w:rsid w:val="00093A32"/>
    <w:rPr>
      <w:rFonts w:ascii="Times New Roman" w:eastAsia="Times New Roman" w:hAnsi="Times New Roman" w:cs="Times New Roman"/>
      <w:smallCaps/>
      <w:color w:val="231F20"/>
      <w:sz w:val="32"/>
      <w:szCs w:val="32"/>
    </w:rPr>
  </w:style>
  <w:style w:type="character" w:customStyle="1" w:styleId="Picturecaption">
    <w:name w:val="Picture caption_"/>
    <w:basedOn w:val="DefaultParagraphFont"/>
    <w:link w:val="Picturecaption0"/>
    <w:rsid w:val="00093A32"/>
    <w:rPr>
      <w:rFonts w:ascii="Arial" w:eastAsia="Arial" w:hAnsi="Arial" w:cs="Arial"/>
      <w:b/>
      <w:bCs/>
      <w:color w:val="231F20"/>
      <w:w w:val="70"/>
      <w:sz w:val="26"/>
      <w:szCs w:val="26"/>
    </w:rPr>
  </w:style>
  <w:style w:type="paragraph" w:customStyle="1" w:styleId="Footnote0">
    <w:name w:val="Footnote"/>
    <w:basedOn w:val="Normal"/>
    <w:link w:val="Footnote"/>
    <w:rsid w:val="00093A32"/>
    <w:pPr>
      <w:widowControl w:val="0"/>
      <w:spacing w:after="0" w:line="240" w:lineRule="auto"/>
    </w:pPr>
    <w:rPr>
      <w:rFonts w:ascii="Times New Roman" w:eastAsia="Times New Roman" w:hAnsi="Times New Roman" w:cs="Times New Roman"/>
      <w:color w:val="231F20"/>
      <w:sz w:val="15"/>
      <w:szCs w:val="15"/>
    </w:rPr>
  </w:style>
  <w:style w:type="paragraph" w:customStyle="1" w:styleId="Heading21">
    <w:name w:val="Heading #2"/>
    <w:basedOn w:val="Normal"/>
    <w:link w:val="Heading20"/>
    <w:rsid w:val="00093A32"/>
    <w:pPr>
      <w:widowControl w:val="0"/>
      <w:spacing w:after="440" w:line="240" w:lineRule="auto"/>
      <w:jc w:val="center"/>
      <w:outlineLvl w:val="1"/>
    </w:pPr>
    <w:rPr>
      <w:rFonts w:ascii="Arial" w:eastAsia="Arial" w:hAnsi="Arial" w:cs="Arial"/>
      <w:b/>
      <w:bCs/>
      <w:color w:val="231F20"/>
      <w:w w:val="70"/>
      <w:sz w:val="42"/>
      <w:szCs w:val="42"/>
    </w:rPr>
  </w:style>
  <w:style w:type="paragraph" w:styleId="BodyText">
    <w:name w:val="Body Text"/>
    <w:basedOn w:val="Normal"/>
    <w:link w:val="BodyTextChar"/>
    <w:qFormat/>
    <w:rsid w:val="00093A32"/>
    <w:pPr>
      <w:widowControl w:val="0"/>
      <w:spacing w:after="0" w:line="269" w:lineRule="auto"/>
      <w:ind w:firstLine="20"/>
    </w:pPr>
    <w:rPr>
      <w:rFonts w:ascii="Garamond" w:eastAsia="Garamond" w:hAnsi="Garamond" w:cs="Garamond"/>
      <w:color w:val="231F20"/>
      <w:sz w:val="19"/>
      <w:szCs w:val="19"/>
    </w:rPr>
  </w:style>
  <w:style w:type="character" w:customStyle="1" w:styleId="BodyTextChar1">
    <w:name w:val="Body Text Char1"/>
    <w:basedOn w:val="DefaultParagraphFont"/>
    <w:uiPriority w:val="99"/>
    <w:semiHidden/>
    <w:rsid w:val="00093A32"/>
  </w:style>
  <w:style w:type="paragraph" w:customStyle="1" w:styleId="Headerorfooter20">
    <w:name w:val="Header or footer (2)"/>
    <w:basedOn w:val="Normal"/>
    <w:link w:val="Headerorfooter2"/>
    <w:rsid w:val="00093A32"/>
    <w:pPr>
      <w:widowControl w:val="0"/>
      <w:spacing w:after="0" w:line="240" w:lineRule="auto"/>
    </w:pPr>
    <w:rPr>
      <w:rFonts w:ascii="Times New Roman" w:eastAsia="Times New Roman" w:hAnsi="Times New Roman" w:cs="Times New Roman"/>
      <w:sz w:val="20"/>
      <w:szCs w:val="20"/>
    </w:rPr>
  </w:style>
  <w:style w:type="paragraph" w:customStyle="1" w:styleId="Tableofcontents0">
    <w:name w:val="Table of contents"/>
    <w:basedOn w:val="Normal"/>
    <w:link w:val="Tableofcontents"/>
    <w:rsid w:val="00093A32"/>
    <w:pPr>
      <w:widowControl w:val="0"/>
      <w:spacing w:after="0" w:line="240" w:lineRule="auto"/>
    </w:pPr>
    <w:rPr>
      <w:rFonts w:ascii="Garamond" w:eastAsia="Garamond" w:hAnsi="Garamond" w:cs="Garamond"/>
      <w:color w:val="231F20"/>
      <w:sz w:val="19"/>
      <w:szCs w:val="19"/>
    </w:rPr>
  </w:style>
  <w:style w:type="paragraph" w:customStyle="1" w:styleId="Bodytext20">
    <w:name w:val="Body text (2)"/>
    <w:basedOn w:val="Normal"/>
    <w:link w:val="Bodytext2"/>
    <w:rsid w:val="00093A32"/>
    <w:pPr>
      <w:widowControl w:val="0"/>
      <w:spacing w:after="0" w:line="283" w:lineRule="auto"/>
    </w:pPr>
    <w:rPr>
      <w:rFonts w:ascii="Times New Roman" w:eastAsia="Times New Roman" w:hAnsi="Times New Roman" w:cs="Times New Roman"/>
      <w:color w:val="231F20"/>
      <w:sz w:val="16"/>
      <w:szCs w:val="16"/>
    </w:rPr>
  </w:style>
  <w:style w:type="paragraph" w:customStyle="1" w:styleId="Other0">
    <w:name w:val="Other"/>
    <w:basedOn w:val="Normal"/>
    <w:link w:val="Other"/>
    <w:rsid w:val="00093A32"/>
    <w:pPr>
      <w:widowControl w:val="0"/>
      <w:spacing w:after="0" w:line="269" w:lineRule="auto"/>
      <w:ind w:firstLine="20"/>
    </w:pPr>
    <w:rPr>
      <w:rFonts w:ascii="Garamond" w:eastAsia="Garamond" w:hAnsi="Garamond" w:cs="Garamond"/>
      <w:color w:val="231F20"/>
      <w:sz w:val="19"/>
      <w:szCs w:val="19"/>
    </w:rPr>
  </w:style>
  <w:style w:type="paragraph" w:customStyle="1" w:styleId="Heading11">
    <w:name w:val="Heading #1"/>
    <w:basedOn w:val="Normal"/>
    <w:link w:val="Heading10"/>
    <w:rsid w:val="00093A32"/>
    <w:pPr>
      <w:widowControl w:val="0"/>
      <w:spacing w:after="300" w:line="240" w:lineRule="auto"/>
      <w:jc w:val="center"/>
      <w:outlineLvl w:val="0"/>
    </w:pPr>
    <w:rPr>
      <w:rFonts w:ascii="Arial" w:eastAsia="Arial" w:hAnsi="Arial" w:cs="Arial"/>
      <w:b/>
      <w:bCs/>
      <w:color w:val="231F20"/>
      <w:w w:val="70"/>
      <w:sz w:val="48"/>
      <w:szCs w:val="48"/>
    </w:rPr>
  </w:style>
  <w:style w:type="paragraph" w:customStyle="1" w:styleId="Heading31">
    <w:name w:val="Heading #3"/>
    <w:basedOn w:val="Normal"/>
    <w:link w:val="Heading30"/>
    <w:rsid w:val="00093A32"/>
    <w:pPr>
      <w:widowControl w:val="0"/>
      <w:spacing w:after="0" w:line="240" w:lineRule="auto"/>
      <w:outlineLvl w:val="2"/>
    </w:pPr>
    <w:rPr>
      <w:rFonts w:ascii="Arial" w:eastAsia="Arial" w:hAnsi="Arial" w:cs="Arial"/>
      <w:b/>
      <w:bCs/>
      <w:color w:val="231F20"/>
      <w:w w:val="70"/>
      <w:sz w:val="26"/>
      <w:szCs w:val="26"/>
    </w:rPr>
  </w:style>
  <w:style w:type="paragraph" w:customStyle="1" w:styleId="Heading41">
    <w:name w:val="Heading #4"/>
    <w:basedOn w:val="Normal"/>
    <w:link w:val="Heading40"/>
    <w:rsid w:val="00093A32"/>
    <w:pPr>
      <w:widowControl w:val="0"/>
      <w:spacing w:after="0" w:line="240" w:lineRule="auto"/>
      <w:outlineLvl w:val="3"/>
    </w:pPr>
    <w:rPr>
      <w:rFonts w:ascii="Arial" w:eastAsia="Arial" w:hAnsi="Arial" w:cs="Arial"/>
      <w:b/>
      <w:bCs/>
      <w:color w:val="EBEBEB"/>
      <w:w w:val="70"/>
    </w:rPr>
  </w:style>
  <w:style w:type="paragraph" w:customStyle="1" w:styleId="Tablecaption0">
    <w:name w:val="Table caption"/>
    <w:basedOn w:val="Normal"/>
    <w:link w:val="Tablecaption"/>
    <w:rsid w:val="00093A32"/>
    <w:pPr>
      <w:widowControl w:val="0"/>
      <w:spacing w:after="0" w:line="252" w:lineRule="auto"/>
      <w:ind w:left="160"/>
    </w:pPr>
    <w:rPr>
      <w:rFonts w:ascii="Times New Roman" w:eastAsia="Times New Roman" w:hAnsi="Times New Roman" w:cs="Times New Roman"/>
      <w:color w:val="231F20"/>
      <w:sz w:val="15"/>
      <w:szCs w:val="15"/>
    </w:rPr>
  </w:style>
  <w:style w:type="paragraph" w:customStyle="1" w:styleId="Bodytext70">
    <w:name w:val="Body text (7)"/>
    <w:basedOn w:val="Normal"/>
    <w:link w:val="Bodytext7"/>
    <w:rsid w:val="00093A32"/>
    <w:pPr>
      <w:widowControl w:val="0"/>
      <w:spacing w:after="240" w:line="240" w:lineRule="auto"/>
    </w:pPr>
    <w:rPr>
      <w:rFonts w:ascii="Arial" w:eastAsia="Arial" w:hAnsi="Arial" w:cs="Arial"/>
      <w:b/>
      <w:bCs/>
      <w:color w:val="231F20"/>
      <w:w w:val="70"/>
      <w:sz w:val="32"/>
      <w:szCs w:val="32"/>
    </w:rPr>
  </w:style>
  <w:style w:type="paragraph" w:customStyle="1" w:styleId="Bodytext60">
    <w:name w:val="Body text (6)"/>
    <w:basedOn w:val="Normal"/>
    <w:link w:val="Bodytext6"/>
    <w:rsid w:val="00093A32"/>
    <w:pPr>
      <w:widowControl w:val="0"/>
      <w:spacing w:after="0" w:line="240" w:lineRule="auto"/>
      <w:ind w:left="340" w:hanging="200"/>
    </w:pPr>
    <w:rPr>
      <w:rFonts w:ascii="Times New Roman" w:eastAsia="Times New Roman" w:hAnsi="Times New Roman" w:cs="Times New Roman"/>
      <w:color w:val="231F20"/>
      <w:sz w:val="12"/>
      <w:szCs w:val="12"/>
    </w:rPr>
  </w:style>
  <w:style w:type="paragraph" w:customStyle="1" w:styleId="Bodytext50">
    <w:name w:val="Body text (5)"/>
    <w:basedOn w:val="Normal"/>
    <w:link w:val="Bodytext5"/>
    <w:rsid w:val="00093A32"/>
    <w:pPr>
      <w:widowControl w:val="0"/>
      <w:spacing w:after="0" w:line="240" w:lineRule="auto"/>
    </w:pPr>
    <w:rPr>
      <w:rFonts w:ascii="Arial" w:eastAsia="Arial" w:hAnsi="Arial" w:cs="Arial"/>
      <w:color w:val="231F20"/>
      <w:sz w:val="12"/>
      <w:szCs w:val="12"/>
    </w:rPr>
  </w:style>
  <w:style w:type="paragraph" w:customStyle="1" w:styleId="Bodytext80">
    <w:name w:val="Body text (8)"/>
    <w:basedOn w:val="Normal"/>
    <w:link w:val="Bodytext8"/>
    <w:rsid w:val="00093A32"/>
    <w:pPr>
      <w:widowControl w:val="0"/>
      <w:spacing w:after="0" w:line="240" w:lineRule="auto"/>
    </w:pPr>
    <w:rPr>
      <w:rFonts w:ascii="Arial" w:eastAsia="Arial" w:hAnsi="Arial" w:cs="Arial"/>
      <w:color w:val="231F20"/>
      <w:sz w:val="14"/>
      <w:szCs w:val="14"/>
    </w:rPr>
  </w:style>
  <w:style w:type="paragraph" w:customStyle="1" w:styleId="Headerorfooter0">
    <w:name w:val="Header or footer"/>
    <w:basedOn w:val="Normal"/>
    <w:link w:val="Headerorfooter"/>
    <w:rsid w:val="00093A32"/>
    <w:pPr>
      <w:widowControl w:val="0"/>
      <w:spacing w:after="0" w:line="240" w:lineRule="auto"/>
    </w:pPr>
    <w:rPr>
      <w:rFonts w:ascii="Arial" w:eastAsia="Arial" w:hAnsi="Arial" w:cs="Arial"/>
      <w:color w:val="231F20"/>
      <w:sz w:val="14"/>
      <w:szCs w:val="14"/>
    </w:rPr>
  </w:style>
  <w:style w:type="paragraph" w:customStyle="1" w:styleId="Bodytext90">
    <w:name w:val="Body text (9)"/>
    <w:basedOn w:val="Normal"/>
    <w:link w:val="Bodytext9"/>
    <w:rsid w:val="00093A32"/>
    <w:pPr>
      <w:widowControl w:val="0"/>
      <w:spacing w:after="0" w:line="240" w:lineRule="auto"/>
    </w:pPr>
    <w:rPr>
      <w:rFonts w:ascii="Arial" w:eastAsia="Arial" w:hAnsi="Arial" w:cs="Arial"/>
      <w:color w:val="231F20"/>
      <w:sz w:val="10"/>
      <w:szCs w:val="10"/>
    </w:rPr>
  </w:style>
  <w:style w:type="paragraph" w:customStyle="1" w:styleId="Bodytext100">
    <w:name w:val="Body text (10)"/>
    <w:basedOn w:val="Normal"/>
    <w:link w:val="Bodytext10"/>
    <w:rsid w:val="00093A32"/>
    <w:pPr>
      <w:widowControl w:val="0"/>
      <w:spacing w:after="240" w:line="240" w:lineRule="auto"/>
      <w:jc w:val="center"/>
    </w:pPr>
    <w:rPr>
      <w:rFonts w:ascii="Times New Roman" w:eastAsia="Times New Roman" w:hAnsi="Times New Roman" w:cs="Times New Roman"/>
      <w:smallCaps/>
      <w:color w:val="231F20"/>
      <w:sz w:val="32"/>
      <w:szCs w:val="32"/>
    </w:rPr>
  </w:style>
  <w:style w:type="paragraph" w:customStyle="1" w:styleId="Picturecaption0">
    <w:name w:val="Picture caption"/>
    <w:basedOn w:val="Normal"/>
    <w:link w:val="Picturecaption"/>
    <w:rsid w:val="00093A32"/>
    <w:pPr>
      <w:widowControl w:val="0"/>
      <w:spacing w:after="0" w:line="214" w:lineRule="auto"/>
      <w:jc w:val="center"/>
    </w:pPr>
    <w:rPr>
      <w:rFonts w:ascii="Arial" w:eastAsia="Arial" w:hAnsi="Arial" w:cs="Arial"/>
      <w:b/>
      <w:bCs/>
      <w:color w:val="231F20"/>
      <w:w w:val="7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54.xml"/><Relationship Id="rId21" Type="http://schemas.openxmlformats.org/officeDocument/2006/relationships/footer" Target="footer6.xml"/><Relationship Id="rId63" Type="http://schemas.openxmlformats.org/officeDocument/2006/relationships/footer" Target="footer27.xml"/><Relationship Id="rId159" Type="http://schemas.openxmlformats.org/officeDocument/2006/relationships/header" Target="header76.xml"/><Relationship Id="rId324" Type="http://schemas.openxmlformats.org/officeDocument/2006/relationships/header" Target="header158.xml"/><Relationship Id="rId366" Type="http://schemas.openxmlformats.org/officeDocument/2006/relationships/hyperlink" Target="http://www.cdc.gov/hepatitis" TargetMode="External"/><Relationship Id="rId170" Type="http://schemas.openxmlformats.org/officeDocument/2006/relationships/footer" Target="footer80.xml"/><Relationship Id="rId226" Type="http://schemas.openxmlformats.org/officeDocument/2006/relationships/header" Target="header109.xml"/><Relationship Id="rId433" Type="http://schemas.openxmlformats.org/officeDocument/2006/relationships/hyperlink" Target="http://www.cdc.gov/niosh/97-146.html" TargetMode="External"/><Relationship Id="rId268" Type="http://schemas.openxmlformats.org/officeDocument/2006/relationships/header" Target="header130.xml"/><Relationship Id="rId475" Type="http://schemas.openxmlformats.org/officeDocument/2006/relationships/footer" Target="footer226.xml"/><Relationship Id="rId32" Type="http://schemas.openxmlformats.org/officeDocument/2006/relationships/footer" Target="footer12.xml"/><Relationship Id="rId74" Type="http://schemas.openxmlformats.org/officeDocument/2006/relationships/header" Target="header34.xml"/><Relationship Id="rId128" Type="http://schemas.openxmlformats.org/officeDocument/2006/relationships/footer" Target="footer59.xml"/><Relationship Id="rId335" Type="http://schemas.openxmlformats.org/officeDocument/2006/relationships/footer" Target="footer163.xml"/><Relationship Id="rId377" Type="http://schemas.openxmlformats.org/officeDocument/2006/relationships/header" Target="header184.xml"/><Relationship Id="rId500" Type="http://schemas.openxmlformats.org/officeDocument/2006/relationships/header" Target="header239.xml"/><Relationship Id="rId5" Type="http://schemas.openxmlformats.org/officeDocument/2006/relationships/footnotes" Target="footnotes.xml"/><Relationship Id="rId181" Type="http://schemas.openxmlformats.org/officeDocument/2006/relationships/footer" Target="footer86.xml"/><Relationship Id="rId237" Type="http://schemas.openxmlformats.org/officeDocument/2006/relationships/footer" Target="footer114.xml"/><Relationship Id="rId402" Type="http://schemas.openxmlformats.org/officeDocument/2006/relationships/header" Target="header194.xml"/><Relationship Id="rId279" Type="http://schemas.openxmlformats.org/officeDocument/2006/relationships/header" Target="header136.xml"/><Relationship Id="rId444" Type="http://schemas.openxmlformats.org/officeDocument/2006/relationships/hyperlink" Target="http://www.apregistry.com" TargetMode="External"/><Relationship Id="rId486" Type="http://schemas.openxmlformats.org/officeDocument/2006/relationships/footer" Target="footer232.xml"/><Relationship Id="rId43" Type="http://schemas.openxmlformats.org/officeDocument/2006/relationships/header" Target="header18.xml"/><Relationship Id="rId139" Type="http://schemas.openxmlformats.org/officeDocument/2006/relationships/header" Target="header66.xml"/><Relationship Id="rId290" Type="http://schemas.openxmlformats.org/officeDocument/2006/relationships/footer" Target="footer140.xml"/><Relationship Id="rId304" Type="http://schemas.openxmlformats.org/officeDocument/2006/relationships/header" Target="header148.xml"/><Relationship Id="rId346" Type="http://schemas.openxmlformats.org/officeDocument/2006/relationships/footer" Target="footer168.xml"/><Relationship Id="rId388" Type="http://schemas.openxmlformats.org/officeDocument/2006/relationships/header" Target="header187.xml"/><Relationship Id="rId511" Type="http://schemas.openxmlformats.org/officeDocument/2006/relationships/footer" Target="footer244.xml"/><Relationship Id="rId85" Type="http://schemas.openxmlformats.org/officeDocument/2006/relationships/header" Target="header39.xml"/><Relationship Id="rId150" Type="http://schemas.openxmlformats.org/officeDocument/2006/relationships/footer" Target="footer70.xml"/><Relationship Id="rId192" Type="http://schemas.openxmlformats.org/officeDocument/2006/relationships/header" Target="header92.xml"/><Relationship Id="rId206" Type="http://schemas.openxmlformats.org/officeDocument/2006/relationships/header" Target="header99.xml"/><Relationship Id="rId413" Type="http://schemas.openxmlformats.org/officeDocument/2006/relationships/header" Target="header199.xml"/><Relationship Id="rId248" Type="http://schemas.openxmlformats.org/officeDocument/2006/relationships/footer" Target="footer119.xml"/><Relationship Id="rId455" Type="http://schemas.openxmlformats.org/officeDocument/2006/relationships/footer" Target="footer217.xml"/><Relationship Id="rId497" Type="http://schemas.openxmlformats.org/officeDocument/2006/relationships/footer" Target="footer237.xml"/><Relationship Id="rId12" Type="http://schemas.openxmlformats.org/officeDocument/2006/relationships/footer" Target="footer3.xml"/><Relationship Id="rId108" Type="http://schemas.openxmlformats.org/officeDocument/2006/relationships/header" Target="header50.xml"/><Relationship Id="rId315" Type="http://schemas.openxmlformats.org/officeDocument/2006/relationships/header" Target="header154.xml"/><Relationship Id="rId357" Type="http://schemas.openxmlformats.org/officeDocument/2006/relationships/header" Target="header175.xml"/><Relationship Id="rId54" Type="http://schemas.openxmlformats.org/officeDocument/2006/relationships/header" Target="header24.xml"/><Relationship Id="rId96" Type="http://schemas.openxmlformats.org/officeDocument/2006/relationships/header" Target="header44.xml"/><Relationship Id="rId161" Type="http://schemas.openxmlformats.org/officeDocument/2006/relationships/footer" Target="footer76.xml"/><Relationship Id="rId217" Type="http://schemas.openxmlformats.org/officeDocument/2006/relationships/footer" Target="footer104.xml"/><Relationship Id="rId399" Type="http://schemas.openxmlformats.org/officeDocument/2006/relationships/footer" Target="footer192.xml"/><Relationship Id="rId259" Type="http://schemas.openxmlformats.org/officeDocument/2006/relationships/header" Target="header126.xml"/><Relationship Id="rId424" Type="http://schemas.openxmlformats.org/officeDocument/2006/relationships/footer" Target="footer204.xml"/><Relationship Id="rId466" Type="http://schemas.openxmlformats.org/officeDocument/2006/relationships/footer" Target="footer222.xml"/><Relationship Id="rId23" Type="http://schemas.openxmlformats.org/officeDocument/2006/relationships/header" Target="header8.xml"/><Relationship Id="rId119" Type="http://schemas.openxmlformats.org/officeDocument/2006/relationships/footer" Target="footer55.xml"/><Relationship Id="rId270" Type="http://schemas.openxmlformats.org/officeDocument/2006/relationships/footer" Target="footer130.xml"/><Relationship Id="rId326" Type="http://schemas.openxmlformats.org/officeDocument/2006/relationships/footer" Target="footer158.xml"/><Relationship Id="rId65" Type="http://schemas.openxmlformats.org/officeDocument/2006/relationships/header" Target="header29.xml"/><Relationship Id="rId130" Type="http://schemas.openxmlformats.org/officeDocument/2006/relationships/header" Target="header61.xml"/><Relationship Id="rId368" Type="http://schemas.openxmlformats.org/officeDocument/2006/relationships/header" Target="header179.xml"/><Relationship Id="rId172" Type="http://schemas.openxmlformats.org/officeDocument/2006/relationships/header" Target="header82.xml"/><Relationship Id="rId228" Type="http://schemas.openxmlformats.org/officeDocument/2006/relationships/footer" Target="footer109.xml"/><Relationship Id="rId435" Type="http://schemas.openxmlformats.org/officeDocument/2006/relationships/header" Target="header210.xml"/><Relationship Id="rId477" Type="http://schemas.openxmlformats.org/officeDocument/2006/relationships/header" Target="header228.xml"/><Relationship Id="rId281" Type="http://schemas.openxmlformats.org/officeDocument/2006/relationships/footer" Target="footer136.xml"/><Relationship Id="rId337" Type="http://schemas.openxmlformats.org/officeDocument/2006/relationships/footer" Target="footer164.xml"/><Relationship Id="rId502" Type="http://schemas.openxmlformats.org/officeDocument/2006/relationships/footer" Target="footer239.xml"/><Relationship Id="rId34" Type="http://schemas.openxmlformats.org/officeDocument/2006/relationships/footer" Target="footer13.xml"/><Relationship Id="rId76" Type="http://schemas.openxmlformats.org/officeDocument/2006/relationships/footer" Target="footer34.xml"/><Relationship Id="rId141" Type="http://schemas.openxmlformats.org/officeDocument/2006/relationships/footer" Target="footer66.xml"/><Relationship Id="rId379" Type="http://schemas.openxmlformats.org/officeDocument/2006/relationships/footer" Target="footer184.xml"/><Relationship Id="rId7" Type="http://schemas.openxmlformats.org/officeDocument/2006/relationships/header" Target="header1.xml"/><Relationship Id="rId183" Type="http://schemas.openxmlformats.org/officeDocument/2006/relationships/header" Target="header88.xml"/><Relationship Id="rId239" Type="http://schemas.openxmlformats.org/officeDocument/2006/relationships/footer" Target="footer115.xml"/><Relationship Id="rId390" Type="http://schemas.openxmlformats.org/officeDocument/2006/relationships/footer" Target="footer187.xml"/><Relationship Id="rId404" Type="http://schemas.openxmlformats.org/officeDocument/2006/relationships/footer" Target="footer194.xml"/><Relationship Id="rId446" Type="http://schemas.openxmlformats.org/officeDocument/2006/relationships/header" Target="header214.xml"/><Relationship Id="rId250" Type="http://schemas.openxmlformats.org/officeDocument/2006/relationships/header" Target="header121.xml"/><Relationship Id="rId292" Type="http://schemas.openxmlformats.org/officeDocument/2006/relationships/header" Target="header142.xml"/><Relationship Id="rId306" Type="http://schemas.openxmlformats.org/officeDocument/2006/relationships/footer" Target="footer148.xml"/><Relationship Id="rId488" Type="http://schemas.openxmlformats.org/officeDocument/2006/relationships/footer" Target="footer233.xml"/><Relationship Id="rId45" Type="http://schemas.openxmlformats.org/officeDocument/2006/relationships/footer" Target="footer18.xml"/><Relationship Id="rId87" Type="http://schemas.openxmlformats.org/officeDocument/2006/relationships/footer" Target="footer39.xml"/><Relationship Id="rId110" Type="http://schemas.openxmlformats.org/officeDocument/2006/relationships/footer" Target="footer50.xml"/><Relationship Id="rId348" Type="http://schemas.openxmlformats.org/officeDocument/2006/relationships/header" Target="header170.xml"/><Relationship Id="rId513" Type="http://schemas.openxmlformats.org/officeDocument/2006/relationships/theme" Target="theme/theme1.xml"/><Relationship Id="rId152" Type="http://schemas.openxmlformats.org/officeDocument/2006/relationships/header" Target="header72.xml"/><Relationship Id="rId194" Type="http://schemas.openxmlformats.org/officeDocument/2006/relationships/header" Target="header93.xml"/><Relationship Id="rId208" Type="http://schemas.openxmlformats.org/officeDocument/2006/relationships/footer" Target="footer99.xml"/><Relationship Id="rId415" Type="http://schemas.openxmlformats.org/officeDocument/2006/relationships/footer" Target="footer199.xml"/><Relationship Id="rId457" Type="http://schemas.openxmlformats.org/officeDocument/2006/relationships/hyperlink" Target="http://www.cdc.gov/ncidod/diseases/flu/weekly.htm" TargetMode="External"/><Relationship Id="rId261" Type="http://schemas.openxmlformats.org/officeDocument/2006/relationships/footer" Target="footer126.xml"/><Relationship Id="rId499" Type="http://schemas.openxmlformats.org/officeDocument/2006/relationships/footer" Target="footer238.xml"/><Relationship Id="rId14" Type="http://schemas.openxmlformats.org/officeDocument/2006/relationships/hyperlink" Target="http://www.cdc.gov/travel" TargetMode="External"/><Relationship Id="rId56" Type="http://schemas.openxmlformats.org/officeDocument/2006/relationships/footer" Target="footer24.xml"/><Relationship Id="rId317" Type="http://schemas.openxmlformats.org/officeDocument/2006/relationships/footer" Target="footer154.xml"/><Relationship Id="rId359" Type="http://schemas.openxmlformats.org/officeDocument/2006/relationships/footer" Target="footer175.xml"/><Relationship Id="rId98" Type="http://schemas.openxmlformats.org/officeDocument/2006/relationships/footer" Target="footer44.xml"/><Relationship Id="rId121" Type="http://schemas.openxmlformats.org/officeDocument/2006/relationships/header" Target="header57.xml"/><Relationship Id="rId163" Type="http://schemas.openxmlformats.org/officeDocument/2006/relationships/header" Target="header78.xml"/><Relationship Id="rId219" Type="http://schemas.openxmlformats.org/officeDocument/2006/relationships/header" Target="header106.xml"/><Relationship Id="rId370" Type="http://schemas.openxmlformats.org/officeDocument/2006/relationships/footer" Target="footer179.xml"/><Relationship Id="rId426" Type="http://schemas.openxmlformats.org/officeDocument/2006/relationships/header" Target="header206.xml"/><Relationship Id="rId230" Type="http://schemas.openxmlformats.org/officeDocument/2006/relationships/header" Target="header111.xml"/><Relationship Id="rId468" Type="http://schemas.openxmlformats.org/officeDocument/2006/relationships/footer" Target="footer223.xml"/><Relationship Id="rId25" Type="http://schemas.openxmlformats.org/officeDocument/2006/relationships/footer" Target="footer8.xml"/><Relationship Id="rId67" Type="http://schemas.openxmlformats.org/officeDocument/2006/relationships/header" Target="header30.xml"/><Relationship Id="rId272" Type="http://schemas.openxmlformats.org/officeDocument/2006/relationships/header" Target="header132.xml"/><Relationship Id="rId328" Type="http://schemas.openxmlformats.org/officeDocument/2006/relationships/header" Target="header160.xml"/><Relationship Id="rId132" Type="http://schemas.openxmlformats.org/officeDocument/2006/relationships/header" Target="header62.xml"/><Relationship Id="rId174" Type="http://schemas.openxmlformats.org/officeDocument/2006/relationships/footer" Target="footer82.xml"/><Relationship Id="rId381" Type="http://schemas.openxmlformats.org/officeDocument/2006/relationships/header" Target="header186.xml"/><Relationship Id="rId241" Type="http://schemas.openxmlformats.org/officeDocument/2006/relationships/header" Target="header117.xml"/><Relationship Id="rId437" Type="http://schemas.openxmlformats.org/officeDocument/2006/relationships/footer" Target="footer210.xml"/><Relationship Id="rId479" Type="http://schemas.openxmlformats.org/officeDocument/2006/relationships/footer" Target="footer228.xml"/><Relationship Id="rId36" Type="http://schemas.openxmlformats.org/officeDocument/2006/relationships/header" Target="header15.xml"/><Relationship Id="rId283" Type="http://schemas.openxmlformats.org/officeDocument/2006/relationships/header" Target="header138.xml"/><Relationship Id="rId339" Type="http://schemas.openxmlformats.org/officeDocument/2006/relationships/header" Target="header166.xml"/><Relationship Id="rId490" Type="http://schemas.openxmlformats.org/officeDocument/2006/relationships/header" Target="header235.xml"/><Relationship Id="rId504" Type="http://schemas.openxmlformats.org/officeDocument/2006/relationships/header" Target="header241.xml"/><Relationship Id="rId78" Type="http://schemas.openxmlformats.org/officeDocument/2006/relationships/footer" Target="footer35.xml"/><Relationship Id="rId101" Type="http://schemas.openxmlformats.org/officeDocument/2006/relationships/footer" Target="footer46.xml"/><Relationship Id="rId143" Type="http://schemas.openxmlformats.org/officeDocument/2006/relationships/footer" Target="footer67.xml"/><Relationship Id="rId185" Type="http://schemas.openxmlformats.org/officeDocument/2006/relationships/footer" Target="footer88.xml"/><Relationship Id="rId350" Type="http://schemas.openxmlformats.org/officeDocument/2006/relationships/footer" Target="footer170.xml"/><Relationship Id="rId406" Type="http://schemas.openxmlformats.org/officeDocument/2006/relationships/header" Target="header196.xml"/><Relationship Id="rId9" Type="http://schemas.openxmlformats.org/officeDocument/2006/relationships/footer" Target="footer1.xml"/><Relationship Id="rId210" Type="http://schemas.openxmlformats.org/officeDocument/2006/relationships/header" Target="header101.xml"/><Relationship Id="rId392" Type="http://schemas.openxmlformats.org/officeDocument/2006/relationships/header" Target="header189.xml"/><Relationship Id="rId448" Type="http://schemas.openxmlformats.org/officeDocument/2006/relationships/footer" Target="footer214.xml"/><Relationship Id="rId252" Type="http://schemas.openxmlformats.org/officeDocument/2006/relationships/header" Target="header122.xml"/><Relationship Id="rId294" Type="http://schemas.openxmlformats.org/officeDocument/2006/relationships/footer" Target="footer142.xml"/><Relationship Id="rId308" Type="http://schemas.openxmlformats.org/officeDocument/2006/relationships/header" Target="header150.xml"/><Relationship Id="rId47" Type="http://schemas.openxmlformats.org/officeDocument/2006/relationships/header" Target="header20.xml"/><Relationship Id="rId89" Type="http://schemas.openxmlformats.org/officeDocument/2006/relationships/header" Target="header41.xml"/><Relationship Id="rId112" Type="http://schemas.openxmlformats.org/officeDocument/2006/relationships/header" Target="header52.xml"/><Relationship Id="rId154" Type="http://schemas.openxmlformats.org/officeDocument/2006/relationships/footer" Target="footer72.xml"/><Relationship Id="rId361" Type="http://schemas.openxmlformats.org/officeDocument/2006/relationships/footer" Target="footer176.xml"/><Relationship Id="rId196" Type="http://schemas.openxmlformats.org/officeDocument/2006/relationships/footer" Target="footer93.xml"/><Relationship Id="rId417" Type="http://schemas.openxmlformats.org/officeDocument/2006/relationships/header" Target="header201.xml"/><Relationship Id="rId459" Type="http://schemas.openxmlformats.org/officeDocument/2006/relationships/header" Target="header220.xml"/><Relationship Id="rId16" Type="http://schemas.openxmlformats.org/officeDocument/2006/relationships/header" Target="header5.xml"/><Relationship Id="rId221" Type="http://schemas.openxmlformats.org/officeDocument/2006/relationships/footer" Target="footer106.xml"/><Relationship Id="rId263" Type="http://schemas.openxmlformats.org/officeDocument/2006/relationships/footer" Target="footer127.xml"/><Relationship Id="rId319" Type="http://schemas.openxmlformats.org/officeDocument/2006/relationships/header" Target="header156.xml"/><Relationship Id="rId470" Type="http://schemas.openxmlformats.org/officeDocument/2006/relationships/header" Target="header225.xml"/><Relationship Id="rId58" Type="http://schemas.openxmlformats.org/officeDocument/2006/relationships/header" Target="header26.xml"/><Relationship Id="rId123" Type="http://schemas.openxmlformats.org/officeDocument/2006/relationships/footer" Target="footer57.xml"/><Relationship Id="rId330" Type="http://schemas.openxmlformats.org/officeDocument/2006/relationships/footer" Target="footer160.xml"/><Relationship Id="rId165" Type="http://schemas.openxmlformats.org/officeDocument/2006/relationships/footer" Target="footer78.xml"/><Relationship Id="rId372" Type="http://schemas.openxmlformats.org/officeDocument/2006/relationships/header" Target="header181.xml"/><Relationship Id="rId428" Type="http://schemas.openxmlformats.org/officeDocument/2006/relationships/footer" Target="footer206.xml"/><Relationship Id="rId232" Type="http://schemas.openxmlformats.org/officeDocument/2006/relationships/footer" Target="footer111.xml"/><Relationship Id="rId274" Type="http://schemas.openxmlformats.org/officeDocument/2006/relationships/header" Target="header133.xml"/><Relationship Id="rId481" Type="http://schemas.openxmlformats.org/officeDocument/2006/relationships/header" Target="header230.xml"/><Relationship Id="rId27" Type="http://schemas.openxmlformats.org/officeDocument/2006/relationships/header" Target="header10.xml"/><Relationship Id="rId69" Type="http://schemas.openxmlformats.org/officeDocument/2006/relationships/footer" Target="footer30.xml"/><Relationship Id="rId134" Type="http://schemas.openxmlformats.org/officeDocument/2006/relationships/footer" Target="footer62.xml"/><Relationship Id="rId80" Type="http://schemas.openxmlformats.org/officeDocument/2006/relationships/header" Target="header37.xml"/><Relationship Id="rId176" Type="http://schemas.openxmlformats.org/officeDocument/2006/relationships/header" Target="header84.xml"/><Relationship Id="rId341" Type="http://schemas.openxmlformats.org/officeDocument/2006/relationships/footer" Target="footer166.xml"/><Relationship Id="rId383" Type="http://schemas.openxmlformats.org/officeDocument/2006/relationships/footer" Target="footer186.xml"/><Relationship Id="rId439" Type="http://schemas.openxmlformats.org/officeDocument/2006/relationships/header" Target="header212.xml"/><Relationship Id="rId201" Type="http://schemas.openxmlformats.org/officeDocument/2006/relationships/header" Target="header97.xml"/><Relationship Id="rId243" Type="http://schemas.openxmlformats.org/officeDocument/2006/relationships/footer" Target="footer117.xml"/><Relationship Id="rId285" Type="http://schemas.openxmlformats.org/officeDocument/2006/relationships/footer" Target="footer138.xml"/><Relationship Id="rId450" Type="http://schemas.openxmlformats.org/officeDocument/2006/relationships/header" Target="header216.xml"/><Relationship Id="rId506" Type="http://schemas.openxmlformats.org/officeDocument/2006/relationships/header" Target="header242.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header" Target="header151.xml"/><Relationship Id="rId492" Type="http://schemas.openxmlformats.org/officeDocument/2006/relationships/footer" Target="footer235.xml"/><Relationship Id="rId91" Type="http://schemas.openxmlformats.org/officeDocument/2006/relationships/header" Target="header42.xml"/><Relationship Id="rId145" Type="http://schemas.openxmlformats.org/officeDocument/2006/relationships/header" Target="header69.xml"/><Relationship Id="rId187" Type="http://schemas.openxmlformats.org/officeDocument/2006/relationships/footer" Target="footer89.xml"/><Relationship Id="rId352" Type="http://schemas.openxmlformats.org/officeDocument/2006/relationships/header" Target="header172.xml"/><Relationship Id="rId394" Type="http://schemas.openxmlformats.org/officeDocument/2006/relationships/footer" Target="footer189.xml"/><Relationship Id="rId408" Type="http://schemas.openxmlformats.org/officeDocument/2006/relationships/footer" Target="footer196.xml"/><Relationship Id="rId212" Type="http://schemas.openxmlformats.org/officeDocument/2006/relationships/header" Target="header102.xml"/><Relationship Id="rId254" Type="http://schemas.openxmlformats.org/officeDocument/2006/relationships/footer" Target="footer122.xml"/><Relationship Id="rId49" Type="http://schemas.openxmlformats.org/officeDocument/2006/relationships/footer" Target="footer20.xml"/><Relationship Id="rId114" Type="http://schemas.openxmlformats.org/officeDocument/2006/relationships/header" Target="header53.xml"/><Relationship Id="rId296" Type="http://schemas.openxmlformats.org/officeDocument/2006/relationships/header" Target="header144.xml"/><Relationship Id="rId461" Type="http://schemas.openxmlformats.org/officeDocument/2006/relationships/footer" Target="footer220.xml"/><Relationship Id="rId60" Type="http://schemas.openxmlformats.org/officeDocument/2006/relationships/footer" Target="footer26.xml"/><Relationship Id="rId156" Type="http://schemas.openxmlformats.org/officeDocument/2006/relationships/header" Target="header74.xml"/><Relationship Id="rId198" Type="http://schemas.openxmlformats.org/officeDocument/2006/relationships/header" Target="header95.xml"/><Relationship Id="rId321" Type="http://schemas.openxmlformats.org/officeDocument/2006/relationships/footer" Target="footer156.xml"/><Relationship Id="rId363" Type="http://schemas.openxmlformats.org/officeDocument/2006/relationships/header" Target="header178.xml"/><Relationship Id="rId419" Type="http://schemas.openxmlformats.org/officeDocument/2006/relationships/header" Target="header202.xml"/><Relationship Id="rId223" Type="http://schemas.openxmlformats.org/officeDocument/2006/relationships/header" Target="header108.xml"/><Relationship Id="rId430" Type="http://schemas.openxmlformats.org/officeDocument/2006/relationships/header" Target="header208.xml"/><Relationship Id="rId18" Type="http://schemas.openxmlformats.org/officeDocument/2006/relationships/footer" Target="footer5.xml"/><Relationship Id="rId265" Type="http://schemas.openxmlformats.org/officeDocument/2006/relationships/header" Target="header129.xml"/><Relationship Id="rId472" Type="http://schemas.openxmlformats.org/officeDocument/2006/relationships/footer" Target="footer225.xml"/><Relationship Id="rId125" Type="http://schemas.openxmlformats.org/officeDocument/2006/relationships/footer" Target="footer58.xml"/><Relationship Id="rId167" Type="http://schemas.openxmlformats.org/officeDocument/2006/relationships/footer" Target="footer79.xml"/><Relationship Id="rId332" Type="http://schemas.openxmlformats.org/officeDocument/2006/relationships/header" Target="header162.xml"/><Relationship Id="rId374" Type="http://schemas.openxmlformats.org/officeDocument/2006/relationships/footer" Target="footer181.xml"/><Relationship Id="rId71" Type="http://schemas.openxmlformats.org/officeDocument/2006/relationships/header" Target="header32.xml"/><Relationship Id="rId234" Type="http://schemas.openxmlformats.org/officeDocument/2006/relationships/header" Target="header113.xml"/><Relationship Id="rId2" Type="http://schemas.openxmlformats.org/officeDocument/2006/relationships/styles" Target="styles.xml"/><Relationship Id="rId29" Type="http://schemas.openxmlformats.org/officeDocument/2006/relationships/header" Target="header11.xml"/><Relationship Id="rId276" Type="http://schemas.openxmlformats.org/officeDocument/2006/relationships/footer" Target="footer133.xml"/><Relationship Id="rId441" Type="http://schemas.openxmlformats.org/officeDocument/2006/relationships/footer" Target="footer212.xml"/><Relationship Id="rId483" Type="http://schemas.openxmlformats.org/officeDocument/2006/relationships/header" Target="header231.xml"/><Relationship Id="rId40" Type="http://schemas.openxmlformats.org/officeDocument/2006/relationships/header" Target="header17.xml"/><Relationship Id="rId136" Type="http://schemas.openxmlformats.org/officeDocument/2006/relationships/header" Target="header64.xml"/><Relationship Id="rId178" Type="http://schemas.openxmlformats.org/officeDocument/2006/relationships/footer" Target="footer84.xml"/><Relationship Id="rId301" Type="http://schemas.openxmlformats.org/officeDocument/2006/relationships/header" Target="header147.xml"/><Relationship Id="rId343" Type="http://schemas.openxmlformats.org/officeDocument/2006/relationships/footer" Target="footer167.xml"/><Relationship Id="rId82" Type="http://schemas.openxmlformats.org/officeDocument/2006/relationships/footer" Target="footer37.xml"/><Relationship Id="rId203" Type="http://schemas.openxmlformats.org/officeDocument/2006/relationships/footer" Target="footer97.xml"/><Relationship Id="rId385" Type="http://schemas.openxmlformats.org/officeDocument/2006/relationships/hyperlink" Target="http://www.niddk.nih.gov/health/digest/pubs/chrnhepc/chrnhepc.htm" TargetMode="External"/><Relationship Id="rId245" Type="http://schemas.openxmlformats.org/officeDocument/2006/relationships/footer" Target="footer118.xml"/><Relationship Id="rId287" Type="http://schemas.openxmlformats.org/officeDocument/2006/relationships/footer" Target="footer139.xml"/><Relationship Id="rId410" Type="http://schemas.openxmlformats.org/officeDocument/2006/relationships/header" Target="header198.xml"/><Relationship Id="rId452" Type="http://schemas.openxmlformats.org/officeDocument/2006/relationships/footer" Target="footer216.xml"/><Relationship Id="rId494" Type="http://schemas.openxmlformats.org/officeDocument/2006/relationships/header" Target="header236.xml"/><Relationship Id="rId508" Type="http://schemas.openxmlformats.org/officeDocument/2006/relationships/footer" Target="footer242.xml"/><Relationship Id="rId105" Type="http://schemas.openxmlformats.org/officeDocument/2006/relationships/footer" Target="footer48.xml"/><Relationship Id="rId147" Type="http://schemas.openxmlformats.org/officeDocument/2006/relationships/footer" Target="footer69.xml"/><Relationship Id="rId312" Type="http://schemas.openxmlformats.org/officeDocument/2006/relationships/footer" Target="footer151.xml"/><Relationship Id="rId354" Type="http://schemas.openxmlformats.org/officeDocument/2006/relationships/footer" Target="footer172.xml"/><Relationship Id="rId51" Type="http://schemas.openxmlformats.org/officeDocument/2006/relationships/header" Target="header22.xml"/><Relationship Id="rId93" Type="http://schemas.openxmlformats.org/officeDocument/2006/relationships/footer" Target="footer42.xml"/><Relationship Id="rId189" Type="http://schemas.openxmlformats.org/officeDocument/2006/relationships/header" Target="header91.xml"/><Relationship Id="rId396" Type="http://schemas.openxmlformats.org/officeDocument/2006/relationships/header" Target="header191.xml"/><Relationship Id="rId214" Type="http://schemas.openxmlformats.org/officeDocument/2006/relationships/footer" Target="footer102.xml"/><Relationship Id="rId256" Type="http://schemas.openxmlformats.org/officeDocument/2006/relationships/header" Target="header124.xml"/><Relationship Id="rId298" Type="http://schemas.openxmlformats.org/officeDocument/2006/relationships/footer" Target="footer144.xml"/><Relationship Id="rId421" Type="http://schemas.openxmlformats.org/officeDocument/2006/relationships/footer" Target="footer202.xml"/><Relationship Id="rId463" Type="http://schemas.openxmlformats.org/officeDocument/2006/relationships/header" Target="header221.xml"/><Relationship Id="rId116" Type="http://schemas.openxmlformats.org/officeDocument/2006/relationships/footer" Target="footer53.xml"/><Relationship Id="rId158" Type="http://schemas.openxmlformats.org/officeDocument/2006/relationships/header" Target="header75.xml"/><Relationship Id="rId323" Type="http://schemas.openxmlformats.org/officeDocument/2006/relationships/footer" Target="footer157.xml"/><Relationship Id="rId20" Type="http://schemas.openxmlformats.org/officeDocument/2006/relationships/header" Target="header7.xml"/><Relationship Id="rId62" Type="http://schemas.openxmlformats.org/officeDocument/2006/relationships/header" Target="header28.xml"/><Relationship Id="rId365" Type="http://schemas.openxmlformats.org/officeDocument/2006/relationships/footer" Target="footer178.xml"/><Relationship Id="rId225" Type="http://schemas.openxmlformats.org/officeDocument/2006/relationships/footer" Target="footer108.xml"/><Relationship Id="rId267" Type="http://schemas.openxmlformats.org/officeDocument/2006/relationships/footer" Target="footer129.xml"/><Relationship Id="rId432" Type="http://schemas.openxmlformats.org/officeDocument/2006/relationships/footer" Target="footer208.xml"/><Relationship Id="rId474" Type="http://schemas.openxmlformats.org/officeDocument/2006/relationships/header" Target="header227.xml"/><Relationship Id="rId127" Type="http://schemas.openxmlformats.org/officeDocument/2006/relationships/header" Target="header60.xml"/><Relationship Id="rId31" Type="http://schemas.openxmlformats.org/officeDocument/2006/relationships/footer" Target="footer11.xml"/><Relationship Id="rId73" Type="http://schemas.openxmlformats.org/officeDocument/2006/relationships/header" Target="header33.xml"/><Relationship Id="rId169" Type="http://schemas.openxmlformats.org/officeDocument/2006/relationships/header" Target="header81.xml"/><Relationship Id="rId334" Type="http://schemas.openxmlformats.org/officeDocument/2006/relationships/footer" Target="footer162.xml"/><Relationship Id="rId376" Type="http://schemas.openxmlformats.org/officeDocument/2006/relationships/header" Target="header183.xml"/><Relationship Id="rId4" Type="http://schemas.openxmlformats.org/officeDocument/2006/relationships/webSettings" Target="webSettings.xml"/><Relationship Id="rId180" Type="http://schemas.openxmlformats.org/officeDocument/2006/relationships/header" Target="header86.xml"/><Relationship Id="rId236" Type="http://schemas.openxmlformats.org/officeDocument/2006/relationships/footer" Target="footer113.xml"/><Relationship Id="rId278" Type="http://schemas.openxmlformats.org/officeDocument/2006/relationships/header" Target="header135.xml"/><Relationship Id="rId401" Type="http://schemas.openxmlformats.org/officeDocument/2006/relationships/footer" Target="footer193.xml"/><Relationship Id="rId443" Type="http://schemas.openxmlformats.org/officeDocument/2006/relationships/hyperlink" Target="http://www.aidsinfo.nih.gov" TargetMode="External"/><Relationship Id="rId303" Type="http://schemas.openxmlformats.org/officeDocument/2006/relationships/footer" Target="footer147.xml"/><Relationship Id="rId485" Type="http://schemas.openxmlformats.org/officeDocument/2006/relationships/footer" Target="footer231.xml"/><Relationship Id="rId42" Type="http://schemas.openxmlformats.org/officeDocument/2006/relationships/footer" Target="footer17.xml"/><Relationship Id="rId84" Type="http://schemas.openxmlformats.org/officeDocument/2006/relationships/footer" Target="footer38.xml"/><Relationship Id="rId138" Type="http://schemas.openxmlformats.org/officeDocument/2006/relationships/header" Target="header65.xml"/><Relationship Id="rId345" Type="http://schemas.openxmlformats.org/officeDocument/2006/relationships/header" Target="header169.xml"/><Relationship Id="rId387" Type="http://schemas.openxmlformats.org/officeDocument/2006/relationships/hyperlink" Target="http://www.niddk.nih.gov/health/digest/pubs/chrnhepc/chrnhepc.htm" TargetMode="External"/><Relationship Id="rId510" Type="http://schemas.openxmlformats.org/officeDocument/2006/relationships/header" Target="header244.xml"/><Relationship Id="rId191" Type="http://schemas.openxmlformats.org/officeDocument/2006/relationships/footer" Target="footer91.xml"/><Relationship Id="rId205" Type="http://schemas.openxmlformats.org/officeDocument/2006/relationships/footer" Target="footer98.xml"/><Relationship Id="rId247" Type="http://schemas.openxmlformats.org/officeDocument/2006/relationships/header" Target="header120.xml"/><Relationship Id="rId412" Type="http://schemas.openxmlformats.org/officeDocument/2006/relationships/hyperlink" Target="http://www.cdc.gov/niosh/97-146.html" TargetMode="External"/><Relationship Id="rId107" Type="http://schemas.openxmlformats.org/officeDocument/2006/relationships/footer" Target="footer49.xml"/><Relationship Id="rId289" Type="http://schemas.openxmlformats.org/officeDocument/2006/relationships/header" Target="header141.xml"/><Relationship Id="rId454" Type="http://schemas.openxmlformats.org/officeDocument/2006/relationships/header" Target="header218.xml"/><Relationship Id="rId496" Type="http://schemas.openxmlformats.org/officeDocument/2006/relationships/footer" Target="footer236.xml"/><Relationship Id="rId11" Type="http://schemas.openxmlformats.org/officeDocument/2006/relationships/header" Target="header3.xml"/><Relationship Id="rId53" Type="http://schemas.openxmlformats.org/officeDocument/2006/relationships/header" Target="header23.xml"/><Relationship Id="rId149" Type="http://schemas.openxmlformats.org/officeDocument/2006/relationships/header" Target="header71.xml"/><Relationship Id="rId314" Type="http://schemas.openxmlformats.org/officeDocument/2006/relationships/header" Target="header153.xml"/><Relationship Id="rId356" Type="http://schemas.openxmlformats.org/officeDocument/2006/relationships/header" Target="header174.xml"/><Relationship Id="rId398" Type="http://schemas.openxmlformats.org/officeDocument/2006/relationships/footer" Target="footer191.xml"/><Relationship Id="rId95" Type="http://schemas.openxmlformats.org/officeDocument/2006/relationships/hyperlink" Target="http://www.cdc.gov/foodnet" TargetMode="External"/><Relationship Id="rId160" Type="http://schemas.openxmlformats.org/officeDocument/2006/relationships/footer" Target="footer75.xml"/><Relationship Id="rId216" Type="http://schemas.openxmlformats.org/officeDocument/2006/relationships/header" Target="header104.xml"/><Relationship Id="rId423" Type="http://schemas.openxmlformats.org/officeDocument/2006/relationships/header" Target="header204.xml"/><Relationship Id="rId258" Type="http://schemas.openxmlformats.org/officeDocument/2006/relationships/header" Target="header125.xml"/><Relationship Id="rId465" Type="http://schemas.openxmlformats.org/officeDocument/2006/relationships/footer" Target="footer221.xml"/><Relationship Id="rId22" Type="http://schemas.openxmlformats.org/officeDocument/2006/relationships/footer" Target="footer7.xml"/><Relationship Id="rId64" Type="http://schemas.openxmlformats.org/officeDocument/2006/relationships/footer" Target="footer28.xml"/><Relationship Id="rId118" Type="http://schemas.openxmlformats.org/officeDocument/2006/relationships/header" Target="header55.xml"/><Relationship Id="rId325" Type="http://schemas.openxmlformats.org/officeDocument/2006/relationships/header" Target="header159.xml"/><Relationship Id="rId367" Type="http://schemas.openxmlformats.org/officeDocument/2006/relationships/hyperlink" Target="http://www.cdc.gov/hepatitis" TargetMode="External"/><Relationship Id="rId171" Type="http://schemas.openxmlformats.org/officeDocument/2006/relationships/footer" Target="footer81.xml"/><Relationship Id="rId227" Type="http://schemas.openxmlformats.org/officeDocument/2006/relationships/header" Target="header110.xml"/><Relationship Id="rId269" Type="http://schemas.openxmlformats.org/officeDocument/2006/relationships/header" Target="header131.xml"/><Relationship Id="rId434" Type="http://schemas.openxmlformats.org/officeDocument/2006/relationships/header" Target="header209.xml"/><Relationship Id="rId476" Type="http://schemas.openxmlformats.org/officeDocument/2006/relationships/footer" Target="footer227.xml"/><Relationship Id="rId33" Type="http://schemas.openxmlformats.org/officeDocument/2006/relationships/header" Target="header13.xml"/><Relationship Id="rId129" Type="http://schemas.openxmlformats.org/officeDocument/2006/relationships/footer" Target="footer60.xml"/><Relationship Id="rId280" Type="http://schemas.openxmlformats.org/officeDocument/2006/relationships/footer" Target="footer135.xml"/><Relationship Id="rId336" Type="http://schemas.openxmlformats.org/officeDocument/2006/relationships/header" Target="header164.xml"/><Relationship Id="rId501" Type="http://schemas.openxmlformats.org/officeDocument/2006/relationships/header" Target="header240.xml"/><Relationship Id="rId75" Type="http://schemas.openxmlformats.org/officeDocument/2006/relationships/footer" Target="footer33.xml"/><Relationship Id="rId140" Type="http://schemas.openxmlformats.org/officeDocument/2006/relationships/footer" Target="footer65.xml"/><Relationship Id="rId182" Type="http://schemas.openxmlformats.org/officeDocument/2006/relationships/header" Target="header87.xml"/><Relationship Id="rId378" Type="http://schemas.openxmlformats.org/officeDocument/2006/relationships/footer" Target="footer183.xml"/><Relationship Id="rId403" Type="http://schemas.openxmlformats.org/officeDocument/2006/relationships/header" Target="header195.xml"/><Relationship Id="rId6" Type="http://schemas.openxmlformats.org/officeDocument/2006/relationships/endnotes" Target="endnotes.xml"/><Relationship Id="rId238" Type="http://schemas.openxmlformats.org/officeDocument/2006/relationships/header" Target="header115.xml"/><Relationship Id="rId445" Type="http://schemas.openxmlformats.org/officeDocument/2006/relationships/header" Target="header213.xml"/><Relationship Id="rId487" Type="http://schemas.openxmlformats.org/officeDocument/2006/relationships/header" Target="header233.xml"/><Relationship Id="rId291" Type="http://schemas.openxmlformats.org/officeDocument/2006/relationships/footer" Target="footer141.xml"/><Relationship Id="rId305" Type="http://schemas.openxmlformats.org/officeDocument/2006/relationships/header" Target="header149.xml"/><Relationship Id="rId347" Type="http://schemas.openxmlformats.org/officeDocument/2006/relationships/footer" Target="footer169.xml"/><Relationship Id="rId512" Type="http://schemas.openxmlformats.org/officeDocument/2006/relationships/fontTable" Target="fontTable.xml"/><Relationship Id="rId44" Type="http://schemas.openxmlformats.org/officeDocument/2006/relationships/header" Target="header19.xml"/><Relationship Id="rId86" Type="http://schemas.openxmlformats.org/officeDocument/2006/relationships/header" Target="header40.xml"/><Relationship Id="rId151" Type="http://schemas.openxmlformats.org/officeDocument/2006/relationships/footer" Target="footer71.xml"/><Relationship Id="rId389" Type="http://schemas.openxmlformats.org/officeDocument/2006/relationships/header" Target="header188.xml"/><Relationship Id="rId193" Type="http://schemas.openxmlformats.org/officeDocument/2006/relationships/footer" Target="footer92.xml"/><Relationship Id="rId207" Type="http://schemas.openxmlformats.org/officeDocument/2006/relationships/header" Target="header100.xml"/><Relationship Id="rId249" Type="http://schemas.openxmlformats.org/officeDocument/2006/relationships/footer" Target="footer120.xml"/><Relationship Id="rId414" Type="http://schemas.openxmlformats.org/officeDocument/2006/relationships/header" Target="header200.xml"/><Relationship Id="rId456" Type="http://schemas.openxmlformats.org/officeDocument/2006/relationships/footer" Target="footer218.xml"/><Relationship Id="rId498" Type="http://schemas.openxmlformats.org/officeDocument/2006/relationships/header" Target="header238.xml"/><Relationship Id="rId13" Type="http://schemas.openxmlformats.org/officeDocument/2006/relationships/hyperlink" Target="http://www.cdc.gov/travel" TargetMode="External"/><Relationship Id="rId109" Type="http://schemas.openxmlformats.org/officeDocument/2006/relationships/header" Target="header51.xml"/><Relationship Id="rId260" Type="http://schemas.openxmlformats.org/officeDocument/2006/relationships/footer" Target="footer125.xml"/><Relationship Id="rId316" Type="http://schemas.openxmlformats.org/officeDocument/2006/relationships/footer" Target="footer153.xml"/><Relationship Id="rId55" Type="http://schemas.openxmlformats.org/officeDocument/2006/relationships/footer" Target="footer23.xml"/><Relationship Id="rId97" Type="http://schemas.openxmlformats.org/officeDocument/2006/relationships/header" Target="header45.xml"/><Relationship Id="rId120" Type="http://schemas.openxmlformats.org/officeDocument/2006/relationships/header" Target="header56.xml"/><Relationship Id="rId358" Type="http://schemas.openxmlformats.org/officeDocument/2006/relationships/footer" Target="footer174.xml"/><Relationship Id="rId162" Type="http://schemas.openxmlformats.org/officeDocument/2006/relationships/header" Target="header77.xml"/><Relationship Id="rId218" Type="http://schemas.openxmlformats.org/officeDocument/2006/relationships/header" Target="header105.xml"/><Relationship Id="rId425" Type="http://schemas.openxmlformats.org/officeDocument/2006/relationships/header" Target="header205.xml"/><Relationship Id="rId467" Type="http://schemas.openxmlformats.org/officeDocument/2006/relationships/header" Target="header223.xml"/><Relationship Id="rId271" Type="http://schemas.openxmlformats.org/officeDocument/2006/relationships/footer" Target="footer131.xml"/><Relationship Id="rId24" Type="http://schemas.openxmlformats.org/officeDocument/2006/relationships/header" Target="header9.xml"/><Relationship Id="rId66" Type="http://schemas.openxmlformats.org/officeDocument/2006/relationships/footer" Target="footer29.xml"/><Relationship Id="rId131" Type="http://schemas.openxmlformats.org/officeDocument/2006/relationships/footer" Target="footer61.xml"/><Relationship Id="rId327" Type="http://schemas.openxmlformats.org/officeDocument/2006/relationships/footer" Target="footer159.xml"/><Relationship Id="rId369" Type="http://schemas.openxmlformats.org/officeDocument/2006/relationships/header" Target="header180.xml"/><Relationship Id="rId173" Type="http://schemas.openxmlformats.org/officeDocument/2006/relationships/header" Target="header83.xml"/><Relationship Id="rId229" Type="http://schemas.openxmlformats.org/officeDocument/2006/relationships/footer" Target="footer110.xml"/><Relationship Id="rId380" Type="http://schemas.openxmlformats.org/officeDocument/2006/relationships/header" Target="header185.xml"/><Relationship Id="rId436" Type="http://schemas.openxmlformats.org/officeDocument/2006/relationships/footer" Target="footer209.xml"/><Relationship Id="rId240" Type="http://schemas.openxmlformats.org/officeDocument/2006/relationships/header" Target="header116.xml"/><Relationship Id="rId478" Type="http://schemas.openxmlformats.org/officeDocument/2006/relationships/header" Target="header229.xml"/><Relationship Id="rId35" Type="http://schemas.openxmlformats.org/officeDocument/2006/relationships/header" Target="header14.xml"/><Relationship Id="rId77" Type="http://schemas.openxmlformats.org/officeDocument/2006/relationships/header" Target="header35.xml"/><Relationship Id="rId100" Type="http://schemas.openxmlformats.org/officeDocument/2006/relationships/header" Target="header46.xml"/><Relationship Id="rId282" Type="http://schemas.openxmlformats.org/officeDocument/2006/relationships/header" Target="header137.xml"/><Relationship Id="rId338" Type="http://schemas.openxmlformats.org/officeDocument/2006/relationships/header" Target="header165.xml"/><Relationship Id="rId503" Type="http://schemas.openxmlformats.org/officeDocument/2006/relationships/footer" Target="footer240.xml"/><Relationship Id="rId8" Type="http://schemas.openxmlformats.org/officeDocument/2006/relationships/header" Target="header2.xml"/><Relationship Id="rId142" Type="http://schemas.openxmlformats.org/officeDocument/2006/relationships/header" Target="header67.xml"/><Relationship Id="rId184" Type="http://schemas.openxmlformats.org/officeDocument/2006/relationships/footer" Target="footer87.xml"/><Relationship Id="rId391" Type="http://schemas.openxmlformats.org/officeDocument/2006/relationships/footer" Target="footer188.xml"/><Relationship Id="rId405" Type="http://schemas.openxmlformats.org/officeDocument/2006/relationships/footer" Target="footer195.xml"/><Relationship Id="rId447" Type="http://schemas.openxmlformats.org/officeDocument/2006/relationships/footer" Target="footer213.xml"/><Relationship Id="rId251" Type="http://schemas.openxmlformats.org/officeDocument/2006/relationships/footer" Target="footer121.xml"/><Relationship Id="rId489" Type="http://schemas.openxmlformats.org/officeDocument/2006/relationships/header" Target="header234.xml"/><Relationship Id="rId46" Type="http://schemas.openxmlformats.org/officeDocument/2006/relationships/footer" Target="footer19.xml"/><Relationship Id="rId293" Type="http://schemas.openxmlformats.org/officeDocument/2006/relationships/header" Target="header143.xml"/><Relationship Id="rId307" Type="http://schemas.openxmlformats.org/officeDocument/2006/relationships/footer" Target="footer149.xml"/><Relationship Id="rId349" Type="http://schemas.openxmlformats.org/officeDocument/2006/relationships/header" Target="header171.xml"/><Relationship Id="rId88" Type="http://schemas.openxmlformats.org/officeDocument/2006/relationships/footer" Target="footer40.xml"/><Relationship Id="rId111" Type="http://schemas.openxmlformats.org/officeDocument/2006/relationships/footer" Target="footer51.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footer" Target="footer100.xml"/><Relationship Id="rId360" Type="http://schemas.openxmlformats.org/officeDocument/2006/relationships/header" Target="header176.xml"/><Relationship Id="rId416" Type="http://schemas.openxmlformats.org/officeDocument/2006/relationships/footer" Target="footer200.xml"/><Relationship Id="rId220" Type="http://schemas.openxmlformats.org/officeDocument/2006/relationships/footer" Target="footer105.xml"/><Relationship Id="rId458" Type="http://schemas.openxmlformats.org/officeDocument/2006/relationships/header" Target="header219.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header" Target="header127.xml"/><Relationship Id="rId318" Type="http://schemas.openxmlformats.org/officeDocument/2006/relationships/header" Target="header155.xml"/><Relationship Id="rId99" Type="http://schemas.openxmlformats.org/officeDocument/2006/relationships/footer" Target="footer45.xml"/><Relationship Id="rId122" Type="http://schemas.openxmlformats.org/officeDocument/2006/relationships/footer" Target="footer56.xml"/><Relationship Id="rId164" Type="http://schemas.openxmlformats.org/officeDocument/2006/relationships/footer" Target="footer77.xml"/><Relationship Id="rId371" Type="http://schemas.openxmlformats.org/officeDocument/2006/relationships/footer" Target="footer180.xml"/><Relationship Id="rId427" Type="http://schemas.openxmlformats.org/officeDocument/2006/relationships/footer" Target="footer205.xml"/><Relationship Id="rId469" Type="http://schemas.openxmlformats.org/officeDocument/2006/relationships/header" Target="header224.xml"/><Relationship Id="rId26" Type="http://schemas.openxmlformats.org/officeDocument/2006/relationships/footer" Target="footer9.xml"/><Relationship Id="rId231" Type="http://schemas.openxmlformats.org/officeDocument/2006/relationships/header" Target="header112.xml"/><Relationship Id="rId273" Type="http://schemas.openxmlformats.org/officeDocument/2006/relationships/footer" Target="footer132.xml"/><Relationship Id="rId329" Type="http://schemas.openxmlformats.org/officeDocument/2006/relationships/header" Target="header161.xml"/><Relationship Id="rId480" Type="http://schemas.openxmlformats.org/officeDocument/2006/relationships/footer" Target="footer229.xml"/><Relationship Id="rId68" Type="http://schemas.openxmlformats.org/officeDocument/2006/relationships/header" Target="header31.xml"/><Relationship Id="rId133" Type="http://schemas.openxmlformats.org/officeDocument/2006/relationships/header" Target="header63.xml"/><Relationship Id="rId175" Type="http://schemas.openxmlformats.org/officeDocument/2006/relationships/footer" Target="footer83.xml"/><Relationship Id="rId340" Type="http://schemas.openxmlformats.org/officeDocument/2006/relationships/footer" Target="footer165.xml"/><Relationship Id="rId200" Type="http://schemas.openxmlformats.org/officeDocument/2006/relationships/header" Target="header96.xml"/><Relationship Id="rId382" Type="http://schemas.openxmlformats.org/officeDocument/2006/relationships/footer" Target="footer185.xml"/><Relationship Id="rId438" Type="http://schemas.openxmlformats.org/officeDocument/2006/relationships/header" Target="header211.xml"/><Relationship Id="rId242" Type="http://schemas.openxmlformats.org/officeDocument/2006/relationships/footer" Target="footer116.xml"/><Relationship Id="rId284" Type="http://schemas.openxmlformats.org/officeDocument/2006/relationships/footer" Target="footer137.xml"/><Relationship Id="rId491" Type="http://schemas.openxmlformats.org/officeDocument/2006/relationships/footer" Target="footer234.xml"/><Relationship Id="rId505" Type="http://schemas.openxmlformats.org/officeDocument/2006/relationships/footer" Target="footer241.xml"/><Relationship Id="rId37" Type="http://schemas.openxmlformats.org/officeDocument/2006/relationships/footer" Target="footer14.xml"/><Relationship Id="rId79" Type="http://schemas.openxmlformats.org/officeDocument/2006/relationships/header" Target="header36.xml"/><Relationship Id="rId102" Type="http://schemas.openxmlformats.org/officeDocument/2006/relationships/header" Target="header47.xml"/><Relationship Id="rId144" Type="http://schemas.openxmlformats.org/officeDocument/2006/relationships/header" Target="header68.xml"/><Relationship Id="rId90" Type="http://schemas.openxmlformats.org/officeDocument/2006/relationships/footer" Target="footer41.xml"/><Relationship Id="rId186" Type="http://schemas.openxmlformats.org/officeDocument/2006/relationships/header" Target="header89.xml"/><Relationship Id="rId351" Type="http://schemas.openxmlformats.org/officeDocument/2006/relationships/footer" Target="footer171.xml"/><Relationship Id="rId393" Type="http://schemas.openxmlformats.org/officeDocument/2006/relationships/header" Target="header190.xml"/><Relationship Id="rId407" Type="http://schemas.openxmlformats.org/officeDocument/2006/relationships/header" Target="header197.xml"/><Relationship Id="rId449" Type="http://schemas.openxmlformats.org/officeDocument/2006/relationships/header" Target="header215.xml"/><Relationship Id="rId211" Type="http://schemas.openxmlformats.org/officeDocument/2006/relationships/footer" Target="footer101.xml"/><Relationship Id="rId253" Type="http://schemas.openxmlformats.org/officeDocument/2006/relationships/header" Target="header123.xml"/><Relationship Id="rId295" Type="http://schemas.openxmlformats.org/officeDocument/2006/relationships/footer" Target="footer143.xml"/><Relationship Id="rId309" Type="http://schemas.openxmlformats.org/officeDocument/2006/relationships/footer" Target="footer150.xml"/><Relationship Id="rId460" Type="http://schemas.openxmlformats.org/officeDocument/2006/relationships/footer" Target="footer219.xml"/><Relationship Id="rId48" Type="http://schemas.openxmlformats.org/officeDocument/2006/relationships/header" Target="header21.xml"/><Relationship Id="rId113" Type="http://schemas.openxmlformats.org/officeDocument/2006/relationships/footer" Target="footer52.xml"/><Relationship Id="rId320" Type="http://schemas.openxmlformats.org/officeDocument/2006/relationships/footer" Target="footer155.xml"/><Relationship Id="rId155" Type="http://schemas.openxmlformats.org/officeDocument/2006/relationships/footer" Target="footer73.xml"/><Relationship Id="rId197" Type="http://schemas.openxmlformats.org/officeDocument/2006/relationships/footer" Target="footer94.xml"/><Relationship Id="rId362" Type="http://schemas.openxmlformats.org/officeDocument/2006/relationships/header" Target="header177.xml"/><Relationship Id="rId418" Type="http://schemas.openxmlformats.org/officeDocument/2006/relationships/footer" Target="footer201.xml"/><Relationship Id="rId222" Type="http://schemas.openxmlformats.org/officeDocument/2006/relationships/header" Target="header107.xml"/><Relationship Id="rId264" Type="http://schemas.openxmlformats.org/officeDocument/2006/relationships/header" Target="header128.xml"/><Relationship Id="rId471" Type="http://schemas.openxmlformats.org/officeDocument/2006/relationships/footer" Target="footer224.xml"/><Relationship Id="rId17" Type="http://schemas.openxmlformats.org/officeDocument/2006/relationships/footer" Target="footer4.xml"/><Relationship Id="rId59" Type="http://schemas.openxmlformats.org/officeDocument/2006/relationships/footer" Target="footer25.xml"/><Relationship Id="rId124" Type="http://schemas.openxmlformats.org/officeDocument/2006/relationships/header" Target="header58.xml"/><Relationship Id="rId70" Type="http://schemas.openxmlformats.org/officeDocument/2006/relationships/footer" Target="footer31.xml"/><Relationship Id="rId166" Type="http://schemas.openxmlformats.org/officeDocument/2006/relationships/header" Target="header79.xml"/><Relationship Id="rId331" Type="http://schemas.openxmlformats.org/officeDocument/2006/relationships/footer" Target="footer161.xml"/><Relationship Id="rId373" Type="http://schemas.openxmlformats.org/officeDocument/2006/relationships/header" Target="header182.xml"/><Relationship Id="rId429" Type="http://schemas.openxmlformats.org/officeDocument/2006/relationships/header" Target="header207.xml"/><Relationship Id="rId1" Type="http://schemas.openxmlformats.org/officeDocument/2006/relationships/numbering" Target="numbering.xml"/><Relationship Id="rId233" Type="http://schemas.openxmlformats.org/officeDocument/2006/relationships/footer" Target="footer112.xml"/><Relationship Id="rId440" Type="http://schemas.openxmlformats.org/officeDocument/2006/relationships/footer" Target="footer211.xml"/><Relationship Id="rId28" Type="http://schemas.openxmlformats.org/officeDocument/2006/relationships/footer" Target="footer10.xml"/><Relationship Id="rId275" Type="http://schemas.openxmlformats.org/officeDocument/2006/relationships/header" Target="header134.xml"/><Relationship Id="rId300" Type="http://schemas.openxmlformats.org/officeDocument/2006/relationships/header" Target="header146.xml"/><Relationship Id="rId482" Type="http://schemas.openxmlformats.org/officeDocument/2006/relationships/footer" Target="footer230.xml"/><Relationship Id="rId81" Type="http://schemas.openxmlformats.org/officeDocument/2006/relationships/footer" Target="footer36.xml"/><Relationship Id="rId135" Type="http://schemas.openxmlformats.org/officeDocument/2006/relationships/footer" Target="footer63.xml"/><Relationship Id="rId177" Type="http://schemas.openxmlformats.org/officeDocument/2006/relationships/header" Target="header85.xml"/><Relationship Id="rId342" Type="http://schemas.openxmlformats.org/officeDocument/2006/relationships/header" Target="header167.xml"/><Relationship Id="rId384" Type="http://schemas.openxmlformats.org/officeDocument/2006/relationships/hyperlink" Target="http://www.cdc.gov/hepatitis" TargetMode="External"/><Relationship Id="rId202" Type="http://schemas.openxmlformats.org/officeDocument/2006/relationships/footer" Target="footer96.xml"/><Relationship Id="rId244" Type="http://schemas.openxmlformats.org/officeDocument/2006/relationships/header" Target="header118.xml"/><Relationship Id="rId39" Type="http://schemas.openxmlformats.org/officeDocument/2006/relationships/header" Target="header16.xml"/><Relationship Id="rId286" Type="http://schemas.openxmlformats.org/officeDocument/2006/relationships/header" Target="header139.xml"/><Relationship Id="rId451" Type="http://schemas.openxmlformats.org/officeDocument/2006/relationships/footer" Target="footer215.xml"/><Relationship Id="rId493" Type="http://schemas.openxmlformats.org/officeDocument/2006/relationships/hyperlink" Target="http://www.bphc.hrsa.gov/nhdp" TargetMode="External"/><Relationship Id="rId507" Type="http://schemas.openxmlformats.org/officeDocument/2006/relationships/header" Target="header243.xml"/><Relationship Id="rId50" Type="http://schemas.openxmlformats.org/officeDocument/2006/relationships/footer" Target="footer21.xml"/><Relationship Id="rId104" Type="http://schemas.openxmlformats.org/officeDocument/2006/relationships/footer" Target="footer47.xml"/><Relationship Id="rId146" Type="http://schemas.openxmlformats.org/officeDocument/2006/relationships/footer" Target="footer68.xml"/><Relationship Id="rId188" Type="http://schemas.openxmlformats.org/officeDocument/2006/relationships/header" Target="head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footer" Target="footer190.xml"/><Relationship Id="rId409" Type="http://schemas.openxmlformats.org/officeDocument/2006/relationships/footer" Target="footer197.xml"/><Relationship Id="rId92" Type="http://schemas.openxmlformats.org/officeDocument/2006/relationships/header" Target="header43.xml"/><Relationship Id="rId213" Type="http://schemas.openxmlformats.org/officeDocument/2006/relationships/header" Target="header103.xml"/><Relationship Id="rId420" Type="http://schemas.openxmlformats.org/officeDocument/2006/relationships/header" Target="header203.xml"/><Relationship Id="rId255" Type="http://schemas.openxmlformats.org/officeDocument/2006/relationships/footer" Target="footer123.xml"/><Relationship Id="rId297" Type="http://schemas.openxmlformats.org/officeDocument/2006/relationships/header" Target="header145.xml"/><Relationship Id="rId462" Type="http://schemas.openxmlformats.org/officeDocument/2006/relationships/hyperlink" Target="http://www.cdc.gov/ncidod/diseases/flu/weekly.htm" TargetMode="External"/><Relationship Id="rId115" Type="http://schemas.openxmlformats.org/officeDocument/2006/relationships/header" Target="header54.xml"/><Relationship Id="rId157" Type="http://schemas.openxmlformats.org/officeDocument/2006/relationships/footer" Target="footer74.xml"/><Relationship Id="rId322" Type="http://schemas.openxmlformats.org/officeDocument/2006/relationships/header" Target="header157.xml"/><Relationship Id="rId364" Type="http://schemas.openxmlformats.org/officeDocument/2006/relationships/footer" Target="footer177.xml"/><Relationship Id="rId61" Type="http://schemas.openxmlformats.org/officeDocument/2006/relationships/header" Target="header27.xml"/><Relationship Id="rId199" Type="http://schemas.openxmlformats.org/officeDocument/2006/relationships/footer" Target="footer95.xml"/><Relationship Id="rId19" Type="http://schemas.openxmlformats.org/officeDocument/2006/relationships/header" Target="header6.xml"/><Relationship Id="rId224" Type="http://schemas.openxmlformats.org/officeDocument/2006/relationships/footer" Target="footer107.xml"/><Relationship Id="rId266" Type="http://schemas.openxmlformats.org/officeDocument/2006/relationships/footer" Target="footer128.xml"/><Relationship Id="rId431" Type="http://schemas.openxmlformats.org/officeDocument/2006/relationships/footer" Target="footer207.xml"/><Relationship Id="rId473" Type="http://schemas.openxmlformats.org/officeDocument/2006/relationships/header" Target="header226.xml"/><Relationship Id="rId30" Type="http://schemas.openxmlformats.org/officeDocument/2006/relationships/header" Target="header12.xml"/><Relationship Id="rId126" Type="http://schemas.openxmlformats.org/officeDocument/2006/relationships/header" Target="header59.xml"/><Relationship Id="rId168" Type="http://schemas.openxmlformats.org/officeDocument/2006/relationships/header" Target="header80.xml"/><Relationship Id="rId333" Type="http://schemas.openxmlformats.org/officeDocument/2006/relationships/header" Target="header163.xml"/><Relationship Id="rId72" Type="http://schemas.openxmlformats.org/officeDocument/2006/relationships/footer" Target="footer32.xml"/><Relationship Id="rId375" Type="http://schemas.openxmlformats.org/officeDocument/2006/relationships/footer" Target="footer182.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footer" Target="footer134.xml"/><Relationship Id="rId400" Type="http://schemas.openxmlformats.org/officeDocument/2006/relationships/header" Target="header193.xml"/><Relationship Id="rId442" Type="http://schemas.openxmlformats.org/officeDocument/2006/relationships/hyperlink" Target="http://www.aidsinfo.nih.gov" TargetMode="External"/><Relationship Id="rId484" Type="http://schemas.openxmlformats.org/officeDocument/2006/relationships/header" Target="header232.xml"/><Relationship Id="rId137" Type="http://schemas.openxmlformats.org/officeDocument/2006/relationships/footer" Target="footer64.xml"/><Relationship Id="rId302" Type="http://schemas.openxmlformats.org/officeDocument/2006/relationships/footer" Target="footer146.xml"/><Relationship Id="rId344" Type="http://schemas.openxmlformats.org/officeDocument/2006/relationships/header" Target="header168.xml"/><Relationship Id="rId41" Type="http://schemas.openxmlformats.org/officeDocument/2006/relationships/footer" Target="footer16.xml"/><Relationship Id="rId83" Type="http://schemas.openxmlformats.org/officeDocument/2006/relationships/header" Target="header38.xml"/><Relationship Id="rId179" Type="http://schemas.openxmlformats.org/officeDocument/2006/relationships/footer" Target="footer85.xml"/><Relationship Id="rId386" Type="http://schemas.openxmlformats.org/officeDocument/2006/relationships/hyperlink" Target="http://www.cdc.gov/hepatitis" TargetMode="External"/><Relationship Id="rId190" Type="http://schemas.openxmlformats.org/officeDocument/2006/relationships/footer" Target="footer90.xml"/><Relationship Id="rId204" Type="http://schemas.openxmlformats.org/officeDocument/2006/relationships/header" Target="header98.xml"/><Relationship Id="rId246" Type="http://schemas.openxmlformats.org/officeDocument/2006/relationships/header" Target="header119.xml"/><Relationship Id="rId288" Type="http://schemas.openxmlformats.org/officeDocument/2006/relationships/header" Target="header140.xml"/><Relationship Id="rId411" Type="http://schemas.openxmlformats.org/officeDocument/2006/relationships/footer" Target="footer198.xml"/><Relationship Id="rId453" Type="http://schemas.openxmlformats.org/officeDocument/2006/relationships/header" Target="header217.xml"/><Relationship Id="rId509" Type="http://schemas.openxmlformats.org/officeDocument/2006/relationships/footer" Target="footer243.xml"/><Relationship Id="rId106" Type="http://schemas.openxmlformats.org/officeDocument/2006/relationships/header" Target="header49.xml"/><Relationship Id="rId313" Type="http://schemas.openxmlformats.org/officeDocument/2006/relationships/footer" Target="footer152.xml"/><Relationship Id="rId495" Type="http://schemas.openxmlformats.org/officeDocument/2006/relationships/header" Target="header237.xml"/><Relationship Id="rId10" Type="http://schemas.openxmlformats.org/officeDocument/2006/relationships/footer" Target="footer2.xml"/><Relationship Id="rId52" Type="http://schemas.openxmlformats.org/officeDocument/2006/relationships/footer" Target="footer22.xml"/><Relationship Id="rId94" Type="http://schemas.openxmlformats.org/officeDocument/2006/relationships/footer" Target="footer43.xml"/><Relationship Id="rId148" Type="http://schemas.openxmlformats.org/officeDocument/2006/relationships/header" Target="header70.xml"/><Relationship Id="rId355" Type="http://schemas.openxmlformats.org/officeDocument/2006/relationships/footer" Target="footer173.xml"/><Relationship Id="rId397" Type="http://schemas.openxmlformats.org/officeDocument/2006/relationships/header" Target="header192.xml"/><Relationship Id="rId215" Type="http://schemas.openxmlformats.org/officeDocument/2006/relationships/footer" Target="footer103.xml"/><Relationship Id="rId257" Type="http://schemas.openxmlformats.org/officeDocument/2006/relationships/footer" Target="footer124.xml"/><Relationship Id="rId422" Type="http://schemas.openxmlformats.org/officeDocument/2006/relationships/footer" Target="footer203.xml"/><Relationship Id="rId464" Type="http://schemas.openxmlformats.org/officeDocument/2006/relationships/header" Target="header222.xml"/><Relationship Id="rId299" Type="http://schemas.openxmlformats.org/officeDocument/2006/relationships/footer" Target="footer145.xml"/></Relationships>
</file>

<file path=word/_rels/footnotes.xml.rels><?xml version="1.0" encoding="UTF-8" standalone="yes"?>
<Relationships xmlns="http://schemas.openxmlformats.org/package/2006/relationships"><Relationship Id="rId8" Type="http://schemas.openxmlformats.org/officeDocument/2006/relationships/hyperlink" Target="http://www.cdc.gov/publications.htm" TargetMode="External"/><Relationship Id="rId3" Type="http://schemas.openxmlformats.org/officeDocument/2006/relationships/hyperlink" Target="http://www.aidsinfo.nih.gov" TargetMode="External"/><Relationship Id="rId7" Type="http://schemas.openxmlformats.org/officeDocument/2006/relationships/hyperlink" Target="http://www.aidsinfo.nih.gov" TargetMode="External"/><Relationship Id="rId2" Type="http://schemas.openxmlformats.org/officeDocument/2006/relationships/hyperlink" Target="http://aappolicy.aapjournals.org/" TargetMode="External"/><Relationship Id="rId1" Type="http://schemas.openxmlformats.org/officeDocument/2006/relationships/hyperlink" Target="http://aappolicy.aapjournals.org/" TargetMode="External"/><Relationship Id="rId6" Type="http://schemas.openxmlformats.org/officeDocument/2006/relationships/hyperlink" Target="http://www.aidsinfo.nih.gov" TargetMode="External"/><Relationship Id="rId5" Type="http://schemas.openxmlformats.org/officeDocument/2006/relationships/hyperlink" Target="http://www.aidsinfo.nih.gov" TargetMode="External"/><Relationship Id="rId10" Type="http://schemas.openxmlformats.org/officeDocument/2006/relationships/hyperlink" Target="http://www.pediatrics.org/cig/content/full/110/e80" TargetMode="External"/><Relationship Id="rId4" Type="http://schemas.openxmlformats.org/officeDocument/2006/relationships/hyperlink" Target="http://www.aidsinfo.nih.gov" TargetMode="External"/><Relationship Id="rId9" Type="http://schemas.openxmlformats.org/officeDocument/2006/relationships/hyperlink" Target="http://www.pediatrics.org/cgi/content/full/110/e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146291</Words>
  <Characters>806065</Characters>
  <Application>Microsoft Office Word</Application>
  <DocSecurity>0</DocSecurity>
  <Lines>14394</Lines>
  <Paragraphs>4668</Paragraphs>
  <ScaleCrop>false</ScaleCrop>
  <Company/>
  <LinksUpToDate>false</LinksUpToDate>
  <CharactersWithSpaces>947688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2026-05-03T19:08:00Z</dcterms:created>
  <dcterms:modified xsi:type="dcterms:W3CDTF">2026-05-03T19:08:00Z</dcterms:modified>
</cp:coreProperties>
</file>